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7E4D2" w14:textId="77777777" w:rsidR="00ED12B1" w:rsidRPr="002F2865" w:rsidRDefault="00ED12B1" w:rsidP="00ED12B1">
      <w:pPr>
        <w:jc w:val="center"/>
        <w:rPr>
          <w:b/>
        </w:rPr>
      </w:pPr>
    </w:p>
    <w:p w14:paraId="63B22C45" w14:textId="77777777" w:rsidR="002F3A88" w:rsidRPr="00A329D2" w:rsidRDefault="002F3A88" w:rsidP="006B20BF">
      <w:pPr>
        <w:tabs>
          <w:tab w:val="left" w:pos="2772"/>
        </w:tabs>
        <w:spacing w:line="300" w:lineRule="exact"/>
        <w:jc w:val="center"/>
        <w:rPr>
          <w:b/>
          <w:bCs/>
          <w:iCs/>
        </w:rPr>
      </w:pPr>
      <w:r w:rsidRPr="00A329D2">
        <w:rPr>
          <w:b/>
          <w:bCs/>
          <w:iCs/>
        </w:rPr>
        <w:t>INVESTIGATION OF MALIGNANT NEOPLASMS MORBIDITY OF THE OVARIES IN WOMEN DEPENDING ON ENVIRONMENTAL CONDITIONS OF RESIDENCE</w:t>
      </w:r>
    </w:p>
    <w:p w14:paraId="4559470E" w14:textId="77777777" w:rsidR="00D67E42" w:rsidRDefault="00D67E42" w:rsidP="000775A9">
      <w:pPr>
        <w:tabs>
          <w:tab w:val="right" w:pos="9921"/>
        </w:tabs>
        <w:ind w:firstLine="567"/>
        <w:jc w:val="both"/>
      </w:pPr>
    </w:p>
    <w:p w14:paraId="69E5E98F" w14:textId="25B3CF3C" w:rsidR="00B22DA6" w:rsidRPr="00186505" w:rsidRDefault="00B22DA6" w:rsidP="00B22DA6">
      <w:pPr>
        <w:tabs>
          <w:tab w:val="left" w:pos="2772"/>
        </w:tabs>
        <w:spacing w:line="300" w:lineRule="exact"/>
        <w:jc w:val="center"/>
        <w:rPr>
          <w:iCs/>
          <w:vertAlign w:val="superscript"/>
        </w:rPr>
      </w:pPr>
      <w:r w:rsidRPr="00186505">
        <w:rPr>
          <w:iCs/>
          <w:u w:val="single"/>
        </w:rPr>
        <w:t>A.A. Golovleva</w:t>
      </w:r>
      <w:r w:rsidRPr="00186505">
        <w:rPr>
          <w:iCs/>
          <w:vertAlign w:val="superscript"/>
        </w:rPr>
        <w:t>1</w:t>
      </w:r>
      <w:r w:rsidRPr="00186505">
        <w:rPr>
          <w:iCs/>
        </w:rPr>
        <w:t xml:space="preserve">, </w:t>
      </w:r>
      <w:r w:rsidR="003757AA" w:rsidRPr="00186505">
        <w:rPr>
          <w:iCs/>
        </w:rPr>
        <w:t>A.V. Korsakov</w:t>
      </w:r>
      <w:r w:rsidR="003757AA" w:rsidRPr="00186505">
        <w:rPr>
          <w:iCs/>
          <w:vertAlign w:val="superscript"/>
        </w:rPr>
        <w:t>1</w:t>
      </w:r>
      <w:r w:rsidR="003757AA" w:rsidRPr="00186505">
        <w:rPr>
          <w:iCs/>
        </w:rPr>
        <w:t>,</w:t>
      </w:r>
      <w:r w:rsidR="003757AA">
        <w:rPr>
          <w:iCs/>
        </w:rPr>
        <w:t xml:space="preserve"> </w:t>
      </w:r>
      <w:r w:rsidRPr="00186505">
        <w:rPr>
          <w:iCs/>
        </w:rPr>
        <w:t>V.P. Troshin</w:t>
      </w:r>
      <w:r w:rsidRPr="00186505">
        <w:rPr>
          <w:iCs/>
          <w:vertAlign w:val="superscript"/>
        </w:rPr>
        <w:t>1</w:t>
      </w:r>
      <w:r w:rsidRPr="00186505">
        <w:rPr>
          <w:iCs/>
        </w:rPr>
        <w:t>, D.G. Lagerev</w:t>
      </w:r>
      <w:r w:rsidRPr="00186505">
        <w:rPr>
          <w:iCs/>
          <w:vertAlign w:val="superscript"/>
        </w:rPr>
        <w:t>1</w:t>
      </w:r>
      <w:r w:rsidRPr="00186505">
        <w:rPr>
          <w:iCs/>
        </w:rPr>
        <w:t>, L.I. Pugach</w:t>
      </w:r>
      <w:r w:rsidRPr="00186505">
        <w:rPr>
          <w:iCs/>
          <w:vertAlign w:val="superscript"/>
        </w:rPr>
        <w:t>1</w:t>
      </w:r>
    </w:p>
    <w:p w14:paraId="343DF601" w14:textId="33C0AD72" w:rsidR="00B22DA6" w:rsidRPr="00186505" w:rsidRDefault="00B22DA6" w:rsidP="00B22DA6">
      <w:pPr>
        <w:tabs>
          <w:tab w:val="left" w:pos="2772"/>
        </w:tabs>
        <w:spacing w:line="300" w:lineRule="exact"/>
        <w:jc w:val="center"/>
        <w:rPr>
          <w:iCs/>
        </w:rPr>
      </w:pPr>
      <w:r w:rsidRPr="00186505">
        <w:rPr>
          <w:iCs/>
          <w:vertAlign w:val="superscript"/>
        </w:rPr>
        <w:t>1</w:t>
      </w:r>
      <w:r w:rsidRPr="00186505">
        <w:rPr>
          <w:iCs/>
        </w:rPr>
        <w:t>Bryansk State Technical University</w:t>
      </w:r>
      <w:r w:rsidR="00DE7B74">
        <w:rPr>
          <w:iCs/>
        </w:rPr>
        <w:t>, Bryansk, Russia</w:t>
      </w:r>
    </w:p>
    <w:p w14:paraId="48136326" w14:textId="2D01262F" w:rsidR="00B22DA6" w:rsidRPr="00186505" w:rsidRDefault="00B22DA6" w:rsidP="00B22DA6">
      <w:pPr>
        <w:tabs>
          <w:tab w:val="left" w:pos="2772"/>
        </w:tabs>
        <w:spacing w:line="300" w:lineRule="exact"/>
        <w:jc w:val="center"/>
        <w:rPr>
          <w:iCs/>
        </w:rPr>
      </w:pPr>
      <w:r w:rsidRPr="00186505">
        <w:rPr>
          <w:iCs/>
        </w:rPr>
        <w:t>Research Laboratory "Human Ecology and Dat</w:t>
      </w:r>
      <w:r w:rsidR="005E386E">
        <w:rPr>
          <w:iCs/>
        </w:rPr>
        <w:t>a Analysis in the Technosphere"</w:t>
      </w:r>
      <w:bookmarkStart w:id="0" w:name="_GoBack"/>
      <w:bookmarkEnd w:id="0"/>
    </w:p>
    <w:p w14:paraId="7978EBF5" w14:textId="77777777" w:rsidR="00A24E86" w:rsidRDefault="00A24E86" w:rsidP="00D67E42">
      <w:pPr>
        <w:tabs>
          <w:tab w:val="left" w:pos="2772"/>
        </w:tabs>
        <w:spacing w:line="300" w:lineRule="exact"/>
        <w:rPr>
          <w:i/>
        </w:rPr>
      </w:pPr>
    </w:p>
    <w:p w14:paraId="2F00FE01" w14:textId="062657E1" w:rsidR="00A24E86" w:rsidRDefault="00A24E86" w:rsidP="006B20BF">
      <w:pPr>
        <w:tabs>
          <w:tab w:val="right" w:pos="9921"/>
        </w:tabs>
        <w:spacing w:line="300" w:lineRule="exact"/>
        <w:ind w:firstLine="567"/>
        <w:jc w:val="both"/>
      </w:pPr>
      <w:r w:rsidRPr="00691587">
        <w:t xml:space="preserve">We used the data of official state statistics for 2000–2020 to test the hypothesis about the effect of </w:t>
      </w:r>
      <w:r w:rsidR="002861ED">
        <w:t xml:space="preserve">environmental conditions – </w:t>
      </w:r>
      <w:r w:rsidRPr="00691587">
        <w:t xml:space="preserve">radioactive </w:t>
      </w:r>
      <w:r w:rsidRPr="00100E80">
        <w:t>(</w:t>
      </w:r>
      <w:r>
        <w:t>following the Chernobyl disaster</w:t>
      </w:r>
      <w:r w:rsidRPr="00100E80">
        <w:t xml:space="preserve">) </w:t>
      </w:r>
      <w:r w:rsidRPr="00691587">
        <w:t>and chemical pollutants on the incidence of ovarian malignant neoplasms in the female population of the Bryansk region.</w:t>
      </w:r>
      <w:r w:rsidR="009C4E2D">
        <w:t xml:space="preserve"> </w:t>
      </w:r>
      <w:r w:rsidR="000407B2" w:rsidRPr="00691587">
        <w:rPr>
          <w:rFonts w:ascii="AdvTTe692faf0" w:eastAsiaTheme="minorHAnsi" w:hAnsi="AdvTTe692faf0" w:cs="AdvTTe692faf0"/>
        </w:rPr>
        <w:t xml:space="preserve">A variety of statistical approaches were used to </w:t>
      </w:r>
      <w:r w:rsidR="000407B2" w:rsidRPr="00691587">
        <w:t>estimate the incidence of ovarian malignancies, including the Shapiro-Wilk test, Mann-Whitney U-test, Spearman's rank correlation test, and linear regression.</w:t>
      </w:r>
      <w:r w:rsidR="009C4E2D">
        <w:t xml:space="preserve"> </w:t>
      </w:r>
      <w:r w:rsidR="00AB69E0">
        <w:t>W</w:t>
      </w:r>
      <w:r>
        <w:t xml:space="preserve">e did not </w:t>
      </w:r>
      <w:r>
        <w:rPr>
          <w:rStyle w:val="jlqj4b"/>
        </w:rPr>
        <w:t xml:space="preserve">establish statistically significant differences in the frequency of primary morbidity of women with malignant neoplasms of the ovaries, regardless of the environmental conditions of </w:t>
      </w:r>
      <w:r w:rsidR="00A329D2">
        <w:rPr>
          <w:rStyle w:val="jlqj4b"/>
        </w:rPr>
        <w:t>residence</w:t>
      </w:r>
      <w:r>
        <w:rPr>
          <w:rStyle w:val="jlqj4b"/>
        </w:rPr>
        <w:t xml:space="preserve">. </w:t>
      </w:r>
      <w:r w:rsidR="00F662A8">
        <w:rPr>
          <w:rStyle w:val="jlqj4b"/>
        </w:rPr>
        <w:t xml:space="preserve">Our </w:t>
      </w:r>
      <w:r w:rsidRPr="00037AE5">
        <w:t xml:space="preserve">forecast of the frequency of newly diagnosed malignant neoplasms of the ovaries on average in the Bryansk region shows an increase of 12.4% in 2020 in comparison with the real data for 2020, while the largest increase in predicted values ​​is recorded in the territories of radioactive contamination (by 79.6%), and the least </w:t>
      </w:r>
      <w:r>
        <w:t>–i</w:t>
      </w:r>
      <w:r w:rsidRPr="00037AE5">
        <w:t>n the combined territories (by 6.9%).</w:t>
      </w:r>
    </w:p>
    <w:p w14:paraId="551A9772" w14:textId="0EE0668C" w:rsidR="00B22DA6" w:rsidRPr="00B22DA6" w:rsidRDefault="00B22DA6" w:rsidP="00B22DA6">
      <w:pPr>
        <w:tabs>
          <w:tab w:val="left" w:pos="2772"/>
        </w:tabs>
        <w:spacing w:line="300" w:lineRule="exact"/>
        <w:ind w:firstLine="567"/>
        <w:jc w:val="both"/>
        <w:rPr>
          <w:iCs/>
        </w:rPr>
      </w:pPr>
      <w:r>
        <w:rPr>
          <w:bCs/>
        </w:rPr>
        <w:t>For</w:t>
      </w:r>
      <w:r w:rsidRPr="00B22DA6">
        <w:rPr>
          <w:bCs/>
        </w:rPr>
        <w:t xml:space="preserve"> </w:t>
      </w:r>
      <w:r>
        <w:rPr>
          <w:bCs/>
        </w:rPr>
        <w:t>correspondence</w:t>
      </w:r>
      <w:r w:rsidRPr="00B22DA6">
        <w:rPr>
          <w:bCs/>
        </w:rPr>
        <w:t xml:space="preserve">: </w:t>
      </w:r>
      <w:r>
        <w:rPr>
          <w:bCs/>
        </w:rPr>
        <w:t>Alexandra</w:t>
      </w:r>
      <w:r w:rsidRPr="00B22DA6">
        <w:rPr>
          <w:bCs/>
        </w:rPr>
        <w:t xml:space="preserve"> </w:t>
      </w:r>
      <w:r w:rsidR="00A81D33">
        <w:rPr>
          <w:bCs/>
        </w:rPr>
        <w:t xml:space="preserve">A. </w:t>
      </w:r>
      <w:r>
        <w:rPr>
          <w:bCs/>
        </w:rPr>
        <w:t>Golovleva</w:t>
      </w:r>
      <w:r w:rsidRPr="00B22DA6">
        <w:rPr>
          <w:bCs/>
        </w:rPr>
        <w:t xml:space="preserve"> </w:t>
      </w:r>
      <w:hyperlink r:id="rId7" w:history="1">
        <w:r w:rsidRPr="002476BB">
          <w:rPr>
            <w:rStyle w:val="a5"/>
          </w:rPr>
          <w:t>aleksgolovleva</w:t>
        </w:r>
        <w:r w:rsidRPr="00B22DA6">
          <w:rPr>
            <w:rStyle w:val="a5"/>
          </w:rPr>
          <w:t>@</w:t>
        </w:r>
        <w:r w:rsidRPr="002476BB">
          <w:rPr>
            <w:rStyle w:val="a5"/>
          </w:rPr>
          <w:t>yandex</w:t>
        </w:r>
        <w:r w:rsidRPr="00B22DA6">
          <w:rPr>
            <w:rStyle w:val="a5"/>
          </w:rPr>
          <w:t>.</w:t>
        </w:r>
        <w:r w:rsidRPr="002476BB">
          <w:rPr>
            <w:rStyle w:val="a5"/>
          </w:rPr>
          <w:t>ru</w:t>
        </w:r>
      </w:hyperlink>
      <w:r w:rsidRPr="00B22DA6">
        <w:t xml:space="preserve"> </w:t>
      </w:r>
    </w:p>
    <w:p w14:paraId="0E5B06A5" w14:textId="77777777" w:rsidR="00B22DA6" w:rsidRPr="00B22DA6" w:rsidRDefault="00B22DA6" w:rsidP="006B20BF">
      <w:pPr>
        <w:tabs>
          <w:tab w:val="right" w:pos="9921"/>
        </w:tabs>
        <w:spacing w:line="300" w:lineRule="exact"/>
        <w:ind w:firstLine="567"/>
        <w:jc w:val="both"/>
      </w:pPr>
    </w:p>
    <w:p w14:paraId="28BC539C" w14:textId="77777777" w:rsidR="00AB69E0" w:rsidRPr="00C043BE" w:rsidRDefault="00AB69E0" w:rsidP="00844568">
      <w:pPr>
        <w:tabs>
          <w:tab w:val="left" w:pos="2772"/>
        </w:tabs>
        <w:spacing w:line="310" w:lineRule="exact"/>
        <w:ind w:firstLine="567"/>
        <w:jc w:val="center"/>
        <w:rPr>
          <w:b/>
          <w:bCs/>
          <w:iCs/>
        </w:rPr>
      </w:pPr>
      <w:r w:rsidRPr="00C043BE">
        <w:rPr>
          <w:b/>
          <w:bCs/>
          <w:iCs/>
        </w:rPr>
        <w:t>Background</w:t>
      </w:r>
    </w:p>
    <w:p w14:paraId="5BE043D7" w14:textId="31C55568" w:rsidR="00AB69E0" w:rsidRPr="00A24E86" w:rsidRDefault="00AB69E0" w:rsidP="00844568">
      <w:pPr>
        <w:tabs>
          <w:tab w:val="left" w:pos="2772"/>
        </w:tabs>
        <w:spacing w:line="310" w:lineRule="exact"/>
        <w:ind w:firstLine="709"/>
        <w:jc w:val="both"/>
        <w:rPr>
          <w:b/>
          <w:sz w:val="20"/>
          <w:szCs w:val="20"/>
        </w:rPr>
      </w:pPr>
      <w:r w:rsidRPr="00454262">
        <w:rPr>
          <w:color w:val="000000"/>
        </w:rPr>
        <w:t xml:space="preserve">According to the latest estimates of the International Agency for Research on Cancer and the World Health Organization GLOBOCAN 2020 [1], the incidence of malignant neoplasms in the world has increased to 19.3 million new cases and 10.0 million deaths from them in 2020.  </w:t>
      </w:r>
      <w:r w:rsidRPr="0013009F">
        <w:t>According to the Russian National Medical Research Center for Oncology named after N.N. Blokhin</w:t>
      </w:r>
      <w:r w:rsidR="006A2234" w:rsidRPr="006A2234">
        <w:t xml:space="preserve"> </w:t>
      </w:r>
      <w:r w:rsidRPr="00AE41F1">
        <w:t>ovarian malignancies</w:t>
      </w:r>
      <w:r w:rsidR="006A2234" w:rsidRPr="006A2234">
        <w:t xml:space="preserve"> </w:t>
      </w:r>
      <w:r w:rsidRPr="0013009F">
        <w:t>in the structure of oncological morbidity in Russia is second only to endometrial cancer and cervical cancer in frequency of occurrence [</w:t>
      </w:r>
      <w:r w:rsidRPr="00B65951">
        <w:t>2</w:t>
      </w:r>
      <w:r w:rsidRPr="0013009F">
        <w:t>].</w:t>
      </w:r>
      <w:r w:rsidRPr="00892403">
        <w:t>A number of studies reveal a significant relationship between the risk of malignant neoplasms of the female reproductive system with an increase in the level of technogenic radioactive [</w:t>
      </w:r>
      <w:r w:rsidRPr="00B65951">
        <w:t>3-12</w:t>
      </w:r>
      <w:r w:rsidRPr="00892403">
        <w:t>] and chemical pollution [</w:t>
      </w:r>
      <w:r w:rsidRPr="00B65951">
        <w:t>13-16</w:t>
      </w:r>
      <w:r w:rsidRPr="00892403">
        <w:t>] of the environment.</w:t>
      </w:r>
    </w:p>
    <w:p w14:paraId="4597637A" w14:textId="5BBAB466" w:rsidR="00AB69E0" w:rsidRDefault="00AB69E0" w:rsidP="00844568">
      <w:pPr>
        <w:spacing w:line="310" w:lineRule="exact"/>
        <w:ind w:firstLine="709"/>
        <w:jc w:val="both"/>
      </w:pPr>
      <w:r w:rsidRPr="00AC7F90">
        <w:rPr>
          <w:rFonts w:ascii="AdvTTe692faf0" w:eastAsiaTheme="minorHAnsi" w:hAnsi="AdvTTe692faf0" w:cs="AdvTTe692faf0"/>
        </w:rPr>
        <w:t>There are currently 316,000 people spread across 749 settlements</w:t>
      </w:r>
      <w:r w:rsidR="006A2234" w:rsidRPr="006A2234">
        <w:rPr>
          <w:rFonts w:asciiTheme="minorHAnsi" w:eastAsiaTheme="minorHAnsi" w:hAnsiTheme="minorHAnsi" w:cs="AdvTTe692faf0"/>
        </w:rPr>
        <w:t xml:space="preserve"> </w:t>
      </w:r>
      <w:r w:rsidRPr="00AC7F90">
        <w:rPr>
          <w:rFonts w:ascii="AdvTTe692faf0" w:eastAsiaTheme="minorHAnsi" w:hAnsi="AdvTTe692faf0" w:cs="AdvTTe692faf0"/>
        </w:rPr>
        <w:t xml:space="preserve">living in radioactively contaminated areas of the Bryansk region </w:t>
      </w:r>
      <w:r w:rsidRPr="00EB5982">
        <w:rPr>
          <w:rFonts w:ascii="AdvTTe692faf0" w:eastAsiaTheme="minorHAnsi" w:hAnsi="AdvTTe692faf0" w:cs="AdvTTe692faf0"/>
          <w:i/>
        </w:rPr>
        <w:t>(Decree of the Government of the Russian Federation of 10.08.2015 No. 1074)</w:t>
      </w:r>
      <w:r>
        <w:rPr>
          <w:rFonts w:ascii="AdvTTe692faf0" w:eastAsiaTheme="minorHAnsi" w:hAnsi="AdvTTe692faf0" w:cs="AdvTTe692faf0"/>
        </w:rPr>
        <w:t xml:space="preserve"> [1</w:t>
      </w:r>
      <w:r w:rsidRPr="00B65951">
        <w:rPr>
          <w:rFonts w:asciiTheme="minorHAnsi" w:eastAsiaTheme="minorHAnsi" w:hAnsiTheme="minorHAnsi" w:cs="AdvTTe692faf0"/>
        </w:rPr>
        <w:t>7</w:t>
      </w:r>
      <w:r>
        <w:rPr>
          <w:rFonts w:ascii="AdvTTe692faf0" w:eastAsiaTheme="minorHAnsi" w:hAnsi="AdvTTe692faf0" w:cs="AdvTTe692faf0"/>
        </w:rPr>
        <w:t>].</w:t>
      </w:r>
      <w:r w:rsidR="00D21891">
        <w:rPr>
          <w:rFonts w:ascii="AdvTTe692faf0" w:eastAsiaTheme="minorHAnsi" w:hAnsi="AdvTTe692faf0" w:cs="AdvTTe692faf0"/>
        </w:rPr>
        <w:t xml:space="preserve"> </w:t>
      </w:r>
      <w:r w:rsidRPr="00EB5982">
        <w:t>According to official data</w:t>
      </w:r>
      <w:r w:rsidR="006A2234" w:rsidRPr="006A2234">
        <w:t xml:space="preserve"> </w:t>
      </w:r>
      <w:r w:rsidRPr="00EB5982">
        <w:rPr>
          <w:i/>
        </w:rPr>
        <w:t xml:space="preserve">(On the state and environmental protection of the Russian Federation in 2019) </w:t>
      </w:r>
      <w:r w:rsidRPr="00EB5982">
        <w:t>[</w:t>
      </w:r>
      <w:r w:rsidRPr="002E3D64">
        <w:t>18</w:t>
      </w:r>
      <w:r w:rsidRPr="00EB5982">
        <w:t>], in recent years in the Bryansk region there has been an increase in the emission of air pollutants, mostly volatile organic compounds (VOCs) and nitrogen oxides (NO</w:t>
      </w:r>
      <w:r w:rsidRPr="00075CCF">
        <w:rPr>
          <w:vertAlign w:val="subscript"/>
        </w:rPr>
        <w:t>x</w:t>
      </w:r>
      <w:r w:rsidRPr="00EB5982">
        <w:t>), as well as solid household and industrial waste.</w:t>
      </w:r>
    </w:p>
    <w:p w14:paraId="14E3C806" w14:textId="77777777" w:rsidR="00D21891" w:rsidRDefault="00AB69E0" w:rsidP="00844568">
      <w:pPr>
        <w:spacing w:line="310" w:lineRule="exact"/>
        <w:ind w:firstLine="709"/>
        <w:jc w:val="both"/>
      </w:pPr>
      <w:r w:rsidRPr="00AE08AB">
        <w:t xml:space="preserve">In this regard, the study of the health status of the female population living in ecologically unfavorable conditions is highly relevant. Therefore, we </w:t>
      </w:r>
      <w:r>
        <w:rPr>
          <w:rStyle w:val="jlqj4b"/>
        </w:rPr>
        <w:t xml:space="preserve">carried out </w:t>
      </w:r>
      <w:r w:rsidRPr="00AE08AB">
        <w:t xml:space="preserve">a comparative assessment of the frequency of malignant neoplasms of the ovaries in the female population of the Bryansk region living in conditions of radioactive, chemical and combined </w:t>
      </w:r>
      <w:r>
        <w:t>contamination</w:t>
      </w:r>
      <w:r w:rsidRPr="00AE08AB">
        <w:t xml:space="preserve"> during 2000-2020.</w:t>
      </w:r>
    </w:p>
    <w:p w14:paraId="40C1F3DF" w14:textId="6BB5881A" w:rsidR="00D21891" w:rsidRDefault="00D21891" w:rsidP="00844568">
      <w:pPr>
        <w:spacing w:line="310" w:lineRule="exact"/>
        <w:ind w:firstLine="709"/>
        <w:jc w:val="both"/>
      </w:pPr>
    </w:p>
    <w:p w14:paraId="2E334DCD" w14:textId="020428F4" w:rsidR="00D21891" w:rsidRPr="00D21891" w:rsidRDefault="00D21891" w:rsidP="00844568">
      <w:pPr>
        <w:spacing w:line="310" w:lineRule="exact"/>
        <w:ind w:firstLine="709"/>
        <w:jc w:val="center"/>
        <w:rPr>
          <w:b/>
          <w:bCs/>
        </w:rPr>
      </w:pPr>
      <w:r w:rsidRPr="00D21891">
        <w:rPr>
          <w:b/>
          <w:bCs/>
        </w:rPr>
        <w:t>Methods</w:t>
      </w:r>
    </w:p>
    <w:p w14:paraId="454264CF" w14:textId="017D58BD" w:rsidR="00D21891" w:rsidRPr="00B14F08" w:rsidRDefault="00D21891" w:rsidP="00844568">
      <w:pPr>
        <w:spacing w:line="310" w:lineRule="exact"/>
        <w:ind w:firstLine="709"/>
        <w:jc w:val="both"/>
      </w:pPr>
      <w:r w:rsidRPr="00B14F08">
        <w:t xml:space="preserve">We conducted an ecological and hygienic assessment of the state of the environment and the level of primary morbidity of the female population with malignant neoplasms of the ovaries </w:t>
      </w:r>
      <w:r w:rsidRPr="00B14F08">
        <w:lastRenderedPageBreak/>
        <w:t>in the Bryansk region, namely, in 4 cities and 27 districts in terms of radiation (as a result of the Chernobyl accident), chemical (due to atmospheric air pollution) and combined radiation and chemical contamination over a twenty-year period (2000-2019).</w:t>
      </w:r>
    </w:p>
    <w:p w14:paraId="4397AE2F" w14:textId="7F463272" w:rsidR="00D21891" w:rsidRDefault="00D21891" w:rsidP="00844568">
      <w:pPr>
        <w:spacing w:line="310" w:lineRule="exact"/>
        <w:ind w:firstLine="709"/>
        <w:jc w:val="both"/>
      </w:pPr>
      <w:bookmarkStart w:id="1" w:name="_Hlk87816368"/>
      <w:r w:rsidRPr="0078253F">
        <w:t xml:space="preserve">We have isolated the main pollutants that pollute the atmospheric air: carbon monoxide, sulfur dioxide, nitrogen oxides and </w:t>
      </w:r>
      <w:r w:rsidR="00844568" w:rsidRPr="00844568">
        <w:t xml:space="preserve">volatile organic compounds </w:t>
      </w:r>
      <w:r w:rsidR="00844568">
        <w:t>–</w:t>
      </w:r>
      <w:r w:rsidR="00844568" w:rsidRPr="00844568">
        <w:t xml:space="preserve"> </w:t>
      </w:r>
      <w:r w:rsidRPr="0078253F">
        <w:t>VOCs (including benz (a) pyrene, benzene, styrene, pyridine, vinyl chloride, formaldehyde, acrolein, and phenol).</w:t>
      </w:r>
    </w:p>
    <w:bookmarkEnd w:id="1"/>
    <w:p w14:paraId="6D067602" w14:textId="13707875" w:rsidR="00D21891" w:rsidRPr="0078253F" w:rsidRDefault="00D21891" w:rsidP="00844568">
      <w:pPr>
        <w:tabs>
          <w:tab w:val="right" w:pos="9921"/>
        </w:tabs>
        <w:spacing w:line="310" w:lineRule="exact"/>
        <w:ind w:firstLine="567"/>
        <w:jc w:val="both"/>
      </w:pPr>
      <w:r w:rsidRPr="0078253F">
        <w:t xml:space="preserve">The primary morbidity </w:t>
      </w:r>
      <w:r w:rsidRPr="00B14F08">
        <w:t xml:space="preserve">of the female population with malignant neoplasms of the ovaries </w:t>
      </w:r>
      <w:r w:rsidRPr="0078253F">
        <w:t>in the Bryansk region was analyzed according to [1</w:t>
      </w:r>
      <w:r>
        <w:t>9</w:t>
      </w:r>
      <w:r w:rsidRPr="0078253F">
        <w:t>].</w:t>
      </w:r>
    </w:p>
    <w:p w14:paraId="06019AE3" w14:textId="77777777" w:rsidR="00D21891" w:rsidRDefault="00D21891" w:rsidP="00844568">
      <w:pPr>
        <w:spacing w:line="310" w:lineRule="exact"/>
        <w:ind w:firstLine="709"/>
        <w:jc w:val="both"/>
        <w:rPr>
          <w:rFonts w:asciiTheme="minorHAnsi" w:eastAsiaTheme="minorHAnsi" w:hAnsiTheme="minorHAnsi" w:cs="AdvTTe692faf0"/>
        </w:rPr>
      </w:pPr>
    </w:p>
    <w:p w14:paraId="62D27986" w14:textId="77777777" w:rsidR="002E3D64" w:rsidRPr="00C043BE" w:rsidRDefault="00D65850" w:rsidP="00844568">
      <w:pPr>
        <w:spacing w:line="310" w:lineRule="exact"/>
        <w:ind w:firstLine="709"/>
        <w:jc w:val="center"/>
        <w:rPr>
          <w:b/>
        </w:rPr>
      </w:pPr>
      <w:r w:rsidRPr="00C043BE">
        <w:rPr>
          <w:b/>
        </w:rPr>
        <w:t>Results</w:t>
      </w:r>
    </w:p>
    <w:p w14:paraId="3F8CF055" w14:textId="77777777" w:rsidR="005D1F80" w:rsidRDefault="00D65850" w:rsidP="00844568">
      <w:pPr>
        <w:spacing w:line="310" w:lineRule="exact"/>
        <w:ind w:firstLine="709"/>
        <w:jc w:val="both"/>
      </w:pPr>
      <w:r w:rsidRPr="0087674F">
        <w:t xml:space="preserve">As a result of the ecological and hygienic analysis of the </w:t>
      </w:r>
      <w:r>
        <w:t>condition</w:t>
      </w:r>
      <w:r w:rsidRPr="0087674F">
        <w:t xml:space="preserve"> of the environment in cities and districts of the Bryansk region over a twenty-year </w:t>
      </w:r>
      <w:r>
        <w:t xml:space="preserve">study </w:t>
      </w:r>
      <w:r w:rsidRPr="0087674F">
        <w:t>period (2000-2019), we ranked the territories depending on the level of chemical pollution of the atmospheric air by the amount of gross emissions of gaseous pollutants (VOCs, SO</w:t>
      </w:r>
      <w:r w:rsidRPr="0087674F">
        <w:rPr>
          <w:vertAlign w:val="subscript"/>
        </w:rPr>
        <w:t>2</w:t>
      </w:r>
      <w:r w:rsidRPr="0087674F">
        <w:t>, CO and NO</w:t>
      </w:r>
      <w:r w:rsidRPr="0087674F">
        <w:rPr>
          <w:vertAlign w:val="subscript"/>
        </w:rPr>
        <w:t>x</w:t>
      </w:r>
      <w:r w:rsidRPr="0087674F">
        <w:t xml:space="preserve">) on the area of ​​the district, the density of radioactive contamination </w:t>
      </w:r>
      <w:r>
        <w:t>by</w:t>
      </w:r>
      <w:r w:rsidRPr="0087674F">
        <w:rPr>
          <w:vertAlign w:val="superscript"/>
        </w:rPr>
        <w:t>137</w:t>
      </w:r>
      <w:r w:rsidRPr="0087674F">
        <w:t xml:space="preserve">Cs and </w:t>
      </w:r>
      <w:r w:rsidRPr="0087674F">
        <w:rPr>
          <w:vertAlign w:val="superscript"/>
        </w:rPr>
        <w:t>90</w:t>
      </w:r>
      <w:r w:rsidRPr="0087674F">
        <w:t xml:space="preserve">Sr due to the Chernobyl </w:t>
      </w:r>
      <w:r>
        <w:t>accident</w:t>
      </w:r>
      <w:r w:rsidRPr="0087674F">
        <w:t xml:space="preserve"> and the primary morbidity of women ovarian malignancies (Table</w:t>
      </w:r>
      <w:r w:rsidR="008D2616" w:rsidRPr="008D2616">
        <w:t xml:space="preserve"> 1</w:t>
      </w:r>
      <w:r w:rsidRPr="0087674F">
        <w:t>).</w:t>
      </w:r>
    </w:p>
    <w:p w14:paraId="1CECC0E0" w14:textId="77777777" w:rsidR="005D1F80" w:rsidRPr="00B14F08" w:rsidRDefault="005D1F80" w:rsidP="00844568">
      <w:pPr>
        <w:spacing w:line="310" w:lineRule="exact"/>
        <w:ind w:firstLine="709"/>
        <w:jc w:val="both"/>
      </w:pPr>
      <w:r w:rsidRPr="00B14F08">
        <w:t xml:space="preserve">As Table 1 indicates, the data on the density of radioactive contamination by </w:t>
      </w:r>
      <w:r w:rsidRPr="00B14F08">
        <w:rPr>
          <w:vertAlign w:val="superscript"/>
        </w:rPr>
        <w:t>137</w:t>
      </w:r>
      <w:r w:rsidRPr="00B14F08">
        <w:t xml:space="preserve">Cs and </w:t>
      </w:r>
      <w:r w:rsidRPr="00B14F08">
        <w:rPr>
          <w:vertAlign w:val="superscript"/>
        </w:rPr>
        <w:t>90</w:t>
      </w:r>
      <w:r w:rsidRPr="00B14F08">
        <w:t xml:space="preserve">Sr and the level of chemical pollution by leading gaseous pollutants vary within wide limits. For </w:t>
      </w:r>
      <w:r w:rsidRPr="00B14F08">
        <w:rPr>
          <w:vertAlign w:val="superscript"/>
        </w:rPr>
        <w:t>137</w:t>
      </w:r>
      <w:r w:rsidRPr="00B14F08">
        <w:t>Cs – from 4.4 to 460.6 kBq/m</w:t>
      </w:r>
      <w:r w:rsidRPr="00B14F08">
        <w:rPr>
          <w:vertAlign w:val="superscript"/>
        </w:rPr>
        <w:t>2</w:t>
      </w:r>
      <w:r w:rsidRPr="00B14F08">
        <w:t xml:space="preserve">, for </w:t>
      </w:r>
      <w:r w:rsidRPr="00B14F08">
        <w:rPr>
          <w:vertAlign w:val="superscript"/>
        </w:rPr>
        <w:t>90</w:t>
      </w:r>
      <w:r w:rsidRPr="00B14F08">
        <w:t>Sr – from 0.4 to 16.3 kBq/m</w:t>
      </w:r>
      <w:r w:rsidRPr="00B14F08">
        <w:rPr>
          <w:vertAlign w:val="superscript"/>
        </w:rPr>
        <w:t>2</w:t>
      </w:r>
      <w:r w:rsidRPr="00B14F08">
        <w:t>. In terms of gross emissions of gaseous pollutants into the air per area (g/m</w:t>
      </w:r>
      <w:r w:rsidRPr="00B14F08">
        <w:rPr>
          <w:vertAlign w:val="superscript"/>
        </w:rPr>
        <w:t>2</w:t>
      </w:r>
      <w:r w:rsidRPr="00B14F08">
        <w:t>) – from 12 to 32191, of which: for carbon monoxide – from 7 to 5217, nitrogen oxides – from 6 to 10886, sulfur dioxide – from 0 to 2617 and VOCs – from 0 to 13470.</w:t>
      </w:r>
    </w:p>
    <w:p w14:paraId="4C2B4CDC" w14:textId="77777777" w:rsidR="00CE3A4A" w:rsidRDefault="00CE3A4A" w:rsidP="00CE3A4A">
      <w:pPr>
        <w:spacing w:line="320" w:lineRule="exact"/>
        <w:ind w:firstLine="709"/>
        <w:jc w:val="both"/>
      </w:pPr>
      <w:r w:rsidRPr="00B14F08">
        <w:t>It should be noted that 35 years after the Chernobyl accident, the average annual effective dose from the Chernobyl component in settlements in the group of ecologically safe areas and areas of chemical pollution does not exceed 0.3 mSv per year, while in the group of radioactive and combined contamination the maximum values reach 5.5 mSv per year [</w:t>
      </w:r>
      <w:r>
        <w:t>20</w:t>
      </w:r>
      <w:r w:rsidRPr="00B14F08">
        <w:t>].</w:t>
      </w:r>
    </w:p>
    <w:p w14:paraId="45BC0118" w14:textId="77777777" w:rsidR="006C56D2" w:rsidRDefault="006C56D2" w:rsidP="006C56D2">
      <w:pPr>
        <w:spacing w:line="310" w:lineRule="exact"/>
        <w:ind w:firstLine="709"/>
        <w:jc w:val="both"/>
      </w:pPr>
      <w:r w:rsidRPr="0087674F">
        <w:t xml:space="preserve">We have identified 4 groups of territories of the Bryansk region according to the degree of ecological </w:t>
      </w:r>
      <w:r w:rsidRPr="00193926">
        <w:t>unfavorable</w:t>
      </w:r>
      <w:r w:rsidRPr="0087674F">
        <w:t xml:space="preserve"> of the environment</w:t>
      </w:r>
      <w:r w:rsidRPr="005D1F80">
        <w:t xml:space="preserve"> (</w:t>
      </w:r>
      <w:r>
        <w:t>Table</w:t>
      </w:r>
      <w:r w:rsidRPr="005D1F80">
        <w:t xml:space="preserve"> 1)</w:t>
      </w:r>
      <w:r w:rsidRPr="0087674F">
        <w:t xml:space="preserve">: 1) ecologically safe </w:t>
      </w:r>
      <w:r>
        <w:t>areas</w:t>
      </w:r>
      <w:r w:rsidRPr="0087674F">
        <w:t xml:space="preserve">; 2) </w:t>
      </w:r>
      <w:r>
        <w:t>areas</w:t>
      </w:r>
      <w:r w:rsidRPr="0087674F">
        <w:t xml:space="preserve"> of chemical pollution; 3) </w:t>
      </w:r>
      <w:r>
        <w:t>areas</w:t>
      </w:r>
      <w:r w:rsidRPr="0087674F">
        <w:t xml:space="preserve"> of radioactive contamination; 4) </w:t>
      </w:r>
      <w:r>
        <w:t xml:space="preserve">areas </w:t>
      </w:r>
      <w:r w:rsidRPr="0087674F">
        <w:t>of combined radiation and chemical contamination.</w:t>
      </w:r>
    </w:p>
    <w:p w14:paraId="343063CC" w14:textId="77777777" w:rsidR="00CE3A4A" w:rsidRDefault="00CE3A4A" w:rsidP="00CE3A4A">
      <w:pPr>
        <w:spacing w:line="320" w:lineRule="exact"/>
        <w:ind w:firstLine="709"/>
        <w:jc w:val="both"/>
      </w:pPr>
      <w:r w:rsidRPr="001514E3">
        <w:t xml:space="preserve">Correlation analysis of the primary incidence of ovarian malignant neoplasms in cities and districts of the Bryansk region with the level of radiation </w:t>
      </w:r>
      <w:r>
        <w:t>contamination an</w:t>
      </w:r>
      <w:r w:rsidRPr="001514E3">
        <w:t xml:space="preserve">d chemical </w:t>
      </w:r>
      <w:r>
        <w:t xml:space="preserve">pollution </w:t>
      </w:r>
      <w:r w:rsidRPr="001514E3">
        <w:t xml:space="preserve">of the environment (Table </w:t>
      </w:r>
      <w:r w:rsidRPr="009B489B">
        <w:t>1</w:t>
      </w:r>
      <w:r w:rsidRPr="001514E3">
        <w:t xml:space="preserve">) did not reveal significant links between the incidence of primary ovarian malignant neoplasms as with the level </w:t>
      </w:r>
      <w:r>
        <w:t>by</w:t>
      </w:r>
      <w:r w:rsidRPr="001514E3">
        <w:rPr>
          <w:vertAlign w:val="superscript"/>
        </w:rPr>
        <w:t>137</w:t>
      </w:r>
      <w:r w:rsidRPr="001514E3">
        <w:t>Cs contamination(ρ=</w:t>
      </w:r>
      <w:r>
        <w:t>-</w:t>
      </w:r>
      <w:r w:rsidRPr="001514E3">
        <w:t>0.19, p=0.3</w:t>
      </w:r>
      <w:r>
        <w:t>1</w:t>
      </w:r>
      <w:r w:rsidRPr="001514E3">
        <w:t xml:space="preserve">) and </w:t>
      </w:r>
      <w:r w:rsidRPr="001514E3">
        <w:rPr>
          <w:vertAlign w:val="superscript"/>
        </w:rPr>
        <w:t>90</w:t>
      </w:r>
      <w:r w:rsidRPr="001514E3">
        <w:t>Sr (ρ=0.0</w:t>
      </w:r>
      <w:r>
        <w:t>2</w:t>
      </w:r>
      <w:r w:rsidRPr="001514E3">
        <w:t>, p=0.9</w:t>
      </w:r>
      <w:r>
        <w:t>2</w:t>
      </w:r>
      <w:r w:rsidRPr="001514E3">
        <w:t xml:space="preserve">), as well as air pollution </w:t>
      </w:r>
      <w:r>
        <w:t>by</w:t>
      </w:r>
      <w:r w:rsidRPr="001514E3">
        <w:t xml:space="preserve"> VOCs </w:t>
      </w:r>
      <w:r w:rsidRPr="00D74364">
        <w:t>(</w:t>
      </w:r>
      <w:r w:rsidRPr="00F35B8C">
        <w:rPr>
          <w:iCs/>
        </w:rPr>
        <w:t>ρ</w:t>
      </w:r>
      <w:r w:rsidRPr="00D74364">
        <w:rPr>
          <w:bCs/>
        </w:rPr>
        <w:t xml:space="preserve">=0,19, </w:t>
      </w:r>
      <w:r w:rsidRPr="00F35B8C">
        <w:rPr>
          <w:bCs/>
        </w:rPr>
        <w:t>р</w:t>
      </w:r>
      <w:r w:rsidRPr="00D74364">
        <w:rPr>
          <w:bCs/>
        </w:rPr>
        <w:t>=0,32</w:t>
      </w:r>
      <w:r w:rsidRPr="00D74364">
        <w:t>)</w:t>
      </w:r>
      <w:r w:rsidRPr="001514E3">
        <w:t>, CO (ρ=0.09, p=0.6</w:t>
      </w:r>
      <w:r>
        <w:t>1</w:t>
      </w:r>
      <w:r w:rsidRPr="001514E3">
        <w:t>), NO</w:t>
      </w:r>
      <w:r w:rsidRPr="001514E3">
        <w:rPr>
          <w:vertAlign w:val="subscript"/>
        </w:rPr>
        <w:t>x</w:t>
      </w:r>
      <w:r w:rsidRPr="001514E3">
        <w:t xml:space="preserve"> (ρ=0.2</w:t>
      </w:r>
      <w:r>
        <w:t>2</w:t>
      </w:r>
      <w:r w:rsidRPr="001514E3">
        <w:t>, p=0.2</w:t>
      </w:r>
      <w:r>
        <w:t>3</w:t>
      </w:r>
      <w:r w:rsidRPr="001514E3">
        <w:t>) and SO</w:t>
      </w:r>
      <w:r w:rsidRPr="001514E3">
        <w:rPr>
          <w:vertAlign w:val="subscript"/>
        </w:rPr>
        <w:t>2</w:t>
      </w:r>
      <w:r w:rsidRPr="001514E3">
        <w:t xml:space="preserve"> (ρ=0.27, p=0.14).</w:t>
      </w:r>
    </w:p>
    <w:p w14:paraId="3F7154B6" w14:textId="77777777" w:rsidR="00CE3A4A" w:rsidRDefault="00CE3A4A" w:rsidP="00CE3A4A">
      <w:pPr>
        <w:spacing w:line="320" w:lineRule="exact"/>
        <w:ind w:firstLine="709"/>
        <w:jc w:val="both"/>
      </w:pPr>
      <w:r w:rsidRPr="00B14F08">
        <w:t>We revealed an increase in the long-term trend in the frequency of malignant neoplasms of the ovaries in ecologically safe areas and in areas of chemical pollution and radioactive contamination and a slight decrease in areas of combined contamination. However, a statistically significant increase was found only in the group of territories of chemical pollution (p=0.02) – Figure 1.</w:t>
      </w:r>
    </w:p>
    <w:p w14:paraId="6DF0BE9A" w14:textId="77777777" w:rsidR="00CE3A4A" w:rsidRDefault="00CE3A4A" w:rsidP="00CE3A4A">
      <w:pPr>
        <w:spacing w:line="320" w:lineRule="exact"/>
        <w:ind w:firstLine="709"/>
        <w:jc w:val="both"/>
      </w:pPr>
      <w:r w:rsidRPr="00B14F08">
        <w:t>Our forecast of the frequency (based on 2000-2019 data) of newly diagnosed malignant ovarian neoplasms on average in all cities and districts of the Bryansk region shows an increase of 12.4% in 2020 in comparison with real data for 2020. The reason for this, in all probability, is a reorientation of the healthcare system in connection with the COVID-19 pandemic.</w:t>
      </w:r>
    </w:p>
    <w:p w14:paraId="24756D34" w14:textId="76180BDA" w:rsidR="00705A98" w:rsidRPr="00F65D70" w:rsidRDefault="00705A98" w:rsidP="00182507">
      <w:pPr>
        <w:tabs>
          <w:tab w:val="left" w:pos="1100"/>
        </w:tabs>
        <w:spacing w:line="320" w:lineRule="exact"/>
        <w:jc w:val="right"/>
        <w:rPr>
          <w:bCs/>
        </w:rPr>
      </w:pPr>
      <w:r>
        <w:lastRenderedPageBreak/>
        <w:t>Table</w:t>
      </w:r>
      <w:r w:rsidR="0081367A">
        <w:t xml:space="preserve"> </w:t>
      </w:r>
      <w:r w:rsidRPr="00216806">
        <w:t>1</w:t>
      </w:r>
      <w:r>
        <w:rPr>
          <w:bCs/>
        </w:rPr>
        <w:t>.</w:t>
      </w:r>
    </w:p>
    <w:p w14:paraId="47EB1D6F" w14:textId="029CF943" w:rsidR="00705A98" w:rsidRPr="00F65D70" w:rsidRDefault="00705A98" w:rsidP="00182507">
      <w:pPr>
        <w:pStyle w:val="a4"/>
        <w:spacing w:line="320" w:lineRule="exact"/>
        <w:jc w:val="center"/>
        <w:rPr>
          <w:bCs/>
          <w:lang w:val="en-US"/>
        </w:rPr>
      </w:pPr>
      <w:r w:rsidRPr="00F65D70">
        <w:rPr>
          <w:bCs/>
          <w:lang w:val="en-US"/>
        </w:rPr>
        <w:t>Corre</w:t>
      </w:r>
      <w:r>
        <w:rPr>
          <w:bCs/>
          <w:lang w:val="en-US"/>
        </w:rPr>
        <w:t xml:space="preserve">lation analysis of the primary </w:t>
      </w:r>
      <w:r w:rsidRPr="00B22DA6">
        <w:rPr>
          <w:rStyle w:val="jlqj4b"/>
          <w:lang w:val="en-US"/>
        </w:rPr>
        <w:t>morbidity</w:t>
      </w:r>
      <w:r w:rsidRPr="00F65D70">
        <w:rPr>
          <w:bCs/>
          <w:lang w:val="en-US"/>
        </w:rPr>
        <w:t xml:space="preserve"> of </w:t>
      </w:r>
      <w:r w:rsidRPr="00196A4E">
        <w:rPr>
          <w:lang w:val="en-US"/>
        </w:rPr>
        <w:t>ovarian malignancies</w:t>
      </w:r>
      <w:r w:rsidR="005A57A5">
        <w:rPr>
          <w:lang w:val="en-US"/>
        </w:rPr>
        <w:t xml:space="preserve"> </w:t>
      </w:r>
      <w:r w:rsidRPr="004E48E4">
        <w:rPr>
          <w:lang w:val="en-US"/>
        </w:rPr>
        <w:t>of the female population</w:t>
      </w:r>
      <w:r w:rsidR="005A57A5">
        <w:rPr>
          <w:lang w:val="en-US"/>
        </w:rPr>
        <w:t xml:space="preserve"> </w:t>
      </w:r>
      <w:r w:rsidRPr="00F65D70">
        <w:rPr>
          <w:bCs/>
          <w:lang w:val="en-US"/>
        </w:rPr>
        <w:t xml:space="preserve">in cities and districts of the Bryansk region with the level of radiation and chemical </w:t>
      </w:r>
      <w:r>
        <w:rPr>
          <w:bCs/>
          <w:lang w:val="en-US"/>
        </w:rPr>
        <w:t>contamination</w:t>
      </w:r>
      <w:r w:rsidRPr="00F65D70">
        <w:rPr>
          <w:bCs/>
          <w:lang w:val="en-US"/>
        </w:rPr>
        <w:t xml:space="preserve"> of the environment (2000-2019)</w:t>
      </w:r>
    </w:p>
    <w:tbl>
      <w:tblPr>
        <w:tblW w:w="969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2"/>
        <w:gridCol w:w="947"/>
        <w:gridCol w:w="825"/>
        <w:gridCol w:w="756"/>
        <w:gridCol w:w="69"/>
        <w:gridCol w:w="648"/>
        <w:gridCol w:w="195"/>
        <w:gridCol w:w="934"/>
        <w:gridCol w:w="992"/>
        <w:gridCol w:w="850"/>
        <w:gridCol w:w="1560"/>
      </w:tblGrid>
      <w:tr w:rsidR="00705A98" w:rsidRPr="005D1F80" w14:paraId="322B7D03" w14:textId="77777777" w:rsidTr="00A329D2">
        <w:trPr>
          <w:trHeight w:val="500"/>
        </w:trPr>
        <w:tc>
          <w:tcPr>
            <w:tcW w:w="1922" w:type="dxa"/>
            <w:vMerge w:val="restart"/>
            <w:vAlign w:val="center"/>
          </w:tcPr>
          <w:p w14:paraId="21D51859" w14:textId="77777777" w:rsidR="00705A98" w:rsidRPr="005D1F80" w:rsidRDefault="00705A98" w:rsidP="00A329D2">
            <w:pPr>
              <w:jc w:val="center"/>
            </w:pPr>
            <w:r w:rsidRPr="005D1F80">
              <w:rPr>
                <w:bCs/>
                <w:sz w:val="22"/>
                <w:szCs w:val="22"/>
              </w:rPr>
              <w:t>Cities and districts of the Bryansk region</w:t>
            </w:r>
          </w:p>
        </w:tc>
        <w:tc>
          <w:tcPr>
            <w:tcW w:w="4374" w:type="dxa"/>
            <w:gridSpan w:val="7"/>
            <w:vAlign w:val="center"/>
          </w:tcPr>
          <w:p w14:paraId="0713CCD3" w14:textId="77777777" w:rsidR="00705A98" w:rsidRPr="005D1F80" w:rsidRDefault="00705A98" w:rsidP="00A329D2">
            <w:pPr>
              <w:jc w:val="center"/>
            </w:pPr>
            <w:r w:rsidRPr="005D1F80">
              <w:rPr>
                <w:sz w:val="22"/>
                <w:szCs w:val="22"/>
              </w:rPr>
              <w:t>Main gaseous air pollutants</w:t>
            </w:r>
          </w:p>
        </w:tc>
        <w:tc>
          <w:tcPr>
            <w:tcW w:w="1842" w:type="dxa"/>
            <w:gridSpan w:val="2"/>
            <w:vMerge w:val="restart"/>
            <w:shd w:val="clear" w:color="auto" w:fill="auto"/>
            <w:vAlign w:val="center"/>
          </w:tcPr>
          <w:p w14:paraId="714D5953" w14:textId="7B04839B" w:rsidR="00705A98" w:rsidRPr="005D1F80" w:rsidRDefault="00705A98" w:rsidP="00200E73">
            <w:pPr>
              <w:jc w:val="center"/>
            </w:pPr>
            <w:r w:rsidRPr="005D1F80">
              <w:rPr>
                <w:sz w:val="22"/>
                <w:szCs w:val="22"/>
              </w:rPr>
              <w:t>Contamination density,</w:t>
            </w:r>
            <w:r w:rsidR="00200E73">
              <w:rPr>
                <w:sz w:val="22"/>
                <w:szCs w:val="22"/>
              </w:rPr>
              <w:t xml:space="preserve"> </w:t>
            </w:r>
            <w:r w:rsidRPr="005D1F80">
              <w:rPr>
                <w:sz w:val="22"/>
                <w:szCs w:val="22"/>
              </w:rPr>
              <w:t>kBq/m</w:t>
            </w:r>
            <w:r w:rsidRPr="005D1F80">
              <w:rPr>
                <w:sz w:val="22"/>
                <w:szCs w:val="22"/>
                <w:vertAlign w:val="superscript"/>
              </w:rPr>
              <w:t>2</w:t>
            </w:r>
          </w:p>
        </w:tc>
        <w:tc>
          <w:tcPr>
            <w:tcW w:w="1560" w:type="dxa"/>
            <w:vMerge w:val="restart"/>
            <w:vAlign w:val="center"/>
          </w:tcPr>
          <w:p w14:paraId="3F68CA73" w14:textId="6AFFDBBB" w:rsidR="00705A98" w:rsidRPr="005D1F80" w:rsidRDefault="00705A98" w:rsidP="001E5FEA">
            <w:pPr>
              <w:jc w:val="center"/>
              <w:rPr>
                <w:bCs/>
              </w:rPr>
            </w:pPr>
            <w:r w:rsidRPr="005D1F80">
              <w:rPr>
                <w:rStyle w:val="jlqj4b"/>
                <w:sz w:val="22"/>
                <w:szCs w:val="22"/>
              </w:rPr>
              <w:t>Primary</w:t>
            </w:r>
            <w:r w:rsidR="001E5FEA" w:rsidRPr="006A2234">
              <w:rPr>
                <w:rStyle w:val="jlqj4b"/>
                <w:sz w:val="22"/>
                <w:szCs w:val="22"/>
              </w:rPr>
              <w:t xml:space="preserve"> </w:t>
            </w:r>
            <w:r w:rsidRPr="005D1F80">
              <w:rPr>
                <w:rStyle w:val="jlqj4b"/>
                <w:sz w:val="22"/>
                <w:szCs w:val="22"/>
              </w:rPr>
              <w:t>morbidity</w:t>
            </w:r>
            <w:r w:rsidR="001E5FEA" w:rsidRPr="006A2234">
              <w:rPr>
                <w:rStyle w:val="jlqj4b"/>
                <w:sz w:val="22"/>
                <w:szCs w:val="22"/>
              </w:rPr>
              <w:t xml:space="preserve"> </w:t>
            </w:r>
            <w:r w:rsidRPr="005D1F80">
              <w:rPr>
                <w:rStyle w:val="jlqj4b"/>
                <w:sz w:val="22"/>
                <w:szCs w:val="22"/>
              </w:rPr>
              <w:t>of</w:t>
            </w:r>
            <w:r w:rsidR="001E5FEA" w:rsidRPr="006A2234">
              <w:rPr>
                <w:rStyle w:val="jlqj4b"/>
                <w:sz w:val="22"/>
                <w:szCs w:val="22"/>
              </w:rPr>
              <w:t xml:space="preserve"> </w:t>
            </w:r>
            <w:r w:rsidRPr="005D1F80">
              <w:rPr>
                <w:sz w:val="22"/>
                <w:szCs w:val="22"/>
              </w:rPr>
              <w:t>ovarian malignancies (per 100,000)</w:t>
            </w:r>
          </w:p>
        </w:tc>
      </w:tr>
      <w:tr w:rsidR="00705A98" w:rsidRPr="005D1F80" w14:paraId="0E2E21CD" w14:textId="77777777" w:rsidTr="00A329D2">
        <w:trPr>
          <w:trHeight w:val="506"/>
        </w:trPr>
        <w:tc>
          <w:tcPr>
            <w:tcW w:w="1922" w:type="dxa"/>
            <w:vMerge/>
            <w:vAlign w:val="center"/>
          </w:tcPr>
          <w:p w14:paraId="4967B0C2" w14:textId="77777777" w:rsidR="00705A98" w:rsidRPr="005D1F80" w:rsidRDefault="00705A98" w:rsidP="00A329D2"/>
        </w:tc>
        <w:tc>
          <w:tcPr>
            <w:tcW w:w="947" w:type="dxa"/>
            <w:vMerge w:val="restart"/>
            <w:vAlign w:val="center"/>
          </w:tcPr>
          <w:p w14:paraId="29F4E60F" w14:textId="77777777" w:rsidR="00705A98" w:rsidRPr="005D1F80" w:rsidRDefault="00705A98" w:rsidP="00A329D2">
            <w:pPr>
              <w:jc w:val="center"/>
            </w:pPr>
            <w:r w:rsidRPr="005D1F80">
              <w:rPr>
                <w:sz w:val="22"/>
                <w:szCs w:val="22"/>
              </w:rPr>
              <w:t>Total</w:t>
            </w:r>
          </w:p>
        </w:tc>
        <w:tc>
          <w:tcPr>
            <w:tcW w:w="3427" w:type="dxa"/>
            <w:gridSpan w:val="6"/>
            <w:vAlign w:val="center"/>
          </w:tcPr>
          <w:p w14:paraId="332A9049" w14:textId="77777777" w:rsidR="00705A98" w:rsidRPr="005D1F80" w:rsidRDefault="00705A98" w:rsidP="00A329D2">
            <w:pPr>
              <w:jc w:val="center"/>
            </w:pPr>
            <w:r w:rsidRPr="005D1F80">
              <w:rPr>
                <w:sz w:val="22"/>
                <w:szCs w:val="22"/>
              </w:rPr>
              <w:t>Of them:</w:t>
            </w:r>
          </w:p>
        </w:tc>
        <w:tc>
          <w:tcPr>
            <w:tcW w:w="1842" w:type="dxa"/>
            <w:gridSpan w:val="2"/>
            <w:vMerge/>
          </w:tcPr>
          <w:p w14:paraId="02EE1B43" w14:textId="77777777" w:rsidR="00705A98" w:rsidRPr="005D1F80" w:rsidRDefault="00705A98" w:rsidP="00A329D2">
            <w:pPr>
              <w:jc w:val="center"/>
              <w:rPr>
                <w:bCs/>
              </w:rPr>
            </w:pPr>
          </w:p>
        </w:tc>
        <w:tc>
          <w:tcPr>
            <w:tcW w:w="1560" w:type="dxa"/>
            <w:vMerge/>
          </w:tcPr>
          <w:p w14:paraId="03988B8C" w14:textId="77777777" w:rsidR="00705A98" w:rsidRPr="005D1F80" w:rsidRDefault="00705A98" w:rsidP="00A329D2">
            <w:pPr>
              <w:jc w:val="center"/>
              <w:rPr>
                <w:bCs/>
              </w:rPr>
            </w:pPr>
          </w:p>
        </w:tc>
      </w:tr>
      <w:tr w:rsidR="00705A98" w:rsidRPr="005D1F80" w14:paraId="10762C0A" w14:textId="77777777" w:rsidTr="00A329D2">
        <w:trPr>
          <w:trHeight w:val="141"/>
        </w:trPr>
        <w:tc>
          <w:tcPr>
            <w:tcW w:w="1922" w:type="dxa"/>
            <w:vMerge/>
            <w:vAlign w:val="center"/>
          </w:tcPr>
          <w:p w14:paraId="1AD378D4" w14:textId="77777777" w:rsidR="00705A98" w:rsidRPr="005D1F80" w:rsidRDefault="00705A98" w:rsidP="00A329D2"/>
        </w:tc>
        <w:tc>
          <w:tcPr>
            <w:tcW w:w="947" w:type="dxa"/>
            <w:vMerge/>
            <w:vAlign w:val="center"/>
          </w:tcPr>
          <w:p w14:paraId="3DCF0C8F" w14:textId="77777777" w:rsidR="00705A98" w:rsidRPr="005D1F80" w:rsidRDefault="00705A98" w:rsidP="00A329D2">
            <w:pPr>
              <w:jc w:val="center"/>
            </w:pPr>
          </w:p>
        </w:tc>
        <w:tc>
          <w:tcPr>
            <w:tcW w:w="825" w:type="dxa"/>
            <w:vAlign w:val="center"/>
          </w:tcPr>
          <w:p w14:paraId="4B219A3C" w14:textId="77777777" w:rsidR="00705A98" w:rsidRPr="005D1F80" w:rsidRDefault="00705A98" w:rsidP="00A329D2">
            <w:pPr>
              <w:jc w:val="center"/>
            </w:pPr>
            <w:r w:rsidRPr="005D1F80">
              <w:rPr>
                <w:sz w:val="22"/>
                <w:szCs w:val="22"/>
              </w:rPr>
              <w:t>VOCs</w:t>
            </w:r>
          </w:p>
        </w:tc>
        <w:tc>
          <w:tcPr>
            <w:tcW w:w="756" w:type="dxa"/>
            <w:vAlign w:val="center"/>
          </w:tcPr>
          <w:p w14:paraId="6326CE81" w14:textId="77777777" w:rsidR="00705A98" w:rsidRPr="005D1F80" w:rsidRDefault="00705A98" w:rsidP="00A329D2">
            <w:pPr>
              <w:jc w:val="center"/>
            </w:pPr>
            <w:r w:rsidRPr="005D1F80">
              <w:rPr>
                <w:sz w:val="22"/>
                <w:szCs w:val="22"/>
              </w:rPr>
              <w:t>NO</w:t>
            </w:r>
            <w:r w:rsidRPr="005D1F80">
              <w:rPr>
                <w:sz w:val="22"/>
                <w:szCs w:val="22"/>
                <w:vertAlign w:val="subscript"/>
              </w:rPr>
              <w:t>x</w:t>
            </w:r>
          </w:p>
        </w:tc>
        <w:tc>
          <w:tcPr>
            <w:tcW w:w="717" w:type="dxa"/>
            <w:gridSpan w:val="2"/>
            <w:vAlign w:val="center"/>
          </w:tcPr>
          <w:p w14:paraId="62CD1B7B" w14:textId="77777777" w:rsidR="00705A98" w:rsidRPr="005D1F80" w:rsidRDefault="00705A98" w:rsidP="00A329D2">
            <w:pPr>
              <w:jc w:val="center"/>
            </w:pPr>
            <w:r w:rsidRPr="005D1F80">
              <w:rPr>
                <w:sz w:val="22"/>
                <w:szCs w:val="22"/>
              </w:rPr>
              <w:t>SO</w:t>
            </w:r>
            <w:r w:rsidRPr="005D1F80">
              <w:rPr>
                <w:sz w:val="22"/>
                <w:szCs w:val="22"/>
                <w:vertAlign w:val="subscript"/>
              </w:rPr>
              <w:t>2</w:t>
            </w:r>
          </w:p>
        </w:tc>
        <w:tc>
          <w:tcPr>
            <w:tcW w:w="1129" w:type="dxa"/>
            <w:gridSpan w:val="2"/>
            <w:vAlign w:val="center"/>
          </w:tcPr>
          <w:p w14:paraId="71A417BF" w14:textId="77777777" w:rsidR="00705A98" w:rsidRPr="005D1F80" w:rsidRDefault="00705A98" w:rsidP="00A329D2">
            <w:pPr>
              <w:jc w:val="center"/>
            </w:pPr>
            <w:r w:rsidRPr="005D1F80">
              <w:rPr>
                <w:sz w:val="22"/>
                <w:szCs w:val="22"/>
              </w:rPr>
              <w:t>CO</w:t>
            </w:r>
          </w:p>
        </w:tc>
        <w:tc>
          <w:tcPr>
            <w:tcW w:w="992" w:type="dxa"/>
            <w:vMerge w:val="restart"/>
            <w:shd w:val="clear" w:color="auto" w:fill="auto"/>
            <w:vAlign w:val="bottom"/>
          </w:tcPr>
          <w:p w14:paraId="3F2FE0F7" w14:textId="77777777" w:rsidR="00705A98" w:rsidRPr="005D1F80" w:rsidRDefault="00705A98" w:rsidP="00A329D2">
            <w:pPr>
              <w:jc w:val="center"/>
            </w:pPr>
            <w:r w:rsidRPr="005D1F80">
              <w:rPr>
                <w:sz w:val="22"/>
                <w:szCs w:val="22"/>
                <w:vertAlign w:val="superscript"/>
              </w:rPr>
              <w:t>137</w:t>
            </w:r>
            <w:r w:rsidRPr="005D1F80">
              <w:rPr>
                <w:sz w:val="22"/>
                <w:szCs w:val="22"/>
              </w:rPr>
              <w:t>Cs</w:t>
            </w:r>
          </w:p>
          <w:p w14:paraId="2AD630D5" w14:textId="77777777" w:rsidR="00705A98" w:rsidRPr="005D1F80" w:rsidRDefault="00705A98" w:rsidP="00A329D2">
            <w:pPr>
              <w:jc w:val="center"/>
              <w:rPr>
                <w:bCs/>
              </w:rPr>
            </w:pPr>
          </w:p>
        </w:tc>
        <w:tc>
          <w:tcPr>
            <w:tcW w:w="850" w:type="dxa"/>
            <w:vMerge w:val="restart"/>
            <w:shd w:val="clear" w:color="auto" w:fill="auto"/>
            <w:vAlign w:val="bottom"/>
          </w:tcPr>
          <w:p w14:paraId="761C31B1" w14:textId="77777777" w:rsidR="00705A98" w:rsidRPr="005D1F80" w:rsidRDefault="00705A98" w:rsidP="00A329D2">
            <w:pPr>
              <w:jc w:val="center"/>
            </w:pPr>
            <w:r w:rsidRPr="005D1F80">
              <w:rPr>
                <w:sz w:val="22"/>
                <w:szCs w:val="22"/>
                <w:vertAlign w:val="superscript"/>
              </w:rPr>
              <w:t>90</w:t>
            </w:r>
            <w:r w:rsidRPr="005D1F80">
              <w:rPr>
                <w:sz w:val="22"/>
                <w:szCs w:val="22"/>
              </w:rPr>
              <w:t>Sr</w:t>
            </w:r>
          </w:p>
          <w:p w14:paraId="32AB5D18" w14:textId="77777777" w:rsidR="00705A98" w:rsidRPr="005D1F80" w:rsidRDefault="00705A98" w:rsidP="00A329D2">
            <w:pPr>
              <w:jc w:val="center"/>
              <w:rPr>
                <w:bCs/>
              </w:rPr>
            </w:pPr>
          </w:p>
        </w:tc>
        <w:tc>
          <w:tcPr>
            <w:tcW w:w="1560" w:type="dxa"/>
            <w:vMerge/>
          </w:tcPr>
          <w:p w14:paraId="731F3D0E" w14:textId="77777777" w:rsidR="00705A98" w:rsidRPr="005D1F80" w:rsidRDefault="00705A98" w:rsidP="00A329D2">
            <w:pPr>
              <w:jc w:val="center"/>
              <w:rPr>
                <w:bCs/>
              </w:rPr>
            </w:pPr>
          </w:p>
        </w:tc>
      </w:tr>
      <w:tr w:rsidR="00705A98" w:rsidRPr="005D1F80" w14:paraId="121255A0" w14:textId="77777777" w:rsidTr="00A329D2">
        <w:trPr>
          <w:trHeight w:val="141"/>
        </w:trPr>
        <w:tc>
          <w:tcPr>
            <w:tcW w:w="1922" w:type="dxa"/>
            <w:vMerge/>
            <w:vAlign w:val="center"/>
          </w:tcPr>
          <w:p w14:paraId="2084291E" w14:textId="77777777" w:rsidR="00705A98" w:rsidRPr="005D1F80" w:rsidRDefault="00705A98" w:rsidP="00A329D2"/>
        </w:tc>
        <w:tc>
          <w:tcPr>
            <w:tcW w:w="4374" w:type="dxa"/>
            <w:gridSpan w:val="7"/>
            <w:vAlign w:val="center"/>
          </w:tcPr>
          <w:p w14:paraId="092A2132" w14:textId="77777777" w:rsidR="00705A98" w:rsidRPr="005D1F80" w:rsidRDefault="00705A98" w:rsidP="00A329D2">
            <w:pPr>
              <w:jc w:val="center"/>
            </w:pPr>
            <w:r w:rsidRPr="005D1F80">
              <w:rPr>
                <w:sz w:val="22"/>
                <w:szCs w:val="22"/>
              </w:rPr>
              <w:t xml:space="preserve">Gross emissions of gaseous pollutants </w:t>
            </w:r>
          </w:p>
          <w:p w14:paraId="30481E9B" w14:textId="77777777" w:rsidR="00705A98" w:rsidRPr="005D1F80" w:rsidRDefault="00705A98" w:rsidP="00A329D2">
            <w:pPr>
              <w:jc w:val="center"/>
            </w:pPr>
            <w:r w:rsidRPr="005D1F80">
              <w:rPr>
                <w:sz w:val="22"/>
                <w:szCs w:val="22"/>
              </w:rPr>
              <w:t>per area, g/m</w:t>
            </w:r>
            <w:r w:rsidRPr="005D1F80">
              <w:rPr>
                <w:sz w:val="22"/>
                <w:szCs w:val="22"/>
                <w:vertAlign w:val="superscript"/>
              </w:rPr>
              <w:t>2</w:t>
            </w:r>
          </w:p>
        </w:tc>
        <w:tc>
          <w:tcPr>
            <w:tcW w:w="992" w:type="dxa"/>
            <w:vMerge/>
            <w:vAlign w:val="center"/>
          </w:tcPr>
          <w:p w14:paraId="59CAF6ED" w14:textId="77777777" w:rsidR="00705A98" w:rsidRPr="005D1F80" w:rsidRDefault="00705A98" w:rsidP="00A329D2">
            <w:pPr>
              <w:jc w:val="center"/>
              <w:rPr>
                <w:bCs/>
              </w:rPr>
            </w:pPr>
          </w:p>
        </w:tc>
        <w:tc>
          <w:tcPr>
            <w:tcW w:w="850" w:type="dxa"/>
            <w:vMerge/>
          </w:tcPr>
          <w:p w14:paraId="5A6FBB09" w14:textId="77777777" w:rsidR="00705A98" w:rsidRPr="005D1F80" w:rsidRDefault="00705A98" w:rsidP="00A329D2">
            <w:pPr>
              <w:jc w:val="center"/>
              <w:rPr>
                <w:bCs/>
              </w:rPr>
            </w:pPr>
          </w:p>
        </w:tc>
        <w:tc>
          <w:tcPr>
            <w:tcW w:w="1560" w:type="dxa"/>
            <w:vMerge/>
          </w:tcPr>
          <w:p w14:paraId="0B67396A" w14:textId="77777777" w:rsidR="00705A98" w:rsidRPr="005D1F80" w:rsidRDefault="00705A98" w:rsidP="00A329D2">
            <w:pPr>
              <w:jc w:val="center"/>
              <w:rPr>
                <w:bCs/>
              </w:rPr>
            </w:pPr>
          </w:p>
        </w:tc>
      </w:tr>
      <w:tr w:rsidR="005D1F80" w:rsidRPr="005D1F80" w14:paraId="10A03536" w14:textId="77777777" w:rsidTr="000775A9">
        <w:trPr>
          <w:trHeight w:val="236"/>
        </w:trPr>
        <w:tc>
          <w:tcPr>
            <w:tcW w:w="9698" w:type="dxa"/>
            <w:gridSpan w:val="11"/>
          </w:tcPr>
          <w:p w14:paraId="646BA4DA" w14:textId="77777777" w:rsidR="005D1F80" w:rsidRPr="005D1F80" w:rsidRDefault="005D1F80" w:rsidP="00A329D2">
            <w:pPr>
              <w:jc w:val="center"/>
              <w:rPr>
                <w:bCs/>
                <w:color w:val="000000" w:themeColor="text1"/>
              </w:rPr>
            </w:pPr>
            <w:r w:rsidRPr="005D1F80">
              <w:rPr>
                <w:b/>
                <w:sz w:val="22"/>
                <w:szCs w:val="22"/>
                <w:lang w:eastAsia="ru-RU"/>
              </w:rPr>
              <w:t>Ecologically safe areas (control)</w:t>
            </w:r>
          </w:p>
        </w:tc>
      </w:tr>
      <w:tr w:rsidR="00705A98" w:rsidRPr="005D1F80" w14:paraId="50E381C2" w14:textId="77777777" w:rsidTr="00A329D2">
        <w:trPr>
          <w:trHeight w:val="236"/>
        </w:trPr>
        <w:tc>
          <w:tcPr>
            <w:tcW w:w="1922" w:type="dxa"/>
          </w:tcPr>
          <w:p w14:paraId="6D260F50" w14:textId="77777777" w:rsidR="00705A98" w:rsidRPr="005D1F80" w:rsidRDefault="00705A98" w:rsidP="00A329D2">
            <w:r w:rsidRPr="005D1F80">
              <w:rPr>
                <w:rStyle w:val="jlqj4b"/>
                <w:sz w:val="22"/>
                <w:szCs w:val="22"/>
              </w:rPr>
              <w:t>Rognedinsky</w:t>
            </w:r>
          </w:p>
        </w:tc>
        <w:tc>
          <w:tcPr>
            <w:tcW w:w="947" w:type="dxa"/>
            <w:vAlign w:val="center"/>
          </w:tcPr>
          <w:p w14:paraId="682660D4" w14:textId="77777777" w:rsidR="00705A98" w:rsidRPr="005D1F80" w:rsidRDefault="00705A98" w:rsidP="00A329D2">
            <w:pPr>
              <w:jc w:val="center"/>
            </w:pPr>
            <w:r w:rsidRPr="005D1F80">
              <w:rPr>
                <w:sz w:val="22"/>
                <w:szCs w:val="22"/>
              </w:rPr>
              <w:t>12</w:t>
            </w:r>
          </w:p>
        </w:tc>
        <w:tc>
          <w:tcPr>
            <w:tcW w:w="825" w:type="dxa"/>
            <w:vAlign w:val="center"/>
          </w:tcPr>
          <w:p w14:paraId="235D8D18" w14:textId="77777777" w:rsidR="00705A98" w:rsidRPr="005D1F80" w:rsidRDefault="00705A98" w:rsidP="00A329D2">
            <w:pPr>
              <w:jc w:val="center"/>
            </w:pPr>
            <w:r w:rsidRPr="005D1F80">
              <w:rPr>
                <w:sz w:val="22"/>
                <w:szCs w:val="22"/>
              </w:rPr>
              <w:t>0</w:t>
            </w:r>
          </w:p>
        </w:tc>
        <w:tc>
          <w:tcPr>
            <w:tcW w:w="825" w:type="dxa"/>
            <w:gridSpan w:val="2"/>
            <w:vAlign w:val="center"/>
          </w:tcPr>
          <w:p w14:paraId="56FA90A8" w14:textId="77777777" w:rsidR="00705A98" w:rsidRPr="005D1F80" w:rsidRDefault="00705A98" w:rsidP="00A329D2">
            <w:pPr>
              <w:jc w:val="center"/>
            </w:pPr>
            <w:r w:rsidRPr="005D1F80">
              <w:rPr>
                <w:sz w:val="22"/>
                <w:szCs w:val="22"/>
              </w:rPr>
              <w:t>6</w:t>
            </w:r>
          </w:p>
        </w:tc>
        <w:tc>
          <w:tcPr>
            <w:tcW w:w="843" w:type="dxa"/>
            <w:gridSpan w:val="2"/>
            <w:vAlign w:val="center"/>
          </w:tcPr>
          <w:p w14:paraId="658C6D0C" w14:textId="77777777" w:rsidR="00705A98" w:rsidRPr="005D1F80" w:rsidRDefault="00705A98" w:rsidP="00A329D2">
            <w:pPr>
              <w:jc w:val="center"/>
            </w:pPr>
            <w:r w:rsidRPr="005D1F80">
              <w:rPr>
                <w:sz w:val="22"/>
                <w:szCs w:val="22"/>
              </w:rPr>
              <w:t>0</w:t>
            </w:r>
          </w:p>
        </w:tc>
        <w:tc>
          <w:tcPr>
            <w:tcW w:w="934" w:type="dxa"/>
            <w:vAlign w:val="center"/>
          </w:tcPr>
          <w:p w14:paraId="57405467" w14:textId="77777777" w:rsidR="00705A98" w:rsidRPr="005D1F80" w:rsidRDefault="00705A98" w:rsidP="00A329D2">
            <w:pPr>
              <w:jc w:val="center"/>
            </w:pPr>
            <w:r w:rsidRPr="005D1F80">
              <w:rPr>
                <w:sz w:val="22"/>
                <w:szCs w:val="22"/>
              </w:rPr>
              <w:t>7</w:t>
            </w:r>
          </w:p>
        </w:tc>
        <w:tc>
          <w:tcPr>
            <w:tcW w:w="992" w:type="dxa"/>
            <w:vAlign w:val="center"/>
          </w:tcPr>
          <w:p w14:paraId="59F2D499" w14:textId="77777777" w:rsidR="00705A98" w:rsidRPr="005D1F80" w:rsidRDefault="00705A98" w:rsidP="00A329D2">
            <w:pPr>
              <w:jc w:val="center"/>
              <w:rPr>
                <w:bCs/>
              </w:rPr>
            </w:pPr>
            <w:r w:rsidRPr="005D1F80">
              <w:rPr>
                <w:bCs/>
                <w:sz w:val="22"/>
                <w:szCs w:val="22"/>
              </w:rPr>
              <w:t>21,7</w:t>
            </w:r>
          </w:p>
        </w:tc>
        <w:tc>
          <w:tcPr>
            <w:tcW w:w="850" w:type="dxa"/>
            <w:vAlign w:val="center"/>
          </w:tcPr>
          <w:p w14:paraId="53D2E1F9" w14:textId="77777777" w:rsidR="00705A98" w:rsidRPr="005D1F80" w:rsidRDefault="00705A98" w:rsidP="00A329D2">
            <w:pPr>
              <w:jc w:val="center"/>
              <w:rPr>
                <w:bCs/>
              </w:rPr>
            </w:pPr>
            <w:r w:rsidRPr="005D1F80">
              <w:rPr>
                <w:bCs/>
                <w:sz w:val="22"/>
                <w:szCs w:val="22"/>
              </w:rPr>
              <w:t>0,8</w:t>
            </w:r>
          </w:p>
        </w:tc>
        <w:tc>
          <w:tcPr>
            <w:tcW w:w="1560" w:type="dxa"/>
            <w:vAlign w:val="center"/>
          </w:tcPr>
          <w:p w14:paraId="5C33F8FA" w14:textId="77777777" w:rsidR="00705A98" w:rsidRPr="005D1F80" w:rsidRDefault="00705A98" w:rsidP="00A329D2">
            <w:pPr>
              <w:jc w:val="center"/>
              <w:rPr>
                <w:bCs/>
              </w:rPr>
            </w:pPr>
            <w:r w:rsidRPr="005D1F80">
              <w:rPr>
                <w:bCs/>
                <w:color w:val="000000" w:themeColor="text1"/>
                <w:sz w:val="22"/>
                <w:szCs w:val="22"/>
              </w:rPr>
              <w:t>25,8</w:t>
            </w:r>
          </w:p>
        </w:tc>
      </w:tr>
      <w:tr w:rsidR="00705A98" w:rsidRPr="005D1F80" w14:paraId="20DFDC84" w14:textId="77777777" w:rsidTr="00A329D2">
        <w:trPr>
          <w:trHeight w:val="141"/>
        </w:trPr>
        <w:tc>
          <w:tcPr>
            <w:tcW w:w="1922" w:type="dxa"/>
          </w:tcPr>
          <w:p w14:paraId="42F5E1BE" w14:textId="77777777" w:rsidR="00705A98" w:rsidRPr="005D1F80" w:rsidRDefault="00705A98" w:rsidP="00A329D2">
            <w:r w:rsidRPr="005D1F80">
              <w:rPr>
                <w:rStyle w:val="jlqj4b"/>
                <w:sz w:val="22"/>
                <w:szCs w:val="22"/>
              </w:rPr>
              <w:t>Suzemsky</w:t>
            </w:r>
          </w:p>
        </w:tc>
        <w:tc>
          <w:tcPr>
            <w:tcW w:w="947" w:type="dxa"/>
            <w:vAlign w:val="center"/>
          </w:tcPr>
          <w:p w14:paraId="6DE20FEF" w14:textId="77777777" w:rsidR="00705A98" w:rsidRPr="005D1F80" w:rsidRDefault="00705A98" w:rsidP="00A329D2">
            <w:pPr>
              <w:jc w:val="center"/>
            </w:pPr>
            <w:r w:rsidRPr="005D1F80">
              <w:rPr>
                <w:sz w:val="22"/>
                <w:szCs w:val="22"/>
              </w:rPr>
              <w:t>27</w:t>
            </w:r>
          </w:p>
        </w:tc>
        <w:tc>
          <w:tcPr>
            <w:tcW w:w="825" w:type="dxa"/>
            <w:vAlign w:val="center"/>
          </w:tcPr>
          <w:p w14:paraId="148A42D5" w14:textId="77777777" w:rsidR="00705A98" w:rsidRPr="005D1F80" w:rsidRDefault="00705A98" w:rsidP="00A329D2">
            <w:pPr>
              <w:jc w:val="center"/>
            </w:pPr>
            <w:r w:rsidRPr="005D1F80">
              <w:rPr>
                <w:sz w:val="22"/>
                <w:szCs w:val="22"/>
              </w:rPr>
              <w:t>5</w:t>
            </w:r>
          </w:p>
        </w:tc>
        <w:tc>
          <w:tcPr>
            <w:tcW w:w="825" w:type="dxa"/>
            <w:gridSpan w:val="2"/>
            <w:vAlign w:val="center"/>
          </w:tcPr>
          <w:p w14:paraId="1732945D" w14:textId="77777777" w:rsidR="00705A98" w:rsidRPr="005D1F80" w:rsidRDefault="00705A98" w:rsidP="00A329D2">
            <w:pPr>
              <w:jc w:val="center"/>
            </w:pPr>
            <w:r w:rsidRPr="005D1F80">
              <w:rPr>
                <w:sz w:val="22"/>
                <w:szCs w:val="22"/>
              </w:rPr>
              <w:t>9</w:t>
            </w:r>
          </w:p>
        </w:tc>
        <w:tc>
          <w:tcPr>
            <w:tcW w:w="843" w:type="dxa"/>
            <w:gridSpan w:val="2"/>
            <w:vAlign w:val="center"/>
          </w:tcPr>
          <w:p w14:paraId="0A7262FE" w14:textId="77777777" w:rsidR="00705A98" w:rsidRPr="005D1F80" w:rsidRDefault="00705A98" w:rsidP="00A329D2">
            <w:pPr>
              <w:jc w:val="center"/>
            </w:pPr>
            <w:r w:rsidRPr="005D1F80">
              <w:rPr>
                <w:sz w:val="22"/>
                <w:szCs w:val="22"/>
              </w:rPr>
              <w:t>1</w:t>
            </w:r>
          </w:p>
        </w:tc>
        <w:tc>
          <w:tcPr>
            <w:tcW w:w="934" w:type="dxa"/>
            <w:vAlign w:val="center"/>
          </w:tcPr>
          <w:p w14:paraId="614C6E62" w14:textId="77777777" w:rsidR="00705A98" w:rsidRPr="005D1F80" w:rsidRDefault="00705A98" w:rsidP="00A329D2">
            <w:pPr>
              <w:jc w:val="center"/>
            </w:pPr>
            <w:r w:rsidRPr="005D1F80">
              <w:rPr>
                <w:sz w:val="22"/>
                <w:szCs w:val="22"/>
              </w:rPr>
              <w:t>13</w:t>
            </w:r>
          </w:p>
        </w:tc>
        <w:tc>
          <w:tcPr>
            <w:tcW w:w="992" w:type="dxa"/>
            <w:vAlign w:val="center"/>
          </w:tcPr>
          <w:p w14:paraId="4C3383B6" w14:textId="77777777" w:rsidR="00705A98" w:rsidRPr="005D1F80" w:rsidRDefault="00705A98" w:rsidP="00A329D2">
            <w:pPr>
              <w:jc w:val="center"/>
              <w:rPr>
                <w:bCs/>
              </w:rPr>
            </w:pPr>
            <w:r w:rsidRPr="005D1F80">
              <w:rPr>
                <w:bCs/>
                <w:sz w:val="22"/>
                <w:szCs w:val="22"/>
              </w:rPr>
              <w:t>18,6</w:t>
            </w:r>
          </w:p>
        </w:tc>
        <w:tc>
          <w:tcPr>
            <w:tcW w:w="850" w:type="dxa"/>
            <w:vAlign w:val="center"/>
          </w:tcPr>
          <w:p w14:paraId="6F50BC59" w14:textId="77777777" w:rsidR="00705A98" w:rsidRPr="005D1F80" w:rsidRDefault="00705A98" w:rsidP="00A329D2">
            <w:pPr>
              <w:jc w:val="center"/>
              <w:rPr>
                <w:bCs/>
              </w:rPr>
            </w:pPr>
            <w:r w:rsidRPr="005D1F80">
              <w:rPr>
                <w:bCs/>
                <w:sz w:val="22"/>
                <w:szCs w:val="22"/>
              </w:rPr>
              <w:t>2,5</w:t>
            </w:r>
          </w:p>
        </w:tc>
        <w:tc>
          <w:tcPr>
            <w:tcW w:w="1560" w:type="dxa"/>
            <w:vAlign w:val="center"/>
          </w:tcPr>
          <w:p w14:paraId="07569D5E" w14:textId="77777777" w:rsidR="00705A98" w:rsidRPr="005D1F80" w:rsidRDefault="00705A98" w:rsidP="00A329D2">
            <w:pPr>
              <w:jc w:val="center"/>
              <w:rPr>
                <w:bCs/>
              </w:rPr>
            </w:pPr>
            <w:r w:rsidRPr="005D1F80">
              <w:rPr>
                <w:bCs/>
                <w:color w:val="000000" w:themeColor="text1"/>
                <w:sz w:val="22"/>
                <w:szCs w:val="22"/>
              </w:rPr>
              <w:t>26,3</w:t>
            </w:r>
          </w:p>
        </w:tc>
      </w:tr>
      <w:tr w:rsidR="00705A98" w:rsidRPr="005D1F80" w14:paraId="72D87345" w14:textId="77777777" w:rsidTr="00A329D2">
        <w:trPr>
          <w:trHeight w:val="141"/>
        </w:trPr>
        <w:tc>
          <w:tcPr>
            <w:tcW w:w="1922" w:type="dxa"/>
          </w:tcPr>
          <w:p w14:paraId="471B84BA" w14:textId="77777777" w:rsidR="00705A98" w:rsidRPr="005D1F80" w:rsidRDefault="00705A98" w:rsidP="00A329D2">
            <w:r w:rsidRPr="005D1F80">
              <w:rPr>
                <w:rStyle w:val="jlqj4b"/>
                <w:sz w:val="22"/>
                <w:szCs w:val="22"/>
              </w:rPr>
              <w:t>Mglinsky</w:t>
            </w:r>
          </w:p>
        </w:tc>
        <w:tc>
          <w:tcPr>
            <w:tcW w:w="947" w:type="dxa"/>
            <w:vAlign w:val="center"/>
          </w:tcPr>
          <w:p w14:paraId="05BFA612" w14:textId="77777777" w:rsidR="00705A98" w:rsidRPr="005D1F80" w:rsidRDefault="00705A98" w:rsidP="00A329D2">
            <w:pPr>
              <w:jc w:val="center"/>
            </w:pPr>
            <w:r w:rsidRPr="005D1F80">
              <w:rPr>
                <w:sz w:val="22"/>
                <w:szCs w:val="22"/>
              </w:rPr>
              <w:t>31</w:t>
            </w:r>
          </w:p>
        </w:tc>
        <w:tc>
          <w:tcPr>
            <w:tcW w:w="825" w:type="dxa"/>
            <w:vAlign w:val="center"/>
          </w:tcPr>
          <w:p w14:paraId="2452B37E" w14:textId="77777777" w:rsidR="00705A98" w:rsidRPr="005D1F80" w:rsidRDefault="00705A98" w:rsidP="00A329D2">
            <w:pPr>
              <w:jc w:val="center"/>
            </w:pPr>
            <w:r w:rsidRPr="005D1F80">
              <w:rPr>
                <w:sz w:val="22"/>
                <w:szCs w:val="22"/>
              </w:rPr>
              <w:t>6</w:t>
            </w:r>
          </w:p>
        </w:tc>
        <w:tc>
          <w:tcPr>
            <w:tcW w:w="825" w:type="dxa"/>
            <w:gridSpan w:val="2"/>
            <w:vAlign w:val="center"/>
          </w:tcPr>
          <w:p w14:paraId="13BCB009" w14:textId="77777777" w:rsidR="00705A98" w:rsidRPr="005D1F80" w:rsidRDefault="00705A98" w:rsidP="00A329D2">
            <w:pPr>
              <w:jc w:val="center"/>
            </w:pPr>
            <w:r w:rsidRPr="005D1F80">
              <w:rPr>
                <w:sz w:val="22"/>
                <w:szCs w:val="22"/>
              </w:rPr>
              <w:t>6</w:t>
            </w:r>
          </w:p>
        </w:tc>
        <w:tc>
          <w:tcPr>
            <w:tcW w:w="843" w:type="dxa"/>
            <w:gridSpan w:val="2"/>
            <w:vAlign w:val="center"/>
          </w:tcPr>
          <w:p w14:paraId="48B9F2C8" w14:textId="77777777" w:rsidR="00705A98" w:rsidRPr="005D1F80" w:rsidRDefault="00705A98" w:rsidP="00A329D2">
            <w:pPr>
              <w:jc w:val="center"/>
            </w:pPr>
            <w:r w:rsidRPr="005D1F80">
              <w:rPr>
                <w:sz w:val="22"/>
                <w:szCs w:val="22"/>
              </w:rPr>
              <w:t>2</w:t>
            </w:r>
          </w:p>
        </w:tc>
        <w:tc>
          <w:tcPr>
            <w:tcW w:w="934" w:type="dxa"/>
            <w:vAlign w:val="center"/>
          </w:tcPr>
          <w:p w14:paraId="20A3AE43" w14:textId="77777777" w:rsidR="00705A98" w:rsidRPr="005D1F80" w:rsidRDefault="00705A98" w:rsidP="00A329D2">
            <w:pPr>
              <w:jc w:val="center"/>
            </w:pPr>
            <w:r w:rsidRPr="005D1F80">
              <w:rPr>
                <w:sz w:val="22"/>
                <w:szCs w:val="22"/>
              </w:rPr>
              <w:t>17</w:t>
            </w:r>
          </w:p>
        </w:tc>
        <w:tc>
          <w:tcPr>
            <w:tcW w:w="992" w:type="dxa"/>
            <w:vAlign w:val="center"/>
          </w:tcPr>
          <w:p w14:paraId="4260FE61" w14:textId="77777777" w:rsidR="00705A98" w:rsidRPr="005D1F80" w:rsidRDefault="00705A98" w:rsidP="00A329D2">
            <w:pPr>
              <w:jc w:val="center"/>
              <w:rPr>
                <w:bCs/>
              </w:rPr>
            </w:pPr>
            <w:r w:rsidRPr="005D1F80">
              <w:rPr>
                <w:bCs/>
                <w:sz w:val="22"/>
                <w:szCs w:val="22"/>
              </w:rPr>
              <w:t>6,6</w:t>
            </w:r>
          </w:p>
        </w:tc>
        <w:tc>
          <w:tcPr>
            <w:tcW w:w="850" w:type="dxa"/>
            <w:vAlign w:val="center"/>
          </w:tcPr>
          <w:p w14:paraId="1E0BB85D" w14:textId="77777777" w:rsidR="00705A98" w:rsidRPr="005D1F80" w:rsidRDefault="00705A98" w:rsidP="00A329D2">
            <w:pPr>
              <w:jc w:val="center"/>
              <w:rPr>
                <w:bCs/>
              </w:rPr>
            </w:pPr>
            <w:r w:rsidRPr="005D1F80">
              <w:rPr>
                <w:bCs/>
                <w:sz w:val="22"/>
                <w:szCs w:val="22"/>
              </w:rPr>
              <w:t>0,6</w:t>
            </w:r>
          </w:p>
        </w:tc>
        <w:tc>
          <w:tcPr>
            <w:tcW w:w="1560" w:type="dxa"/>
            <w:vAlign w:val="center"/>
          </w:tcPr>
          <w:p w14:paraId="42AC9B8E" w14:textId="77777777" w:rsidR="00705A98" w:rsidRPr="005D1F80" w:rsidRDefault="00705A98" w:rsidP="00A329D2">
            <w:pPr>
              <w:jc w:val="center"/>
              <w:rPr>
                <w:bCs/>
              </w:rPr>
            </w:pPr>
            <w:r w:rsidRPr="005D1F80">
              <w:rPr>
                <w:bCs/>
                <w:color w:val="000000" w:themeColor="text1"/>
                <w:sz w:val="22"/>
                <w:szCs w:val="22"/>
              </w:rPr>
              <w:t>17,5</w:t>
            </w:r>
          </w:p>
        </w:tc>
      </w:tr>
      <w:tr w:rsidR="00705A98" w:rsidRPr="005D1F80" w14:paraId="49F51EE2" w14:textId="77777777" w:rsidTr="00A329D2">
        <w:trPr>
          <w:trHeight w:val="141"/>
        </w:trPr>
        <w:tc>
          <w:tcPr>
            <w:tcW w:w="1922" w:type="dxa"/>
          </w:tcPr>
          <w:p w14:paraId="74CB125A" w14:textId="77777777" w:rsidR="00705A98" w:rsidRPr="005D1F80" w:rsidRDefault="00705A98" w:rsidP="00A329D2">
            <w:r w:rsidRPr="005D1F80">
              <w:rPr>
                <w:rStyle w:val="jlqj4b"/>
                <w:sz w:val="22"/>
                <w:szCs w:val="22"/>
              </w:rPr>
              <w:t>Kletnyansky</w:t>
            </w:r>
          </w:p>
        </w:tc>
        <w:tc>
          <w:tcPr>
            <w:tcW w:w="947" w:type="dxa"/>
            <w:vAlign w:val="center"/>
          </w:tcPr>
          <w:p w14:paraId="2D8C034D" w14:textId="77777777" w:rsidR="00705A98" w:rsidRPr="005D1F80" w:rsidRDefault="00705A98" w:rsidP="00A329D2">
            <w:pPr>
              <w:jc w:val="center"/>
            </w:pPr>
            <w:r w:rsidRPr="005D1F80">
              <w:rPr>
                <w:sz w:val="22"/>
                <w:szCs w:val="22"/>
              </w:rPr>
              <w:t>47</w:t>
            </w:r>
          </w:p>
        </w:tc>
        <w:tc>
          <w:tcPr>
            <w:tcW w:w="825" w:type="dxa"/>
            <w:vAlign w:val="center"/>
          </w:tcPr>
          <w:p w14:paraId="6F677D82" w14:textId="77777777" w:rsidR="00705A98" w:rsidRPr="005D1F80" w:rsidRDefault="00705A98" w:rsidP="00A329D2">
            <w:pPr>
              <w:jc w:val="center"/>
            </w:pPr>
            <w:r w:rsidRPr="005D1F80">
              <w:rPr>
                <w:sz w:val="22"/>
                <w:szCs w:val="22"/>
              </w:rPr>
              <w:t>27</w:t>
            </w:r>
          </w:p>
        </w:tc>
        <w:tc>
          <w:tcPr>
            <w:tcW w:w="825" w:type="dxa"/>
            <w:gridSpan w:val="2"/>
            <w:vAlign w:val="center"/>
          </w:tcPr>
          <w:p w14:paraId="7046CA93" w14:textId="77777777" w:rsidR="00705A98" w:rsidRPr="005D1F80" w:rsidRDefault="00705A98" w:rsidP="00A329D2">
            <w:pPr>
              <w:jc w:val="center"/>
            </w:pPr>
            <w:r w:rsidRPr="005D1F80">
              <w:rPr>
                <w:sz w:val="22"/>
                <w:szCs w:val="22"/>
              </w:rPr>
              <w:t>5</w:t>
            </w:r>
          </w:p>
        </w:tc>
        <w:tc>
          <w:tcPr>
            <w:tcW w:w="843" w:type="dxa"/>
            <w:gridSpan w:val="2"/>
            <w:vAlign w:val="center"/>
          </w:tcPr>
          <w:p w14:paraId="66D66E66" w14:textId="77777777" w:rsidR="00705A98" w:rsidRPr="005D1F80" w:rsidRDefault="00705A98" w:rsidP="00A329D2">
            <w:pPr>
              <w:jc w:val="center"/>
            </w:pPr>
            <w:r w:rsidRPr="005D1F80">
              <w:rPr>
                <w:sz w:val="22"/>
                <w:szCs w:val="22"/>
              </w:rPr>
              <w:t>5</w:t>
            </w:r>
          </w:p>
        </w:tc>
        <w:tc>
          <w:tcPr>
            <w:tcW w:w="934" w:type="dxa"/>
            <w:vAlign w:val="center"/>
          </w:tcPr>
          <w:p w14:paraId="4B5628C7" w14:textId="77777777" w:rsidR="00705A98" w:rsidRPr="005D1F80" w:rsidRDefault="00705A98" w:rsidP="00A329D2">
            <w:pPr>
              <w:jc w:val="center"/>
            </w:pPr>
            <w:r w:rsidRPr="005D1F80">
              <w:rPr>
                <w:sz w:val="22"/>
                <w:szCs w:val="22"/>
              </w:rPr>
              <w:t>10</w:t>
            </w:r>
          </w:p>
        </w:tc>
        <w:tc>
          <w:tcPr>
            <w:tcW w:w="992" w:type="dxa"/>
            <w:vAlign w:val="center"/>
          </w:tcPr>
          <w:p w14:paraId="43673F72" w14:textId="77777777" w:rsidR="00705A98" w:rsidRPr="005D1F80" w:rsidRDefault="00705A98" w:rsidP="00A329D2">
            <w:pPr>
              <w:jc w:val="center"/>
              <w:rPr>
                <w:bCs/>
              </w:rPr>
            </w:pPr>
            <w:r w:rsidRPr="005D1F80">
              <w:rPr>
                <w:bCs/>
                <w:sz w:val="22"/>
                <w:szCs w:val="22"/>
              </w:rPr>
              <w:t>5,4</w:t>
            </w:r>
          </w:p>
        </w:tc>
        <w:tc>
          <w:tcPr>
            <w:tcW w:w="850" w:type="dxa"/>
            <w:vAlign w:val="center"/>
          </w:tcPr>
          <w:p w14:paraId="6AF9DA7E" w14:textId="77777777" w:rsidR="00705A98" w:rsidRPr="005D1F80" w:rsidRDefault="00705A98" w:rsidP="00A329D2">
            <w:pPr>
              <w:jc w:val="center"/>
              <w:rPr>
                <w:bCs/>
              </w:rPr>
            </w:pPr>
            <w:r w:rsidRPr="005D1F80">
              <w:rPr>
                <w:bCs/>
                <w:sz w:val="22"/>
                <w:szCs w:val="22"/>
              </w:rPr>
              <w:t>0,5</w:t>
            </w:r>
          </w:p>
        </w:tc>
        <w:tc>
          <w:tcPr>
            <w:tcW w:w="1560" w:type="dxa"/>
            <w:vAlign w:val="center"/>
          </w:tcPr>
          <w:p w14:paraId="0E400B10" w14:textId="77777777" w:rsidR="00705A98" w:rsidRPr="005D1F80" w:rsidRDefault="00705A98" w:rsidP="00A329D2">
            <w:pPr>
              <w:jc w:val="center"/>
              <w:rPr>
                <w:bCs/>
              </w:rPr>
            </w:pPr>
            <w:r w:rsidRPr="005D1F80">
              <w:rPr>
                <w:bCs/>
                <w:color w:val="000000" w:themeColor="text1"/>
                <w:sz w:val="22"/>
                <w:szCs w:val="22"/>
              </w:rPr>
              <w:t>21,6</w:t>
            </w:r>
          </w:p>
        </w:tc>
      </w:tr>
      <w:tr w:rsidR="00705A98" w:rsidRPr="005D1F80" w14:paraId="50867E0D" w14:textId="77777777" w:rsidTr="00A329D2">
        <w:trPr>
          <w:trHeight w:val="141"/>
        </w:trPr>
        <w:tc>
          <w:tcPr>
            <w:tcW w:w="1922" w:type="dxa"/>
          </w:tcPr>
          <w:p w14:paraId="5BAE952C" w14:textId="77777777" w:rsidR="00705A98" w:rsidRPr="005D1F80" w:rsidRDefault="00705A98" w:rsidP="00A329D2">
            <w:r w:rsidRPr="005D1F80">
              <w:rPr>
                <w:rStyle w:val="jlqj4b"/>
                <w:sz w:val="22"/>
                <w:szCs w:val="22"/>
              </w:rPr>
              <w:t>Navlinsky</w:t>
            </w:r>
          </w:p>
        </w:tc>
        <w:tc>
          <w:tcPr>
            <w:tcW w:w="947" w:type="dxa"/>
            <w:vAlign w:val="center"/>
          </w:tcPr>
          <w:p w14:paraId="539DA75A" w14:textId="77777777" w:rsidR="00705A98" w:rsidRPr="005D1F80" w:rsidRDefault="00705A98" w:rsidP="00A329D2">
            <w:pPr>
              <w:jc w:val="center"/>
            </w:pPr>
            <w:r w:rsidRPr="005D1F80">
              <w:rPr>
                <w:sz w:val="22"/>
                <w:szCs w:val="22"/>
              </w:rPr>
              <w:t>53</w:t>
            </w:r>
          </w:p>
        </w:tc>
        <w:tc>
          <w:tcPr>
            <w:tcW w:w="825" w:type="dxa"/>
            <w:vAlign w:val="center"/>
          </w:tcPr>
          <w:p w14:paraId="622A16E3" w14:textId="77777777" w:rsidR="00705A98" w:rsidRPr="005D1F80" w:rsidRDefault="00705A98" w:rsidP="00A329D2">
            <w:pPr>
              <w:jc w:val="center"/>
            </w:pPr>
            <w:r w:rsidRPr="005D1F80">
              <w:rPr>
                <w:sz w:val="22"/>
                <w:szCs w:val="22"/>
              </w:rPr>
              <w:t>12</w:t>
            </w:r>
          </w:p>
        </w:tc>
        <w:tc>
          <w:tcPr>
            <w:tcW w:w="825" w:type="dxa"/>
            <w:gridSpan w:val="2"/>
            <w:vAlign w:val="center"/>
          </w:tcPr>
          <w:p w14:paraId="03BCF196" w14:textId="77777777" w:rsidR="00705A98" w:rsidRPr="005D1F80" w:rsidRDefault="00705A98" w:rsidP="00A329D2">
            <w:pPr>
              <w:jc w:val="center"/>
            </w:pPr>
            <w:r w:rsidRPr="005D1F80">
              <w:rPr>
                <w:sz w:val="22"/>
                <w:szCs w:val="22"/>
              </w:rPr>
              <w:t>13</w:t>
            </w:r>
          </w:p>
        </w:tc>
        <w:tc>
          <w:tcPr>
            <w:tcW w:w="843" w:type="dxa"/>
            <w:gridSpan w:val="2"/>
            <w:vAlign w:val="center"/>
          </w:tcPr>
          <w:p w14:paraId="028CC949" w14:textId="77777777" w:rsidR="00705A98" w:rsidRPr="005D1F80" w:rsidRDefault="00705A98" w:rsidP="00A329D2">
            <w:pPr>
              <w:jc w:val="center"/>
            </w:pPr>
            <w:r w:rsidRPr="005D1F80">
              <w:rPr>
                <w:sz w:val="22"/>
                <w:szCs w:val="22"/>
              </w:rPr>
              <w:t>4</w:t>
            </w:r>
          </w:p>
        </w:tc>
        <w:tc>
          <w:tcPr>
            <w:tcW w:w="934" w:type="dxa"/>
            <w:vAlign w:val="center"/>
          </w:tcPr>
          <w:p w14:paraId="6E129510" w14:textId="77777777" w:rsidR="00705A98" w:rsidRPr="005D1F80" w:rsidRDefault="00705A98" w:rsidP="00A329D2">
            <w:pPr>
              <w:jc w:val="center"/>
            </w:pPr>
            <w:r w:rsidRPr="005D1F80">
              <w:rPr>
                <w:sz w:val="22"/>
                <w:szCs w:val="22"/>
              </w:rPr>
              <w:t>25</w:t>
            </w:r>
          </w:p>
        </w:tc>
        <w:tc>
          <w:tcPr>
            <w:tcW w:w="992" w:type="dxa"/>
            <w:vAlign w:val="center"/>
          </w:tcPr>
          <w:p w14:paraId="59ED72B6" w14:textId="77777777" w:rsidR="00705A98" w:rsidRPr="005D1F80" w:rsidRDefault="00705A98" w:rsidP="00A329D2">
            <w:pPr>
              <w:jc w:val="center"/>
              <w:rPr>
                <w:bCs/>
              </w:rPr>
            </w:pPr>
            <w:r w:rsidRPr="005D1F80">
              <w:rPr>
                <w:bCs/>
                <w:sz w:val="22"/>
                <w:szCs w:val="22"/>
              </w:rPr>
              <w:t>18,9</w:t>
            </w:r>
          </w:p>
        </w:tc>
        <w:tc>
          <w:tcPr>
            <w:tcW w:w="850" w:type="dxa"/>
            <w:vAlign w:val="center"/>
          </w:tcPr>
          <w:p w14:paraId="05569041" w14:textId="77777777" w:rsidR="00705A98" w:rsidRPr="005D1F80" w:rsidRDefault="00705A98" w:rsidP="00A329D2">
            <w:pPr>
              <w:jc w:val="center"/>
              <w:rPr>
                <w:bCs/>
              </w:rPr>
            </w:pPr>
            <w:r w:rsidRPr="005D1F80">
              <w:rPr>
                <w:bCs/>
                <w:sz w:val="22"/>
                <w:szCs w:val="22"/>
              </w:rPr>
              <w:t>0,8</w:t>
            </w:r>
          </w:p>
        </w:tc>
        <w:tc>
          <w:tcPr>
            <w:tcW w:w="1560" w:type="dxa"/>
            <w:vAlign w:val="center"/>
          </w:tcPr>
          <w:p w14:paraId="64E8C2CF" w14:textId="77777777" w:rsidR="00705A98" w:rsidRPr="005D1F80" w:rsidRDefault="00705A98" w:rsidP="00A329D2">
            <w:pPr>
              <w:jc w:val="center"/>
              <w:rPr>
                <w:bCs/>
              </w:rPr>
            </w:pPr>
            <w:r w:rsidRPr="005D1F80">
              <w:rPr>
                <w:bCs/>
                <w:color w:val="000000" w:themeColor="text1"/>
                <w:sz w:val="22"/>
                <w:szCs w:val="22"/>
              </w:rPr>
              <w:t>18,7</w:t>
            </w:r>
          </w:p>
        </w:tc>
      </w:tr>
      <w:tr w:rsidR="00705A98" w:rsidRPr="005D1F80" w14:paraId="6FD4E2C0" w14:textId="77777777" w:rsidTr="00A329D2">
        <w:trPr>
          <w:trHeight w:val="141"/>
        </w:trPr>
        <w:tc>
          <w:tcPr>
            <w:tcW w:w="1922" w:type="dxa"/>
          </w:tcPr>
          <w:p w14:paraId="529EA66B" w14:textId="77777777" w:rsidR="00705A98" w:rsidRPr="005D1F80" w:rsidRDefault="00705A98" w:rsidP="00A329D2">
            <w:r w:rsidRPr="005D1F80">
              <w:rPr>
                <w:rStyle w:val="jlqj4b"/>
                <w:sz w:val="22"/>
                <w:szCs w:val="22"/>
              </w:rPr>
              <w:t>Dubrovsky</w:t>
            </w:r>
          </w:p>
        </w:tc>
        <w:tc>
          <w:tcPr>
            <w:tcW w:w="947" w:type="dxa"/>
            <w:vAlign w:val="center"/>
          </w:tcPr>
          <w:p w14:paraId="2B632DB7" w14:textId="77777777" w:rsidR="00705A98" w:rsidRPr="005D1F80" w:rsidRDefault="00705A98" w:rsidP="00A329D2">
            <w:pPr>
              <w:jc w:val="center"/>
            </w:pPr>
            <w:r w:rsidRPr="005D1F80">
              <w:rPr>
                <w:sz w:val="22"/>
                <w:szCs w:val="22"/>
              </w:rPr>
              <w:t>56</w:t>
            </w:r>
          </w:p>
        </w:tc>
        <w:tc>
          <w:tcPr>
            <w:tcW w:w="825" w:type="dxa"/>
            <w:vAlign w:val="center"/>
          </w:tcPr>
          <w:p w14:paraId="16DD8CF7" w14:textId="77777777" w:rsidR="00705A98" w:rsidRPr="005D1F80" w:rsidRDefault="00705A98" w:rsidP="00A329D2">
            <w:pPr>
              <w:jc w:val="center"/>
            </w:pPr>
            <w:r w:rsidRPr="005D1F80">
              <w:rPr>
                <w:sz w:val="22"/>
                <w:szCs w:val="22"/>
              </w:rPr>
              <w:t>13</w:t>
            </w:r>
          </w:p>
        </w:tc>
        <w:tc>
          <w:tcPr>
            <w:tcW w:w="825" w:type="dxa"/>
            <w:gridSpan w:val="2"/>
            <w:vAlign w:val="center"/>
          </w:tcPr>
          <w:p w14:paraId="4C759E25" w14:textId="77777777" w:rsidR="00705A98" w:rsidRPr="005D1F80" w:rsidRDefault="00705A98" w:rsidP="00A329D2">
            <w:pPr>
              <w:jc w:val="center"/>
            </w:pPr>
            <w:r w:rsidRPr="005D1F80">
              <w:rPr>
                <w:sz w:val="22"/>
                <w:szCs w:val="22"/>
              </w:rPr>
              <w:t>17</w:t>
            </w:r>
          </w:p>
        </w:tc>
        <w:tc>
          <w:tcPr>
            <w:tcW w:w="843" w:type="dxa"/>
            <w:gridSpan w:val="2"/>
            <w:vAlign w:val="center"/>
          </w:tcPr>
          <w:p w14:paraId="5740D70B" w14:textId="77777777" w:rsidR="00705A98" w:rsidRPr="005D1F80" w:rsidRDefault="00705A98" w:rsidP="00A329D2">
            <w:pPr>
              <w:jc w:val="center"/>
            </w:pPr>
            <w:r w:rsidRPr="005D1F80">
              <w:rPr>
                <w:sz w:val="22"/>
                <w:szCs w:val="22"/>
              </w:rPr>
              <w:t>0,4</w:t>
            </w:r>
          </w:p>
        </w:tc>
        <w:tc>
          <w:tcPr>
            <w:tcW w:w="934" w:type="dxa"/>
            <w:vAlign w:val="center"/>
          </w:tcPr>
          <w:p w14:paraId="6D86A685" w14:textId="77777777" w:rsidR="00705A98" w:rsidRPr="005D1F80" w:rsidRDefault="00705A98" w:rsidP="00A329D2">
            <w:pPr>
              <w:jc w:val="center"/>
            </w:pPr>
            <w:r w:rsidRPr="005D1F80">
              <w:rPr>
                <w:sz w:val="22"/>
                <w:szCs w:val="22"/>
              </w:rPr>
              <w:t>26</w:t>
            </w:r>
          </w:p>
        </w:tc>
        <w:tc>
          <w:tcPr>
            <w:tcW w:w="992" w:type="dxa"/>
            <w:vAlign w:val="center"/>
          </w:tcPr>
          <w:p w14:paraId="61AF413D" w14:textId="77777777" w:rsidR="00705A98" w:rsidRPr="005D1F80" w:rsidRDefault="00705A98" w:rsidP="00A329D2">
            <w:pPr>
              <w:jc w:val="center"/>
              <w:rPr>
                <w:bCs/>
              </w:rPr>
            </w:pPr>
            <w:r w:rsidRPr="005D1F80">
              <w:rPr>
                <w:bCs/>
                <w:sz w:val="22"/>
                <w:szCs w:val="22"/>
              </w:rPr>
              <w:t>7,2</w:t>
            </w:r>
          </w:p>
        </w:tc>
        <w:tc>
          <w:tcPr>
            <w:tcW w:w="850" w:type="dxa"/>
            <w:vAlign w:val="center"/>
          </w:tcPr>
          <w:p w14:paraId="1B66A3FE" w14:textId="77777777" w:rsidR="00705A98" w:rsidRPr="005D1F80" w:rsidRDefault="00705A98" w:rsidP="00A329D2">
            <w:pPr>
              <w:jc w:val="center"/>
              <w:rPr>
                <w:bCs/>
              </w:rPr>
            </w:pPr>
            <w:r w:rsidRPr="005D1F80">
              <w:rPr>
                <w:bCs/>
                <w:sz w:val="22"/>
                <w:szCs w:val="22"/>
              </w:rPr>
              <w:t>0,4</w:t>
            </w:r>
          </w:p>
        </w:tc>
        <w:tc>
          <w:tcPr>
            <w:tcW w:w="1560" w:type="dxa"/>
            <w:vAlign w:val="center"/>
          </w:tcPr>
          <w:p w14:paraId="4BAE1127" w14:textId="77777777" w:rsidR="00705A98" w:rsidRPr="005D1F80" w:rsidRDefault="00705A98" w:rsidP="00A329D2">
            <w:pPr>
              <w:jc w:val="center"/>
              <w:rPr>
                <w:bCs/>
              </w:rPr>
            </w:pPr>
            <w:r w:rsidRPr="005D1F80">
              <w:rPr>
                <w:bCs/>
                <w:color w:val="000000" w:themeColor="text1"/>
                <w:sz w:val="22"/>
                <w:szCs w:val="22"/>
              </w:rPr>
              <w:t>19,4</w:t>
            </w:r>
          </w:p>
        </w:tc>
      </w:tr>
      <w:tr w:rsidR="00705A98" w:rsidRPr="005D1F80" w14:paraId="4D255B2B" w14:textId="77777777" w:rsidTr="00A329D2">
        <w:trPr>
          <w:trHeight w:val="141"/>
        </w:trPr>
        <w:tc>
          <w:tcPr>
            <w:tcW w:w="1922" w:type="dxa"/>
          </w:tcPr>
          <w:p w14:paraId="550BDAEE" w14:textId="77777777" w:rsidR="00705A98" w:rsidRPr="005D1F80" w:rsidRDefault="00705A98" w:rsidP="00A329D2">
            <w:r w:rsidRPr="005D1F80">
              <w:rPr>
                <w:rStyle w:val="jlqj4b"/>
                <w:sz w:val="22"/>
                <w:szCs w:val="22"/>
              </w:rPr>
              <w:t>Brasovsky</w:t>
            </w:r>
          </w:p>
        </w:tc>
        <w:tc>
          <w:tcPr>
            <w:tcW w:w="947" w:type="dxa"/>
            <w:vAlign w:val="center"/>
          </w:tcPr>
          <w:p w14:paraId="42DACDFA" w14:textId="77777777" w:rsidR="00705A98" w:rsidRPr="005D1F80" w:rsidRDefault="00705A98" w:rsidP="00A329D2">
            <w:pPr>
              <w:jc w:val="center"/>
            </w:pPr>
            <w:r w:rsidRPr="005D1F80">
              <w:rPr>
                <w:sz w:val="22"/>
                <w:szCs w:val="22"/>
              </w:rPr>
              <w:t>64</w:t>
            </w:r>
          </w:p>
        </w:tc>
        <w:tc>
          <w:tcPr>
            <w:tcW w:w="825" w:type="dxa"/>
            <w:vAlign w:val="center"/>
          </w:tcPr>
          <w:p w14:paraId="5F1CD0C7" w14:textId="77777777" w:rsidR="00705A98" w:rsidRPr="005D1F80" w:rsidRDefault="00705A98" w:rsidP="00A329D2">
            <w:pPr>
              <w:jc w:val="center"/>
            </w:pPr>
            <w:r w:rsidRPr="005D1F80">
              <w:rPr>
                <w:sz w:val="22"/>
                <w:szCs w:val="22"/>
              </w:rPr>
              <w:t>10</w:t>
            </w:r>
          </w:p>
        </w:tc>
        <w:tc>
          <w:tcPr>
            <w:tcW w:w="825" w:type="dxa"/>
            <w:gridSpan w:val="2"/>
            <w:vAlign w:val="center"/>
          </w:tcPr>
          <w:p w14:paraId="6F823DC7" w14:textId="77777777" w:rsidR="00705A98" w:rsidRPr="005D1F80" w:rsidRDefault="00705A98" w:rsidP="00A329D2">
            <w:pPr>
              <w:jc w:val="center"/>
            </w:pPr>
            <w:r w:rsidRPr="005D1F80">
              <w:rPr>
                <w:sz w:val="22"/>
                <w:szCs w:val="22"/>
              </w:rPr>
              <w:t>19</w:t>
            </w:r>
          </w:p>
        </w:tc>
        <w:tc>
          <w:tcPr>
            <w:tcW w:w="843" w:type="dxa"/>
            <w:gridSpan w:val="2"/>
            <w:vAlign w:val="center"/>
          </w:tcPr>
          <w:p w14:paraId="7288F32D" w14:textId="77777777" w:rsidR="00705A98" w:rsidRPr="005D1F80" w:rsidRDefault="00705A98" w:rsidP="00A329D2">
            <w:pPr>
              <w:jc w:val="center"/>
            </w:pPr>
            <w:r w:rsidRPr="005D1F80">
              <w:rPr>
                <w:sz w:val="22"/>
                <w:szCs w:val="22"/>
              </w:rPr>
              <w:t>6</w:t>
            </w:r>
          </w:p>
        </w:tc>
        <w:tc>
          <w:tcPr>
            <w:tcW w:w="934" w:type="dxa"/>
            <w:vAlign w:val="center"/>
          </w:tcPr>
          <w:p w14:paraId="0AE5F72B" w14:textId="77777777" w:rsidR="00705A98" w:rsidRPr="005D1F80" w:rsidRDefault="00705A98" w:rsidP="00A329D2">
            <w:pPr>
              <w:jc w:val="center"/>
            </w:pPr>
            <w:r w:rsidRPr="005D1F80">
              <w:rPr>
                <w:sz w:val="22"/>
                <w:szCs w:val="22"/>
              </w:rPr>
              <w:t>29</w:t>
            </w:r>
          </w:p>
        </w:tc>
        <w:tc>
          <w:tcPr>
            <w:tcW w:w="992" w:type="dxa"/>
            <w:vAlign w:val="center"/>
          </w:tcPr>
          <w:p w14:paraId="3347DCCD" w14:textId="77777777" w:rsidR="00705A98" w:rsidRPr="005D1F80" w:rsidRDefault="00705A98" w:rsidP="00A329D2">
            <w:pPr>
              <w:jc w:val="center"/>
              <w:rPr>
                <w:bCs/>
              </w:rPr>
            </w:pPr>
            <w:r w:rsidRPr="005D1F80">
              <w:rPr>
                <w:bCs/>
                <w:sz w:val="22"/>
                <w:szCs w:val="22"/>
              </w:rPr>
              <w:t>25,2</w:t>
            </w:r>
          </w:p>
        </w:tc>
        <w:tc>
          <w:tcPr>
            <w:tcW w:w="850" w:type="dxa"/>
            <w:vAlign w:val="center"/>
          </w:tcPr>
          <w:p w14:paraId="66EE7671" w14:textId="77777777" w:rsidR="00705A98" w:rsidRPr="005D1F80" w:rsidRDefault="00705A98" w:rsidP="00A329D2">
            <w:pPr>
              <w:jc w:val="center"/>
              <w:rPr>
                <w:bCs/>
              </w:rPr>
            </w:pPr>
            <w:r w:rsidRPr="005D1F80">
              <w:rPr>
                <w:bCs/>
                <w:sz w:val="22"/>
                <w:szCs w:val="22"/>
              </w:rPr>
              <w:t>0,4</w:t>
            </w:r>
          </w:p>
        </w:tc>
        <w:tc>
          <w:tcPr>
            <w:tcW w:w="1560" w:type="dxa"/>
            <w:vAlign w:val="center"/>
          </w:tcPr>
          <w:p w14:paraId="6542C250" w14:textId="77777777" w:rsidR="00705A98" w:rsidRPr="005D1F80" w:rsidRDefault="00705A98" w:rsidP="00A329D2">
            <w:pPr>
              <w:jc w:val="center"/>
              <w:rPr>
                <w:bCs/>
              </w:rPr>
            </w:pPr>
            <w:r w:rsidRPr="005D1F80">
              <w:rPr>
                <w:bCs/>
                <w:color w:val="000000" w:themeColor="text1"/>
                <w:sz w:val="22"/>
                <w:szCs w:val="22"/>
              </w:rPr>
              <w:t>20,0</w:t>
            </w:r>
          </w:p>
        </w:tc>
      </w:tr>
      <w:tr w:rsidR="00705A98" w:rsidRPr="005D1F80" w14:paraId="13874799" w14:textId="77777777" w:rsidTr="00A329D2">
        <w:trPr>
          <w:trHeight w:val="141"/>
        </w:trPr>
        <w:tc>
          <w:tcPr>
            <w:tcW w:w="1922" w:type="dxa"/>
          </w:tcPr>
          <w:p w14:paraId="2D274DE0" w14:textId="77777777" w:rsidR="00705A98" w:rsidRPr="005D1F80" w:rsidRDefault="00705A98" w:rsidP="00A329D2">
            <w:r w:rsidRPr="005D1F80">
              <w:rPr>
                <w:rStyle w:val="jlqj4b"/>
                <w:sz w:val="22"/>
                <w:szCs w:val="22"/>
              </w:rPr>
              <w:t>Sevsky</w:t>
            </w:r>
          </w:p>
        </w:tc>
        <w:tc>
          <w:tcPr>
            <w:tcW w:w="947" w:type="dxa"/>
            <w:vAlign w:val="center"/>
          </w:tcPr>
          <w:p w14:paraId="57E34844" w14:textId="77777777" w:rsidR="00705A98" w:rsidRPr="005D1F80" w:rsidRDefault="00705A98" w:rsidP="00A329D2">
            <w:pPr>
              <w:jc w:val="center"/>
            </w:pPr>
            <w:r w:rsidRPr="005D1F80">
              <w:rPr>
                <w:sz w:val="22"/>
                <w:szCs w:val="22"/>
              </w:rPr>
              <w:t>68</w:t>
            </w:r>
          </w:p>
        </w:tc>
        <w:tc>
          <w:tcPr>
            <w:tcW w:w="825" w:type="dxa"/>
            <w:vAlign w:val="center"/>
          </w:tcPr>
          <w:p w14:paraId="455833E4" w14:textId="77777777" w:rsidR="00705A98" w:rsidRPr="005D1F80" w:rsidRDefault="00705A98" w:rsidP="00A329D2">
            <w:pPr>
              <w:jc w:val="center"/>
            </w:pPr>
            <w:r w:rsidRPr="005D1F80">
              <w:rPr>
                <w:sz w:val="22"/>
                <w:szCs w:val="22"/>
              </w:rPr>
              <w:t>20</w:t>
            </w:r>
          </w:p>
        </w:tc>
        <w:tc>
          <w:tcPr>
            <w:tcW w:w="825" w:type="dxa"/>
            <w:gridSpan w:val="2"/>
            <w:vAlign w:val="center"/>
          </w:tcPr>
          <w:p w14:paraId="63CB8DD7" w14:textId="77777777" w:rsidR="00705A98" w:rsidRPr="005D1F80" w:rsidRDefault="00705A98" w:rsidP="00A329D2">
            <w:pPr>
              <w:jc w:val="center"/>
            </w:pPr>
            <w:r w:rsidRPr="005D1F80">
              <w:rPr>
                <w:sz w:val="22"/>
                <w:szCs w:val="22"/>
              </w:rPr>
              <w:t>10</w:t>
            </w:r>
          </w:p>
        </w:tc>
        <w:tc>
          <w:tcPr>
            <w:tcW w:w="843" w:type="dxa"/>
            <w:gridSpan w:val="2"/>
            <w:vAlign w:val="center"/>
          </w:tcPr>
          <w:p w14:paraId="130D4D0C" w14:textId="77777777" w:rsidR="00705A98" w:rsidRPr="005D1F80" w:rsidRDefault="00705A98" w:rsidP="00A329D2">
            <w:pPr>
              <w:jc w:val="center"/>
            </w:pPr>
            <w:r w:rsidRPr="005D1F80">
              <w:rPr>
                <w:sz w:val="22"/>
                <w:szCs w:val="22"/>
              </w:rPr>
              <w:t>24</w:t>
            </w:r>
          </w:p>
        </w:tc>
        <w:tc>
          <w:tcPr>
            <w:tcW w:w="934" w:type="dxa"/>
            <w:vAlign w:val="center"/>
          </w:tcPr>
          <w:p w14:paraId="005173F8" w14:textId="77777777" w:rsidR="00705A98" w:rsidRPr="005D1F80" w:rsidRDefault="00705A98" w:rsidP="00A329D2">
            <w:pPr>
              <w:jc w:val="center"/>
            </w:pPr>
            <w:r w:rsidRPr="005D1F80">
              <w:rPr>
                <w:sz w:val="22"/>
                <w:szCs w:val="22"/>
              </w:rPr>
              <w:t>14</w:t>
            </w:r>
          </w:p>
        </w:tc>
        <w:tc>
          <w:tcPr>
            <w:tcW w:w="992" w:type="dxa"/>
            <w:vAlign w:val="center"/>
          </w:tcPr>
          <w:p w14:paraId="4FDAA3D2" w14:textId="77777777" w:rsidR="00705A98" w:rsidRPr="005D1F80" w:rsidRDefault="00705A98" w:rsidP="00A329D2">
            <w:pPr>
              <w:jc w:val="center"/>
              <w:rPr>
                <w:bCs/>
              </w:rPr>
            </w:pPr>
            <w:r w:rsidRPr="005D1F80">
              <w:rPr>
                <w:bCs/>
                <w:sz w:val="22"/>
                <w:szCs w:val="22"/>
              </w:rPr>
              <w:t>18,9</w:t>
            </w:r>
          </w:p>
        </w:tc>
        <w:tc>
          <w:tcPr>
            <w:tcW w:w="850" w:type="dxa"/>
            <w:vAlign w:val="center"/>
          </w:tcPr>
          <w:p w14:paraId="11CB8802" w14:textId="77777777" w:rsidR="00705A98" w:rsidRPr="005D1F80" w:rsidRDefault="00705A98" w:rsidP="00A329D2">
            <w:pPr>
              <w:jc w:val="center"/>
              <w:rPr>
                <w:bCs/>
              </w:rPr>
            </w:pPr>
            <w:r w:rsidRPr="005D1F80">
              <w:rPr>
                <w:bCs/>
                <w:sz w:val="22"/>
                <w:szCs w:val="22"/>
              </w:rPr>
              <w:t>1,4</w:t>
            </w:r>
          </w:p>
        </w:tc>
        <w:tc>
          <w:tcPr>
            <w:tcW w:w="1560" w:type="dxa"/>
            <w:vAlign w:val="center"/>
          </w:tcPr>
          <w:p w14:paraId="482D78FC" w14:textId="77777777" w:rsidR="00705A98" w:rsidRPr="005D1F80" w:rsidRDefault="00705A98" w:rsidP="00A329D2">
            <w:pPr>
              <w:jc w:val="center"/>
              <w:rPr>
                <w:bCs/>
              </w:rPr>
            </w:pPr>
            <w:r w:rsidRPr="005D1F80">
              <w:rPr>
                <w:bCs/>
                <w:color w:val="000000" w:themeColor="text1"/>
                <w:sz w:val="22"/>
                <w:szCs w:val="22"/>
              </w:rPr>
              <w:t>19,4</w:t>
            </w:r>
          </w:p>
        </w:tc>
      </w:tr>
      <w:tr w:rsidR="00705A98" w:rsidRPr="005D1F80" w14:paraId="5F624608" w14:textId="77777777" w:rsidTr="00A329D2">
        <w:trPr>
          <w:trHeight w:val="141"/>
        </w:trPr>
        <w:tc>
          <w:tcPr>
            <w:tcW w:w="1922" w:type="dxa"/>
          </w:tcPr>
          <w:p w14:paraId="47D26936" w14:textId="77777777" w:rsidR="00705A98" w:rsidRPr="005D1F80" w:rsidRDefault="00705A98" w:rsidP="00A329D2">
            <w:r w:rsidRPr="005D1F80">
              <w:rPr>
                <w:rStyle w:val="jlqj4b"/>
                <w:sz w:val="22"/>
                <w:szCs w:val="22"/>
              </w:rPr>
              <w:t>Komarichsky</w:t>
            </w:r>
          </w:p>
        </w:tc>
        <w:tc>
          <w:tcPr>
            <w:tcW w:w="947" w:type="dxa"/>
            <w:vAlign w:val="center"/>
          </w:tcPr>
          <w:p w14:paraId="6E1B1208" w14:textId="77777777" w:rsidR="00705A98" w:rsidRPr="005D1F80" w:rsidRDefault="00705A98" w:rsidP="00A329D2">
            <w:pPr>
              <w:jc w:val="center"/>
            </w:pPr>
            <w:r w:rsidRPr="005D1F80">
              <w:rPr>
                <w:sz w:val="22"/>
                <w:szCs w:val="22"/>
              </w:rPr>
              <w:t>99</w:t>
            </w:r>
          </w:p>
        </w:tc>
        <w:tc>
          <w:tcPr>
            <w:tcW w:w="825" w:type="dxa"/>
            <w:vAlign w:val="center"/>
          </w:tcPr>
          <w:p w14:paraId="1F8FBFCF" w14:textId="77777777" w:rsidR="00705A98" w:rsidRPr="005D1F80" w:rsidRDefault="00705A98" w:rsidP="00A329D2">
            <w:pPr>
              <w:jc w:val="center"/>
            </w:pPr>
            <w:r w:rsidRPr="005D1F80">
              <w:rPr>
                <w:sz w:val="22"/>
                <w:szCs w:val="22"/>
              </w:rPr>
              <w:t>25</w:t>
            </w:r>
          </w:p>
        </w:tc>
        <w:tc>
          <w:tcPr>
            <w:tcW w:w="825" w:type="dxa"/>
            <w:gridSpan w:val="2"/>
            <w:vAlign w:val="center"/>
          </w:tcPr>
          <w:p w14:paraId="68BE2843" w14:textId="77777777" w:rsidR="00705A98" w:rsidRPr="005D1F80" w:rsidRDefault="00705A98" w:rsidP="00A329D2">
            <w:pPr>
              <w:jc w:val="center"/>
            </w:pPr>
            <w:r w:rsidRPr="005D1F80">
              <w:rPr>
                <w:sz w:val="22"/>
                <w:szCs w:val="22"/>
              </w:rPr>
              <w:t>19</w:t>
            </w:r>
          </w:p>
        </w:tc>
        <w:tc>
          <w:tcPr>
            <w:tcW w:w="843" w:type="dxa"/>
            <w:gridSpan w:val="2"/>
            <w:vAlign w:val="center"/>
          </w:tcPr>
          <w:p w14:paraId="621B77CA" w14:textId="77777777" w:rsidR="00705A98" w:rsidRPr="005D1F80" w:rsidRDefault="00705A98" w:rsidP="00A329D2">
            <w:pPr>
              <w:jc w:val="center"/>
            </w:pPr>
            <w:r w:rsidRPr="005D1F80">
              <w:rPr>
                <w:sz w:val="22"/>
                <w:szCs w:val="22"/>
              </w:rPr>
              <w:t>9</w:t>
            </w:r>
          </w:p>
        </w:tc>
        <w:tc>
          <w:tcPr>
            <w:tcW w:w="934" w:type="dxa"/>
            <w:vAlign w:val="center"/>
          </w:tcPr>
          <w:p w14:paraId="52CF7E56" w14:textId="77777777" w:rsidR="00705A98" w:rsidRPr="005D1F80" w:rsidRDefault="00705A98" w:rsidP="00A329D2">
            <w:pPr>
              <w:jc w:val="center"/>
            </w:pPr>
            <w:r w:rsidRPr="005D1F80">
              <w:rPr>
                <w:sz w:val="22"/>
                <w:szCs w:val="22"/>
              </w:rPr>
              <w:t>46</w:t>
            </w:r>
          </w:p>
        </w:tc>
        <w:tc>
          <w:tcPr>
            <w:tcW w:w="992" w:type="dxa"/>
            <w:vAlign w:val="center"/>
          </w:tcPr>
          <w:p w14:paraId="7D2E900A" w14:textId="77777777" w:rsidR="00705A98" w:rsidRPr="005D1F80" w:rsidRDefault="00705A98" w:rsidP="00A329D2">
            <w:pPr>
              <w:jc w:val="center"/>
              <w:rPr>
                <w:bCs/>
              </w:rPr>
            </w:pPr>
            <w:r w:rsidRPr="005D1F80">
              <w:rPr>
                <w:bCs/>
                <w:sz w:val="22"/>
                <w:szCs w:val="22"/>
              </w:rPr>
              <w:t>27,1</w:t>
            </w:r>
          </w:p>
        </w:tc>
        <w:tc>
          <w:tcPr>
            <w:tcW w:w="850" w:type="dxa"/>
            <w:vAlign w:val="center"/>
          </w:tcPr>
          <w:p w14:paraId="7E58D7ED" w14:textId="77777777" w:rsidR="00705A98" w:rsidRPr="005D1F80" w:rsidRDefault="00705A98" w:rsidP="00A329D2">
            <w:pPr>
              <w:jc w:val="center"/>
              <w:rPr>
                <w:bCs/>
              </w:rPr>
            </w:pPr>
            <w:r w:rsidRPr="005D1F80">
              <w:rPr>
                <w:bCs/>
                <w:sz w:val="22"/>
                <w:szCs w:val="22"/>
              </w:rPr>
              <w:t>1,0</w:t>
            </w:r>
          </w:p>
        </w:tc>
        <w:tc>
          <w:tcPr>
            <w:tcW w:w="1560" w:type="dxa"/>
            <w:vAlign w:val="center"/>
          </w:tcPr>
          <w:p w14:paraId="31608886" w14:textId="77777777" w:rsidR="00705A98" w:rsidRPr="005D1F80" w:rsidRDefault="00705A98" w:rsidP="00A329D2">
            <w:pPr>
              <w:jc w:val="center"/>
              <w:rPr>
                <w:bCs/>
              </w:rPr>
            </w:pPr>
            <w:r w:rsidRPr="005D1F80">
              <w:rPr>
                <w:bCs/>
                <w:color w:val="000000" w:themeColor="text1"/>
                <w:sz w:val="22"/>
                <w:szCs w:val="22"/>
              </w:rPr>
              <w:t>15,1</w:t>
            </w:r>
          </w:p>
        </w:tc>
      </w:tr>
      <w:tr w:rsidR="00705A98" w:rsidRPr="005D1F80" w14:paraId="15F0890A" w14:textId="77777777" w:rsidTr="00A329D2">
        <w:trPr>
          <w:trHeight w:val="141"/>
        </w:trPr>
        <w:tc>
          <w:tcPr>
            <w:tcW w:w="1922" w:type="dxa"/>
          </w:tcPr>
          <w:p w14:paraId="58259A70" w14:textId="77777777" w:rsidR="00705A98" w:rsidRPr="005D1F80" w:rsidRDefault="00705A98" w:rsidP="00A329D2">
            <w:r w:rsidRPr="005D1F80">
              <w:rPr>
                <w:rStyle w:val="jlqj4b"/>
                <w:sz w:val="22"/>
                <w:szCs w:val="22"/>
              </w:rPr>
              <w:t>Karachevsky</w:t>
            </w:r>
          </w:p>
        </w:tc>
        <w:tc>
          <w:tcPr>
            <w:tcW w:w="947" w:type="dxa"/>
            <w:vAlign w:val="center"/>
          </w:tcPr>
          <w:p w14:paraId="35A2AC5B" w14:textId="77777777" w:rsidR="00705A98" w:rsidRPr="005D1F80" w:rsidRDefault="00705A98" w:rsidP="00A329D2">
            <w:pPr>
              <w:jc w:val="center"/>
            </w:pPr>
            <w:r w:rsidRPr="005D1F80">
              <w:rPr>
                <w:sz w:val="22"/>
                <w:szCs w:val="22"/>
              </w:rPr>
              <w:t>115</w:t>
            </w:r>
          </w:p>
        </w:tc>
        <w:tc>
          <w:tcPr>
            <w:tcW w:w="825" w:type="dxa"/>
            <w:vAlign w:val="center"/>
          </w:tcPr>
          <w:p w14:paraId="3CBAE797" w14:textId="77777777" w:rsidR="00705A98" w:rsidRPr="005D1F80" w:rsidRDefault="00705A98" w:rsidP="00A329D2">
            <w:pPr>
              <w:jc w:val="center"/>
            </w:pPr>
            <w:r w:rsidRPr="005D1F80">
              <w:rPr>
                <w:sz w:val="22"/>
                <w:szCs w:val="22"/>
              </w:rPr>
              <w:t>29</w:t>
            </w:r>
          </w:p>
        </w:tc>
        <w:tc>
          <w:tcPr>
            <w:tcW w:w="825" w:type="dxa"/>
            <w:gridSpan w:val="2"/>
            <w:vAlign w:val="center"/>
          </w:tcPr>
          <w:p w14:paraId="69535F19" w14:textId="77777777" w:rsidR="00705A98" w:rsidRPr="005D1F80" w:rsidRDefault="00705A98" w:rsidP="00A329D2">
            <w:pPr>
              <w:jc w:val="center"/>
            </w:pPr>
            <w:r w:rsidRPr="005D1F80">
              <w:rPr>
                <w:sz w:val="22"/>
                <w:szCs w:val="22"/>
              </w:rPr>
              <w:t>34</w:t>
            </w:r>
          </w:p>
        </w:tc>
        <w:tc>
          <w:tcPr>
            <w:tcW w:w="843" w:type="dxa"/>
            <w:gridSpan w:val="2"/>
            <w:vAlign w:val="center"/>
          </w:tcPr>
          <w:p w14:paraId="3E743AB8" w14:textId="77777777" w:rsidR="00705A98" w:rsidRPr="005D1F80" w:rsidRDefault="00705A98" w:rsidP="00A329D2">
            <w:pPr>
              <w:jc w:val="center"/>
            </w:pPr>
            <w:r w:rsidRPr="005D1F80">
              <w:rPr>
                <w:sz w:val="22"/>
                <w:szCs w:val="22"/>
              </w:rPr>
              <w:t>1</w:t>
            </w:r>
          </w:p>
        </w:tc>
        <w:tc>
          <w:tcPr>
            <w:tcW w:w="934" w:type="dxa"/>
            <w:vAlign w:val="center"/>
          </w:tcPr>
          <w:p w14:paraId="0BFD6942" w14:textId="77777777" w:rsidR="00705A98" w:rsidRPr="005D1F80" w:rsidRDefault="00705A98" w:rsidP="00A329D2">
            <w:pPr>
              <w:jc w:val="center"/>
            </w:pPr>
            <w:r w:rsidRPr="005D1F80">
              <w:rPr>
                <w:sz w:val="22"/>
                <w:szCs w:val="22"/>
              </w:rPr>
              <w:t>51</w:t>
            </w:r>
          </w:p>
        </w:tc>
        <w:tc>
          <w:tcPr>
            <w:tcW w:w="992" w:type="dxa"/>
            <w:vAlign w:val="center"/>
          </w:tcPr>
          <w:p w14:paraId="13BBB63C" w14:textId="77777777" w:rsidR="00705A98" w:rsidRPr="005D1F80" w:rsidRDefault="00705A98" w:rsidP="00A329D2">
            <w:pPr>
              <w:jc w:val="center"/>
              <w:rPr>
                <w:bCs/>
              </w:rPr>
            </w:pPr>
            <w:r w:rsidRPr="005D1F80">
              <w:rPr>
                <w:bCs/>
                <w:sz w:val="22"/>
                <w:szCs w:val="22"/>
              </w:rPr>
              <w:t>13,9</w:t>
            </w:r>
          </w:p>
        </w:tc>
        <w:tc>
          <w:tcPr>
            <w:tcW w:w="850" w:type="dxa"/>
            <w:vAlign w:val="center"/>
          </w:tcPr>
          <w:p w14:paraId="234AEA8C" w14:textId="77777777" w:rsidR="00705A98" w:rsidRPr="005D1F80" w:rsidRDefault="00705A98" w:rsidP="00A329D2">
            <w:pPr>
              <w:jc w:val="center"/>
              <w:rPr>
                <w:bCs/>
              </w:rPr>
            </w:pPr>
            <w:r w:rsidRPr="005D1F80">
              <w:rPr>
                <w:bCs/>
                <w:sz w:val="22"/>
                <w:szCs w:val="22"/>
              </w:rPr>
              <w:t>0,8</w:t>
            </w:r>
          </w:p>
        </w:tc>
        <w:tc>
          <w:tcPr>
            <w:tcW w:w="1560" w:type="dxa"/>
            <w:vAlign w:val="center"/>
          </w:tcPr>
          <w:p w14:paraId="0C14D308" w14:textId="77777777" w:rsidR="00705A98" w:rsidRPr="005D1F80" w:rsidRDefault="00705A98" w:rsidP="00A329D2">
            <w:pPr>
              <w:jc w:val="center"/>
              <w:rPr>
                <w:bCs/>
              </w:rPr>
            </w:pPr>
            <w:r w:rsidRPr="005D1F80">
              <w:rPr>
                <w:bCs/>
                <w:color w:val="000000" w:themeColor="text1"/>
                <w:sz w:val="22"/>
                <w:szCs w:val="22"/>
              </w:rPr>
              <w:t>25,6</w:t>
            </w:r>
          </w:p>
        </w:tc>
      </w:tr>
      <w:tr w:rsidR="00705A98" w:rsidRPr="005D1F80" w14:paraId="2D9BF775" w14:textId="77777777" w:rsidTr="00A329D2">
        <w:trPr>
          <w:trHeight w:val="141"/>
        </w:trPr>
        <w:tc>
          <w:tcPr>
            <w:tcW w:w="1922" w:type="dxa"/>
          </w:tcPr>
          <w:p w14:paraId="47C601C6" w14:textId="77777777" w:rsidR="00705A98" w:rsidRPr="005D1F80" w:rsidRDefault="00705A98" w:rsidP="00A329D2">
            <w:r w:rsidRPr="005D1F80">
              <w:rPr>
                <w:rStyle w:val="jlqj4b"/>
                <w:sz w:val="22"/>
                <w:szCs w:val="22"/>
              </w:rPr>
              <w:t>Surazhsky</w:t>
            </w:r>
          </w:p>
        </w:tc>
        <w:tc>
          <w:tcPr>
            <w:tcW w:w="947" w:type="dxa"/>
            <w:vAlign w:val="center"/>
          </w:tcPr>
          <w:p w14:paraId="123EEB2A" w14:textId="77777777" w:rsidR="00705A98" w:rsidRPr="005D1F80" w:rsidRDefault="00705A98" w:rsidP="00A329D2">
            <w:pPr>
              <w:jc w:val="center"/>
            </w:pPr>
            <w:r w:rsidRPr="005D1F80">
              <w:rPr>
                <w:sz w:val="22"/>
                <w:szCs w:val="22"/>
              </w:rPr>
              <w:t>128</w:t>
            </w:r>
          </w:p>
        </w:tc>
        <w:tc>
          <w:tcPr>
            <w:tcW w:w="825" w:type="dxa"/>
            <w:vAlign w:val="center"/>
          </w:tcPr>
          <w:p w14:paraId="12D062C2" w14:textId="77777777" w:rsidR="00705A98" w:rsidRPr="005D1F80" w:rsidRDefault="00705A98" w:rsidP="00A329D2">
            <w:pPr>
              <w:jc w:val="center"/>
            </w:pPr>
            <w:r w:rsidRPr="005D1F80">
              <w:rPr>
                <w:sz w:val="22"/>
                <w:szCs w:val="22"/>
              </w:rPr>
              <w:t>35</w:t>
            </w:r>
          </w:p>
        </w:tc>
        <w:tc>
          <w:tcPr>
            <w:tcW w:w="825" w:type="dxa"/>
            <w:gridSpan w:val="2"/>
            <w:vAlign w:val="center"/>
          </w:tcPr>
          <w:p w14:paraId="5F695E4D" w14:textId="77777777" w:rsidR="00705A98" w:rsidRPr="005D1F80" w:rsidRDefault="00705A98" w:rsidP="00A329D2">
            <w:pPr>
              <w:jc w:val="center"/>
            </w:pPr>
            <w:r w:rsidRPr="005D1F80">
              <w:rPr>
                <w:sz w:val="22"/>
                <w:szCs w:val="22"/>
              </w:rPr>
              <w:t>35</w:t>
            </w:r>
          </w:p>
        </w:tc>
        <w:tc>
          <w:tcPr>
            <w:tcW w:w="843" w:type="dxa"/>
            <w:gridSpan w:val="2"/>
            <w:vAlign w:val="center"/>
          </w:tcPr>
          <w:p w14:paraId="6853A828" w14:textId="77777777" w:rsidR="00705A98" w:rsidRPr="005D1F80" w:rsidRDefault="00705A98" w:rsidP="00A329D2">
            <w:pPr>
              <w:jc w:val="center"/>
            </w:pPr>
            <w:r w:rsidRPr="005D1F80">
              <w:rPr>
                <w:sz w:val="22"/>
                <w:szCs w:val="22"/>
              </w:rPr>
              <w:t>6</w:t>
            </w:r>
          </w:p>
        </w:tc>
        <w:tc>
          <w:tcPr>
            <w:tcW w:w="934" w:type="dxa"/>
            <w:vAlign w:val="center"/>
          </w:tcPr>
          <w:p w14:paraId="6C66EDDB" w14:textId="77777777" w:rsidR="00705A98" w:rsidRPr="005D1F80" w:rsidRDefault="00705A98" w:rsidP="00A329D2">
            <w:pPr>
              <w:jc w:val="center"/>
            </w:pPr>
            <w:r w:rsidRPr="005D1F80">
              <w:rPr>
                <w:sz w:val="22"/>
                <w:szCs w:val="22"/>
              </w:rPr>
              <w:t>52</w:t>
            </w:r>
          </w:p>
        </w:tc>
        <w:tc>
          <w:tcPr>
            <w:tcW w:w="992" w:type="dxa"/>
            <w:vAlign w:val="center"/>
          </w:tcPr>
          <w:p w14:paraId="43BFD6E8" w14:textId="77777777" w:rsidR="00705A98" w:rsidRPr="005D1F80" w:rsidRDefault="00705A98" w:rsidP="00A329D2">
            <w:pPr>
              <w:jc w:val="center"/>
              <w:rPr>
                <w:bCs/>
              </w:rPr>
            </w:pPr>
            <w:r w:rsidRPr="005D1F80">
              <w:rPr>
                <w:bCs/>
                <w:sz w:val="22"/>
                <w:szCs w:val="22"/>
              </w:rPr>
              <w:t>8,2</w:t>
            </w:r>
          </w:p>
        </w:tc>
        <w:tc>
          <w:tcPr>
            <w:tcW w:w="850" w:type="dxa"/>
            <w:vAlign w:val="center"/>
          </w:tcPr>
          <w:p w14:paraId="31A44EEF" w14:textId="77777777" w:rsidR="00705A98" w:rsidRPr="005D1F80" w:rsidRDefault="00705A98" w:rsidP="00A329D2">
            <w:pPr>
              <w:jc w:val="center"/>
              <w:rPr>
                <w:bCs/>
              </w:rPr>
            </w:pPr>
            <w:r w:rsidRPr="005D1F80">
              <w:rPr>
                <w:bCs/>
                <w:sz w:val="22"/>
                <w:szCs w:val="22"/>
              </w:rPr>
              <w:t>0,4</w:t>
            </w:r>
          </w:p>
        </w:tc>
        <w:tc>
          <w:tcPr>
            <w:tcW w:w="1560" w:type="dxa"/>
            <w:vAlign w:val="center"/>
          </w:tcPr>
          <w:p w14:paraId="0774F9B3" w14:textId="77777777" w:rsidR="00705A98" w:rsidRPr="005D1F80" w:rsidRDefault="00705A98" w:rsidP="00A329D2">
            <w:pPr>
              <w:jc w:val="center"/>
              <w:rPr>
                <w:bCs/>
              </w:rPr>
            </w:pPr>
            <w:r w:rsidRPr="005D1F80">
              <w:rPr>
                <w:bCs/>
                <w:color w:val="000000" w:themeColor="text1"/>
                <w:sz w:val="22"/>
                <w:szCs w:val="22"/>
              </w:rPr>
              <w:t>17,9</w:t>
            </w:r>
          </w:p>
        </w:tc>
      </w:tr>
      <w:tr w:rsidR="005D1F80" w:rsidRPr="005D1F80" w14:paraId="355FEC10" w14:textId="77777777" w:rsidTr="000775A9">
        <w:trPr>
          <w:trHeight w:val="251"/>
        </w:trPr>
        <w:tc>
          <w:tcPr>
            <w:tcW w:w="9698" w:type="dxa"/>
            <w:gridSpan w:val="11"/>
          </w:tcPr>
          <w:p w14:paraId="53711C85" w14:textId="77777777" w:rsidR="005D1F80" w:rsidRPr="005D1F80" w:rsidRDefault="005D1F80" w:rsidP="00A329D2">
            <w:pPr>
              <w:jc w:val="center"/>
              <w:rPr>
                <w:bCs/>
                <w:color w:val="000000" w:themeColor="text1"/>
              </w:rPr>
            </w:pPr>
            <w:r w:rsidRPr="005D1F80">
              <w:rPr>
                <w:b/>
                <w:sz w:val="22"/>
                <w:szCs w:val="22"/>
                <w:lang w:eastAsia="ru-RU"/>
              </w:rPr>
              <w:t>Areas of chemical pollution</w:t>
            </w:r>
          </w:p>
        </w:tc>
      </w:tr>
      <w:tr w:rsidR="00705A98" w:rsidRPr="005D1F80" w14:paraId="41D78D1C" w14:textId="77777777" w:rsidTr="00A329D2">
        <w:trPr>
          <w:trHeight w:val="251"/>
        </w:trPr>
        <w:tc>
          <w:tcPr>
            <w:tcW w:w="1922" w:type="dxa"/>
          </w:tcPr>
          <w:p w14:paraId="3BF0022C" w14:textId="77777777" w:rsidR="00705A98" w:rsidRPr="005D1F80" w:rsidRDefault="00705A98" w:rsidP="00A329D2">
            <w:r w:rsidRPr="005D1F80">
              <w:rPr>
                <w:rStyle w:val="jlqj4b"/>
                <w:sz w:val="22"/>
                <w:szCs w:val="22"/>
              </w:rPr>
              <w:t>Pogarsky</w:t>
            </w:r>
          </w:p>
        </w:tc>
        <w:tc>
          <w:tcPr>
            <w:tcW w:w="947" w:type="dxa"/>
            <w:vAlign w:val="center"/>
          </w:tcPr>
          <w:p w14:paraId="01901C18" w14:textId="77777777" w:rsidR="00705A98" w:rsidRPr="005D1F80" w:rsidRDefault="00705A98" w:rsidP="00A329D2">
            <w:pPr>
              <w:jc w:val="center"/>
            </w:pPr>
            <w:r w:rsidRPr="005D1F80">
              <w:rPr>
                <w:sz w:val="22"/>
                <w:szCs w:val="22"/>
              </w:rPr>
              <w:t>123</w:t>
            </w:r>
          </w:p>
        </w:tc>
        <w:tc>
          <w:tcPr>
            <w:tcW w:w="825" w:type="dxa"/>
            <w:vAlign w:val="center"/>
          </w:tcPr>
          <w:p w14:paraId="10926A7C" w14:textId="77777777" w:rsidR="00705A98" w:rsidRPr="005D1F80" w:rsidRDefault="00705A98" w:rsidP="00A329D2">
            <w:pPr>
              <w:jc w:val="center"/>
            </w:pPr>
            <w:r w:rsidRPr="005D1F80">
              <w:rPr>
                <w:sz w:val="22"/>
                <w:szCs w:val="22"/>
              </w:rPr>
              <w:t>65</w:t>
            </w:r>
          </w:p>
        </w:tc>
        <w:tc>
          <w:tcPr>
            <w:tcW w:w="825" w:type="dxa"/>
            <w:gridSpan w:val="2"/>
            <w:vAlign w:val="center"/>
          </w:tcPr>
          <w:p w14:paraId="5C0BDF81" w14:textId="77777777" w:rsidR="00705A98" w:rsidRPr="005D1F80" w:rsidRDefault="00705A98" w:rsidP="00A329D2">
            <w:pPr>
              <w:jc w:val="center"/>
            </w:pPr>
            <w:r w:rsidRPr="005D1F80">
              <w:rPr>
                <w:sz w:val="22"/>
                <w:szCs w:val="22"/>
              </w:rPr>
              <w:t>22</w:t>
            </w:r>
          </w:p>
        </w:tc>
        <w:tc>
          <w:tcPr>
            <w:tcW w:w="843" w:type="dxa"/>
            <w:gridSpan w:val="2"/>
            <w:vAlign w:val="center"/>
          </w:tcPr>
          <w:p w14:paraId="4E8A2FA4" w14:textId="77777777" w:rsidR="00705A98" w:rsidRPr="005D1F80" w:rsidRDefault="00705A98" w:rsidP="00A329D2">
            <w:pPr>
              <w:jc w:val="center"/>
            </w:pPr>
            <w:r w:rsidRPr="005D1F80">
              <w:rPr>
                <w:sz w:val="22"/>
                <w:szCs w:val="22"/>
              </w:rPr>
              <w:t>4</w:t>
            </w:r>
          </w:p>
        </w:tc>
        <w:tc>
          <w:tcPr>
            <w:tcW w:w="934" w:type="dxa"/>
            <w:vAlign w:val="center"/>
          </w:tcPr>
          <w:p w14:paraId="26528B95" w14:textId="77777777" w:rsidR="00705A98" w:rsidRPr="005D1F80" w:rsidRDefault="00705A98" w:rsidP="00A329D2">
            <w:pPr>
              <w:jc w:val="center"/>
            </w:pPr>
            <w:r w:rsidRPr="005D1F80">
              <w:rPr>
                <w:sz w:val="22"/>
                <w:szCs w:val="22"/>
              </w:rPr>
              <w:t>32</w:t>
            </w:r>
          </w:p>
        </w:tc>
        <w:tc>
          <w:tcPr>
            <w:tcW w:w="992" w:type="dxa"/>
            <w:vAlign w:val="center"/>
          </w:tcPr>
          <w:p w14:paraId="47C1A746" w14:textId="77777777" w:rsidR="00705A98" w:rsidRPr="005D1F80" w:rsidRDefault="00705A98" w:rsidP="00A329D2">
            <w:pPr>
              <w:jc w:val="center"/>
              <w:rPr>
                <w:bCs/>
              </w:rPr>
            </w:pPr>
            <w:r w:rsidRPr="005D1F80">
              <w:rPr>
                <w:bCs/>
                <w:sz w:val="22"/>
                <w:szCs w:val="22"/>
              </w:rPr>
              <w:t>29,9</w:t>
            </w:r>
          </w:p>
        </w:tc>
        <w:tc>
          <w:tcPr>
            <w:tcW w:w="850" w:type="dxa"/>
            <w:vAlign w:val="center"/>
          </w:tcPr>
          <w:p w14:paraId="6B3B0198" w14:textId="77777777" w:rsidR="00705A98" w:rsidRPr="005D1F80" w:rsidRDefault="00705A98" w:rsidP="00A329D2">
            <w:pPr>
              <w:jc w:val="center"/>
              <w:rPr>
                <w:bCs/>
              </w:rPr>
            </w:pPr>
            <w:r w:rsidRPr="005D1F80">
              <w:rPr>
                <w:bCs/>
                <w:sz w:val="22"/>
                <w:szCs w:val="22"/>
              </w:rPr>
              <w:t>1,1</w:t>
            </w:r>
          </w:p>
        </w:tc>
        <w:tc>
          <w:tcPr>
            <w:tcW w:w="1560" w:type="dxa"/>
            <w:vAlign w:val="center"/>
          </w:tcPr>
          <w:p w14:paraId="51B903E7" w14:textId="77777777" w:rsidR="00705A98" w:rsidRPr="005D1F80" w:rsidRDefault="00705A98" w:rsidP="00A329D2">
            <w:pPr>
              <w:jc w:val="center"/>
              <w:rPr>
                <w:bCs/>
              </w:rPr>
            </w:pPr>
            <w:r w:rsidRPr="005D1F80">
              <w:rPr>
                <w:bCs/>
                <w:color w:val="000000" w:themeColor="text1"/>
                <w:sz w:val="22"/>
                <w:szCs w:val="22"/>
              </w:rPr>
              <w:t>29,3</w:t>
            </w:r>
          </w:p>
        </w:tc>
      </w:tr>
      <w:tr w:rsidR="00705A98" w:rsidRPr="005D1F80" w14:paraId="7C205F6D" w14:textId="77777777" w:rsidTr="00A329D2">
        <w:trPr>
          <w:trHeight w:val="141"/>
        </w:trPr>
        <w:tc>
          <w:tcPr>
            <w:tcW w:w="1922" w:type="dxa"/>
          </w:tcPr>
          <w:p w14:paraId="054D3CFF" w14:textId="77777777" w:rsidR="00705A98" w:rsidRPr="005D1F80" w:rsidRDefault="00705A98" w:rsidP="00A329D2">
            <w:r w:rsidRPr="005D1F80">
              <w:rPr>
                <w:rStyle w:val="jlqj4b"/>
                <w:sz w:val="22"/>
                <w:szCs w:val="22"/>
              </w:rPr>
              <w:t>Zhiryatinsky</w:t>
            </w:r>
          </w:p>
        </w:tc>
        <w:tc>
          <w:tcPr>
            <w:tcW w:w="947" w:type="dxa"/>
            <w:vAlign w:val="center"/>
          </w:tcPr>
          <w:p w14:paraId="7F29C399" w14:textId="77777777" w:rsidR="00705A98" w:rsidRPr="005D1F80" w:rsidRDefault="00705A98" w:rsidP="00A329D2">
            <w:pPr>
              <w:jc w:val="center"/>
            </w:pPr>
            <w:r w:rsidRPr="005D1F80">
              <w:rPr>
                <w:sz w:val="22"/>
                <w:szCs w:val="22"/>
              </w:rPr>
              <w:t>155</w:t>
            </w:r>
          </w:p>
        </w:tc>
        <w:tc>
          <w:tcPr>
            <w:tcW w:w="825" w:type="dxa"/>
            <w:vAlign w:val="center"/>
          </w:tcPr>
          <w:p w14:paraId="0041B0EF" w14:textId="77777777" w:rsidR="00705A98" w:rsidRPr="005D1F80" w:rsidRDefault="00705A98" w:rsidP="00A329D2">
            <w:pPr>
              <w:jc w:val="center"/>
            </w:pPr>
            <w:r w:rsidRPr="005D1F80">
              <w:rPr>
                <w:sz w:val="22"/>
                <w:szCs w:val="22"/>
              </w:rPr>
              <w:t>104</w:t>
            </w:r>
          </w:p>
        </w:tc>
        <w:tc>
          <w:tcPr>
            <w:tcW w:w="825" w:type="dxa"/>
            <w:gridSpan w:val="2"/>
            <w:vAlign w:val="center"/>
          </w:tcPr>
          <w:p w14:paraId="732D671C" w14:textId="77777777" w:rsidR="00705A98" w:rsidRPr="005D1F80" w:rsidRDefault="00705A98" w:rsidP="00A329D2">
            <w:pPr>
              <w:jc w:val="center"/>
            </w:pPr>
            <w:r w:rsidRPr="005D1F80">
              <w:rPr>
                <w:sz w:val="22"/>
                <w:szCs w:val="22"/>
              </w:rPr>
              <w:t>16</w:t>
            </w:r>
          </w:p>
        </w:tc>
        <w:tc>
          <w:tcPr>
            <w:tcW w:w="843" w:type="dxa"/>
            <w:gridSpan w:val="2"/>
            <w:vAlign w:val="center"/>
          </w:tcPr>
          <w:p w14:paraId="2FD99669" w14:textId="77777777" w:rsidR="00705A98" w:rsidRPr="005D1F80" w:rsidRDefault="00705A98" w:rsidP="00A329D2">
            <w:pPr>
              <w:jc w:val="center"/>
            </w:pPr>
            <w:r w:rsidRPr="005D1F80">
              <w:rPr>
                <w:sz w:val="22"/>
                <w:szCs w:val="22"/>
              </w:rPr>
              <w:t>1</w:t>
            </w:r>
          </w:p>
        </w:tc>
        <w:tc>
          <w:tcPr>
            <w:tcW w:w="934" w:type="dxa"/>
            <w:vAlign w:val="center"/>
          </w:tcPr>
          <w:p w14:paraId="496BF7F6" w14:textId="77777777" w:rsidR="00705A98" w:rsidRPr="005D1F80" w:rsidRDefault="00705A98" w:rsidP="00A329D2">
            <w:pPr>
              <w:jc w:val="center"/>
            </w:pPr>
            <w:r w:rsidRPr="005D1F80">
              <w:rPr>
                <w:sz w:val="22"/>
                <w:szCs w:val="22"/>
              </w:rPr>
              <w:t>35</w:t>
            </w:r>
          </w:p>
        </w:tc>
        <w:tc>
          <w:tcPr>
            <w:tcW w:w="992" w:type="dxa"/>
            <w:vAlign w:val="center"/>
          </w:tcPr>
          <w:p w14:paraId="4E146C96" w14:textId="77777777" w:rsidR="00705A98" w:rsidRPr="005D1F80" w:rsidRDefault="00705A98" w:rsidP="00A329D2">
            <w:pPr>
              <w:jc w:val="center"/>
              <w:rPr>
                <w:bCs/>
              </w:rPr>
            </w:pPr>
            <w:r w:rsidRPr="005D1F80">
              <w:rPr>
                <w:bCs/>
                <w:sz w:val="22"/>
                <w:szCs w:val="22"/>
              </w:rPr>
              <w:t>5,4</w:t>
            </w:r>
          </w:p>
        </w:tc>
        <w:tc>
          <w:tcPr>
            <w:tcW w:w="850" w:type="dxa"/>
            <w:vAlign w:val="center"/>
          </w:tcPr>
          <w:p w14:paraId="009696A1" w14:textId="77777777" w:rsidR="00705A98" w:rsidRPr="005D1F80" w:rsidRDefault="00705A98" w:rsidP="00A329D2">
            <w:pPr>
              <w:jc w:val="center"/>
              <w:rPr>
                <w:bCs/>
              </w:rPr>
            </w:pPr>
            <w:r w:rsidRPr="005D1F80">
              <w:rPr>
                <w:bCs/>
                <w:sz w:val="22"/>
                <w:szCs w:val="22"/>
              </w:rPr>
              <w:t>0,8</w:t>
            </w:r>
          </w:p>
        </w:tc>
        <w:tc>
          <w:tcPr>
            <w:tcW w:w="1560" w:type="dxa"/>
            <w:vAlign w:val="center"/>
          </w:tcPr>
          <w:p w14:paraId="2C1D53B0" w14:textId="77777777" w:rsidR="00705A98" w:rsidRPr="005D1F80" w:rsidRDefault="00705A98" w:rsidP="00A329D2">
            <w:pPr>
              <w:jc w:val="center"/>
              <w:rPr>
                <w:bCs/>
              </w:rPr>
            </w:pPr>
            <w:r w:rsidRPr="005D1F80">
              <w:rPr>
                <w:bCs/>
                <w:color w:val="000000" w:themeColor="text1"/>
                <w:sz w:val="22"/>
                <w:szCs w:val="22"/>
              </w:rPr>
              <w:t>18,1</w:t>
            </w:r>
          </w:p>
        </w:tc>
      </w:tr>
      <w:tr w:rsidR="00705A98" w:rsidRPr="005D1F80" w14:paraId="180C2C6C" w14:textId="77777777" w:rsidTr="00A329D2">
        <w:trPr>
          <w:trHeight w:val="141"/>
        </w:trPr>
        <w:tc>
          <w:tcPr>
            <w:tcW w:w="1922" w:type="dxa"/>
          </w:tcPr>
          <w:p w14:paraId="00F9D1CC" w14:textId="77777777" w:rsidR="00705A98" w:rsidRPr="005D1F80" w:rsidRDefault="00705A98" w:rsidP="00A329D2">
            <w:r w:rsidRPr="005D1F80">
              <w:rPr>
                <w:rStyle w:val="jlqj4b"/>
                <w:sz w:val="22"/>
                <w:szCs w:val="22"/>
              </w:rPr>
              <w:t>Zhukovsky</w:t>
            </w:r>
          </w:p>
        </w:tc>
        <w:tc>
          <w:tcPr>
            <w:tcW w:w="947" w:type="dxa"/>
            <w:vAlign w:val="center"/>
          </w:tcPr>
          <w:p w14:paraId="0AF23E47" w14:textId="77777777" w:rsidR="00705A98" w:rsidRPr="005D1F80" w:rsidRDefault="00705A98" w:rsidP="00A329D2">
            <w:pPr>
              <w:jc w:val="center"/>
            </w:pPr>
            <w:r w:rsidRPr="005D1F80">
              <w:rPr>
                <w:sz w:val="22"/>
                <w:szCs w:val="22"/>
              </w:rPr>
              <w:t>196</w:t>
            </w:r>
          </w:p>
        </w:tc>
        <w:tc>
          <w:tcPr>
            <w:tcW w:w="825" w:type="dxa"/>
            <w:vAlign w:val="center"/>
          </w:tcPr>
          <w:p w14:paraId="0A4BE1FE" w14:textId="77777777" w:rsidR="00705A98" w:rsidRPr="005D1F80" w:rsidRDefault="00705A98" w:rsidP="00A329D2">
            <w:pPr>
              <w:jc w:val="center"/>
            </w:pPr>
            <w:r w:rsidRPr="005D1F80">
              <w:rPr>
                <w:sz w:val="22"/>
                <w:szCs w:val="22"/>
              </w:rPr>
              <w:t>22</w:t>
            </w:r>
          </w:p>
        </w:tc>
        <w:tc>
          <w:tcPr>
            <w:tcW w:w="825" w:type="dxa"/>
            <w:gridSpan w:val="2"/>
            <w:vAlign w:val="center"/>
          </w:tcPr>
          <w:p w14:paraId="1C299518" w14:textId="77777777" w:rsidR="00705A98" w:rsidRPr="005D1F80" w:rsidRDefault="00705A98" w:rsidP="00A329D2">
            <w:pPr>
              <w:jc w:val="center"/>
            </w:pPr>
            <w:r w:rsidRPr="005D1F80">
              <w:rPr>
                <w:sz w:val="22"/>
                <w:szCs w:val="22"/>
              </w:rPr>
              <w:t>53</w:t>
            </w:r>
          </w:p>
        </w:tc>
        <w:tc>
          <w:tcPr>
            <w:tcW w:w="843" w:type="dxa"/>
            <w:gridSpan w:val="2"/>
            <w:vAlign w:val="center"/>
          </w:tcPr>
          <w:p w14:paraId="02498450" w14:textId="77777777" w:rsidR="00705A98" w:rsidRPr="005D1F80" w:rsidRDefault="00705A98" w:rsidP="00A329D2">
            <w:pPr>
              <w:jc w:val="center"/>
            </w:pPr>
            <w:r w:rsidRPr="005D1F80">
              <w:rPr>
                <w:sz w:val="22"/>
                <w:szCs w:val="22"/>
              </w:rPr>
              <w:t>40</w:t>
            </w:r>
          </w:p>
        </w:tc>
        <w:tc>
          <w:tcPr>
            <w:tcW w:w="934" w:type="dxa"/>
            <w:vAlign w:val="center"/>
          </w:tcPr>
          <w:p w14:paraId="5965B0F0" w14:textId="77777777" w:rsidR="00705A98" w:rsidRPr="005D1F80" w:rsidRDefault="00705A98" w:rsidP="00A329D2">
            <w:pPr>
              <w:jc w:val="center"/>
            </w:pPr>
            <w:r w:rsidRPr="005D1F80">
              <w:rPr>
                <w:sz w:val="22"/>
                <w:szCs w:val="22"/>
              </w:rPr>
              <w:t>80</w:t>
            </w:r>
          </w:p>
        </w:tc>
        <w:tc>
          <w:tcPr>
            <w:tcW w:w="992" w:type="dxa"/>
            <w:vAlign w:val="center"/>
          </w:tcPr>
          <w:p w14:paraId="2D41CE68" w14:textId="77777777" w:rsidR="00705A98" w:rsidRPr="005D1F80" w:rsidRDefault="00705A98" w:rsidP="00A329D2">
            <w:pPr>
              <w:jc w:val="center"/>
              <w:rPr>
                <w:bCs/>
              </w:rPr>
            </w:pPr>
            <w:r w:rsidRPr="005D1F80">
              <w:rPr>
                <w:bCs/>
                <w:sz w:val="22"/>
                <w:szCs w:val="22"/>
              </w:rPr>
              <w:t>6,6</w:t>
            </w:r>
          </w:p>
        </w:tc>
        <w:tc>
          <w:tcPr>
            <w:tcW w:w="850" w:type="dxa"/>
            <w:vAlign w:val="center"/>
          </w:tcPr>
          <w:p w14:paraId="50982B18" w14:textId="77777777" w:rsidR="00705A98" w:rsidRPr="005D1F80" w:rsidRDefault="00705A98" w:rsidP="00A329D2">
            <w:pPr>
              <w:jc w:val="center"/>
              <w:rPr>
                <w:bCs/>
              </w:rPr>
            </w:pPr>
            <w:r w:rsidRPr="005D1F80">
              <w:rPr>
                <w:bCs/>
                <w:sz w:val="22"/>
                <w:szCs w:val="22"/>
              </w:rPr>
              <w:t>0,8</w:t>
            </w:r>
          </w:p>
        </w:tc>
        <w:tc>
          <w:tcPr>
            <w:tcW w:w="1560" w:type="dxa"/>
            <w:vAlign w:val="center"/>
          </w:tcPr>
          <w:p w14:paraId="78BA2436" w14:textId="77777777" w:rsidR="00705A98" w:rsidRPr="005D1F80" w:rsidRDefault="00705A98" w:rsidP="00A329D2">
            <w:pPr>
              <w:jc w:val="center"/>
              <w:rPr>
                <w:bCs/>
              </w:rPr>
            </w:pPr>
            <w:r w:rsidRPr="005D1F80">
              <w:rPr>
                <w:bCs/>
                <w:color w:val="000000" w:themeColor="text1"/>
                <w:sz w:val="22"/>
                <w:szCs w:val="22"/>
              </w:rPr>
              <w:t>19,9</w:t>
            </w:r>
          </w:p>
        </w:tc>
      </w:tr>
      <w:tr w:rsidR="00705A98" w:rsidRPr="005D1F80" w14:paraId="45C6FE98" w14:textId="77777777" w:rsidTr="00A329D2">
        <w:trPr>
          <w:trHeight w:val="141"/>
        </w:trPr>
        <w:tc>
          <w:tcPr>
            <w:tcW w:w="1922" w:type="dxa"/>
          </w:tcPr>
          <w:p w14:paraId="2610E801" w14:textId="77777777" w:rsidR="00705A98" w:rsidRPr="005D1F80" w:rsidRDefault="00705A98" w:rsidP="00A329D2">
            <w:r w:rsidRPr="005D1F80">
              <w:rPr>
                <w:rStyle w:val="jlqj4b"/>
                <w:sz w:val="22"/>
                <w:szCs w:val="22"/>
              </w:rPr>
              <w:t>Trubchevsky</w:t>
            </w:r>
          </w:p>
        </w:tc>
        <w:tc>
          <w:tcPr>
            <w:tcW w:w="947" w:type="dxa"/>
            <w:vAlign w:val="center"/>
          </w:tcPr>
          <w:p w14:paraId="71A12DC0" w14:textId="77777777" w:rsidR="00705A98" w:rsidRPr="005D1F80" w:rsidRDefault="00705A98" w:rsidP="00A329D2">
            <w:pPr>
              <w:jc w:val="center"/>
            </w:pPr>
            <w:r w:rsidRPr="005D1F80">
              <w:rPr>
                <w:sz w:val="22"/>
                <w:szCs w:val="22"/>
              </w:rPr>
              <w:t>275</w:t>
            </w:r>
          </w:p>
        </w:tc>
        <w:tc>
          <w:tcPr>
            <w:tcW w:w="825" w:type="dxa"/>
            <w:vAlign w:val="center"/>
          </w:tcPr>
          <w:p w14:paraId="4F651237" w14:textId="77777777" w:rsidR="00705A98" w:rsidRPr="005D1F80" w:rsidRDefault="00705A98" w:rsidP="00A329D2">
            <w:pPr>
              <w:jc w:val="center"/>
            </w:pPr>
            <w:r w:rsidRPr="005D1F80">
              <w:rPr>
                <w:sz w:val="22"/>
                <w:szCs w:val="22"/>
              </w:rPr>
              <w:t>88</w:t>
            </w:r>
          </w:p>
        </w:tc>
        <w:tc>
          <w:tcPr>
            <w:tcW w:w="825" w:type="dxa"/>
            <w:gridSpan w:val="2"/>
            <w:vAlign w:val="center"/>
          </w:tcPr>
          <w:p w14:paraId="73789E5F" w14:textId="77777777" w:rsidR="00705A98" w:rsidRPr="005D1F80" w:rsidRDefault="00705A98" w:rsidP="00A329D2">
            <w:pPr>
              <w:jc w:val="center"/>
            </w:pPr>
            <w:r w:rsidRPr="005D1F80">
              <w:rPr>
                <w:sz w:val="22"/>
                <w:szCs w:val="22"/>
              </w:rPr>
              <w:t>27</w:t>
            </w:r>
          </w:p>
        </w:tc>
        <w:tc>
          <w:tcPr>
            <w:tcW w:w="843" w:type="dxa"/>
            <w:gridSpan w:val="2"/>
            <w:vAlign w:val="center"/>
          </w:tcPr>
          <w:p w14:paraId="75608CE8" w14:textId="77777777" w:rsidR="00705A98" w:rsidRPr="005D1F80" w:rsidRDefault="00705A98" w:rsidP="00A329D2">
            <w:pPr>
              <w:jc w:val="center"/>
            </w:pPr>
            <w:r w:rsidRPr="005D1F80">
              <w:rPr>
                <w:sz w:val="22"/>
                <w:szCs w:val="22"/>
              </w:rPr>
              <w:t>2</w:t>
            </w:r>
          </w:p>
        </w:tc>
        <w:tc>
          <w:tcPr>
            <w:tcW w:w="934" w:type="dxa"/>
            <w:vAlign w:val="center"/>
          </w:tcPr>
          <w:p w14:paraId="140A9DCA" w14:textId="77777777" w:rsidR="00705A98" w:rsidRPr="005D1F80" w:rsidRDefault="00705A98" w:rsidP="00A329D2">
            <w:pPr>
              <w:jc w:val="center"/>
            </w:pPr>
            <w:r w:rsidRPr="005D1F80">
              <w:rPr>
                <w:sz w:val="22"/>
                <w:szCs w:val="22"/>
              </w:rPr>
              <w:t>158</w:t>
            </w:r>
          </w:p>
        </w:tc>
        <w:tc>
          <w:tcPr>
            <w:tcW w:w="992" w:type="dxa"/>
            <w:vAlign w:val="center"/>
          </w:tcPr>
          <w:p w14:paraId="76540B72" w14:textId="77777777" w:rsidR="00705A98" w:rsidRPr="005D1F80" w:rsidRDefault="00705A98" w:rsidP="00A329D2">
            <w:pPr>
              <w:jc w:val="center"/>
              <w:rPr>
                <w:bCs/>
              </w:rPr>
            </w:pPr>
            <w:r w:rsidRPr="005D1F80">
              <w:rPr>
                <w:bCs/>
                <w:sz w:val="22"/>
                <w:szCs w:val="22"/>
              </w:rPr>
              <w:t>23,6</w:t>
            </w:r>
          </w:p>
        </w:tc>
        <w:tc>
          <w:tcPr>
            <w:tcW w:w="850" w:type="dxa"/>
            <w:vAlign w:val="center"/>
          </w:tcPr>
          <w:p w14:paraId="1148160B" w14:textId="77777777" w:rsidR="00705A98" w:rsidRPr="005D1F80" w:rsidRDefault="00705A98" w:rsidP="00A329D2">
            <w:pPr>
              <w:jc w:val="center"/>
              <w:rPr>
                <w:bCs/>
              </w:rPr>
            </w:pPr>
            <w:r w:rsidRPr="005D1F80">
              <w:rPr>
                <w:bCs/>
                <w:sz w:val="22"/>
                <w:szCs w:val="22"/>
              </w:rPr>
              <w:t>0,8</w:t>
            </w:r>
          </w:p>
        </w:tc>
        <w:tc>
          <w:tcPr>
            <w:tcW w:w="1560" w:type="dxa"/>
            <w:vAlign w:val="center"/>
          </w:tcPr>
          <w:p w14:paraId="158260C4" w14:textId="77777777" w:rsidR="00705A98" w:rsidRPr="005D1F80" w:rsidRDefault="00705A98" w:rsidP="00A329D2">
            <w:pPr>
              <w:jc w:val="center"/>
              <w:rPr>
                <w:bCs/>
              </w:rPr>
            </w:pPr>
            <w:r w:rsidRPr="005D1F80">
              <w:rPr>
                <w:bCs/>
                <w:color w:val="000000" w:themeColor="text1"/>
                <w:sz w:val="22"/>
                <w:szCs w:val="22"/>
              </w:rPr>
              <w:t>16,0</w:t>
            </w:r>
          </w:p>
        </w:tc>
      </w:tr>
      <w:tr w:rsidR="00705A98" w:rsidRPr="005D1F80" w14:paraId="20E10656" w14:textId="77777777" w:rsidTr="00A329D2">
        <w:trPr>
          <w:trHeight w:val="141"/>
        </w:trPr>
        <w:tc>
          <w:tcPr>
            <w:tcW w:w="1922" w:type="dxa"/>
          </w:tcPr>
          <w:p w14:paraId="7E21DA51" w14:textId="77777777" w:rsidR="00705A98" w:rsidRPr="005D1F80" w:rsidRDefault="00705A98" w:rsidP="00A329D2">
            <w:r w:rsidRPr="005D1F80">
              <w:rPr>
                <w:rStyle w:val="jlqj4b"/>
                <w:sz w:val="22"/>
                <w:szCs w:val="22"/>
              </w:rPr>
              <w:t>Pochepsky</w:t>
            </w:r>
          </w:p>
        </w:tc>
        <w:tc>
          <w:tcPr>
            <w:tcW w:w="947" w:type="dxa"/>
            <w:vAlign w:val="center"/>
          </w:tcPr>
          <w:p w14:paraId="73C1521B" w14:textId="77777777" w:rsidR="00705A98" w:rsidRPr="005D1F80" w:rsidRDefault="00705A98" w:rsidP="00A329D2">
            <w:pPr>
              <w:jc w:val="center"/>
            </w:pPr>
            <w:r w:rsidRPr="005D1F80">
              <w:rPr>
                <w:sz w:val="22"/>
                <w:szCs w:val="22"/>
              </w:rPr>
              <w:t>364</w:t>
            </w:r>
          </w:p>
        </w:tc>
        <w:tc>
          <w:tcPr>
            <w:tcW w:w="825" w:type="dxa"/>
            <w:vAlign w:val="center"/>
          </w:tcPr>
          <w:p w14:paraId="5A77B93D" w14:textId="77777777" w:rsidR="00705A98" w:rsidRPr="005D1F80" w:rsidRDefault="00705A98" w:rsidP="00A329D2">
            <w:pPr>
              <w:jc w:val="center"/>
            </w:pPr>
            <w:r w:rsidRPr="005D1F80">
              <w:rPr>
                <w:sz w:val="22"/>
                <w:szCs w:val="22"/>
              </w:rPr>
              <w:t>223</w:t>
            </w:r>
          </w:p>
        </w:tc>
        <w:tc>
          <w:tcPr>
            <w:tcW w:w="825" w:type="dxa"/>
            <w:gridSpan w:val="2"/>
            <w:vAlign w:val="center"/>
          </w:tcPr>
          <w:p w14:paraId="3E0A3480" w14:textId="77777777" w:rsidR="00705A98" w:rsidRPr="005D1F80" w:rsidRDefault="00705A98" w:rsidP="00A329D2">
            <w:pPr>
              <w:jc w:val="center"/>
            </w:pPr>
            <w:r w:rsidRPr="005D1F80">
              <w:rPr>
                <w:sz w:val="22"/>
                <w:szCs w:val="22"/>
              </w:rPr>
              <w:t>33</w:t>
            </w:r>
          </w:p>
        </w:tc>
        <w:tc>
          <w:tcPr>
            <w:tcW w:w="843" w:type="dxa"/>
            <w:gridSpan w:val="2"/>
            <w:vAlign w:val="center"/>
          </w:tcPr>
          <w:p w14:paraId="288CD616" w14:textId="77777777" w:rsidR="00705A98" w:rsidRPr="005D1F80" w:rsidRDefault="00705A98" w:rsidP="00A329D2">
            <w:pPr>
              <w:jc w:val="center"/>
            </w:pPr>
            <w:r w:rsidRPr="005D1F80">
              <w:rPr>
                <w:sz w:val="22"/>
                <w:szCs w:val="22"/>
              </w:rPr>
              <w:t>3</w:t>
            </w:r>
          </w:p>
        </w:tc>
        <w:tc>
          <w:tcPr>
            <w:tcW w:w="934" w:type="dxa"/>
            <w:vAlign w:val="center"/>
          </w:tcPr>
          <w:p w14:paraId="3DFDDDB0" w14:textId="77777777" w:rsidR="00705A98" w:rsidRPr="005D1F80" w:rsidRDefault="00705A98" w:rsidP="00A329D2">
            <w:pPr>
              <w:jc w:val="center"/>
            </w:pPr>
            <w:r w:rsidRPr="005D1F80">
              <w:rPr>
                <w:sz w:val="22"/>
                <w:szCs w:val="22"/>
              </w:rPr>
              <w:t>106</w:t>
            </w:r>
          </w:p>
        </w:tc>
        <w:tc>
          <w:tcPr>
            <w:tcW w:w="992" w:type="dxa"/>
            <w:vAlign w:val="center"/>
          </w:tcPr>
          <w:p w14:paraId="4F2E7EA8" w14:textId="77777777" w:rsidR="00705A98" w:rsidRPr="005D1F80" w:rsidRDefault="00705A98" w:rsidP="00A329D2">
            <w:pPr>
              <w:jc w:val="center"/>
              <w:rPr>
                <w:bCs/>
              </w:rPr>
            </w:pPr>
            <w:r w:rsidRPr="005D1F80">
              <w:rPr>
                <w:bCs/>
                <w:sz w:val="22"/>
                <w:szCs w:val="22"/>
              </w:rPr>
              <w:t>5,4</w:t>
            </w:r>
          </w:p>
        </w:tc>
        <w:tc>
          <w:tcPr>
            <w:tcW w:w="850" w:type="dxa"/>
            <w:vAlign w:val="center"/>
          </w:tcPr>
          <w:p w14:paraId="45BDC514" w14:textId="77777777" w:rsidR="00705A98" w:rsidRPr="005D1F80" w:rsidRDefault="00705A98" w:rsidP="00A329D2">
            <w:pPr>
              <w:jc w:val="center"/>
              <w:rPr>
                <w:bCs/>
              </w:rPr>
            </w:pPr>
            <w:r w:rsidRPr="005D1F80">
              <w:rPr>
                <w:bCs/>
                <w:sz w:val="22"/>
                <w:szCs w:val="22"/>
              </w:rPr>
              <w:t>0,5</w:t>
            </w:r>
          </w:p>
        </w:tc>
        <w:tc>
          <w:tcPr>
            <w:tcW w:w="1560" w:type="dxa"/>
            <w:vAlign w:val="center"/>
          </w:tcPr>
          <w:p w14:paraId="1C3E6623" w14:textId="77777777" w:rsidR="00705A98" w:rsidRPr="005D1F80" w:rsidRDefault="00705A98" w:rsidP="00A329D2">
            <w:pPr>
              <w:jc w:val="center"/>
              <w:rPr>
                <w:bCs/>
              </w:rPr>
            </w:pPr>
            <w:r w:rsidRPr="005D1F80">
              <w:rPr>
                <w:bCs/>
                <w:color w:val="000000" w:themeColor="text1"/>
                <w:sz w:val="22"/>
                <w:szCs w:val="22"/>
              </w:rPr>
              <w:t>19,5</w:t>
            </w:r>
          </w:p>
        </w:tc>
      </w:tr>
      <w:tr w:rsidR="00705A98" w:rsidRPr="005D1F80" w14:paraId="69BAD11A" w14:textId="77777777" w:rsidTr="00A329D2">
        <w:trPr>
          <w:trHeight w:val="141"/>
        </w:trPr>
        <w:tc>
          <w:tcPr>
            <w:tcW w:w="1922" w:type="dxa"/>
          </w:tcPr>
          <w:p w14:paraId="73BCDEDD" w14:textId="77777777" w:rsidR="00705A98" w:rsidRPr="005D1F80" w:rsidRDefault="00705A98" w:rsidP="00A329D2">
            <w:r w:rsidRPr="005D1F80">
              <w:rPr>
                <w:rStyle w:val="jlqj4b"/>
                <w:sz w:val="22"/>
                <w:szCs w:val="22"/>
              </w:rPr>
              <w:t>Unechsky</w:t>
            </w:r>
          </w:p>
        </w:tc>
        <w:tc>
          <w:tcPr>
            <w:tcW w:w="947" w:type="dxa"/>
            <w:vAlign w:val="center"/>
          </w:tcPr>
          <w:p w14:paraId="2FBECB62" w14:textId="77777777" w:rsidR="00705A98" w:rsidRPr="005D1F80" w:rsidRDefault="00705A98" w:rsidP="00A329D2">
            <w:pPr>
              <w:jc w:val="center"/>
            </w:pPr>
            <w:r w:rsidRPr="005D1F80">
              <w:rPr>
                <w:sz w:val="22"/>
                <w:szCs w:val="22"/>
              </w:rPr>
              <w:t>559</w:t>
            </w:r>
          </w:p>
        </w:tc>
        <w:tc>
          <w:tcPr>
            <w:tcW w:w="825" w:type="dxa"/>
            <w:vAlign w:val="center"/>
          </w:tcPr>
          <w:p w14:paraId="458D3542" w14:textId="77777777" w:rsidR="00705A98" w:rsidRPr="005D1F80" w:rsidRDefault="00705A98" w:rsidP="00A329D2">
            <w:pPr>
              <w:jc w:val="center"/>
            </w:pPr>
            <w:r w:rsidRPr="005D1F80">
              <w:rPr>
                <w:sz w:val="22"/>
                <w:szCs w:val="22"/>
              </w:rPr>
              <w:t>292</w:t>
            </w:r>
          </w:p>
        </w:tc>
        <w:tc>
          <w:tcPr>
            <w:tcW w:w="825" w:type="dxa"/>
            <w:gridSpan w:val="2"/>
            <w:vAlign w:val="center"/>
          </w:tcPr>
          <w:p w14:paraId="554109D4" w14:textId="77777777" w:rsidR="00705A98" w:rsidRPr="005D1F80" w:rsidRDefault="00705A98" w:rsidP="00A329D2">
            <w:pPr>
              <w:jc w:val="center"/>
            </w:pPr>
            <w:r w:rsidRPr="005D1F80">
              <w:rPr>
                <w:sz w:val="22"/>
                <w:szCs w:val="22"/>
              </w:rPr>
              <w:t>58</w:t>
            </w:r>
          </w:p>
        </w:tc>
        <w:tc>
          <w:tcPr>
            <w:tcW w:w="843" w:type="dxa"/>
            <w:gridSpan w:val="2"/>
            <w:vAlign w:val="center"/>
          </w:tcPr>
          <w:p w14:paraId="3B22F696" w14:textId="77777777" w:rsidR="00705A98" w:rsidRPr="005D1F80" w:rsidRDefault="00705A98" w:rsidP="00A329D2">
            <w:pPr>
              <w:jc w:val="center"/>
            </w:pPr>
            <w:r w:rsidRPr="005D1F80">
              <w:rPr>
                <w:sz w:val="22"/>
                <w:szCs w:val="22"/>
              </w:rPr>
              <w:t>32</w:t>
            </w:r>
          </w:p>
        </w:tc>
        <w:tc>
          <w:tcPr>
            <w:tcW w:w="934" w:type="dxa"/>
            <w:vAlign w:val="center"/>
          </w:tcPr>
          <w:p w14:paraId="475AB9E6" w14:textId="77777777" w:rsidR="00705A98" w:rsidRPr="005D1F80" w:rsidRDefault="00705A98" w:rsidP="00A329D2">
            <w:pPr>
              <w:jc w:val="center"/>
            </w:pPr>
            <w:r w:rsidRPr="005D1F80">
              <w:rPr>
                <w:sz w:val="22"/>
                <w:szCs w:val="22"/>
              </w:rPr>
              <w:t>177</w:t>
            </w:r>
          </w:p>
        </w:tc>
        <w:tc>
          <w:tcPr>
            <w:tcW w:w="992" w:type="dxa"/>
            <w:vAlign w:val="center"/>
          </w:tcPr>
          <w:p w14:paraId="7E9A8B7C" w14:textId="77777777" w:rsidR="00705A98" w:rsidRPr="005D1F80" w:rsidRDefault="00705A98" w:rsidP="00A329D2">
            <w:pPr>
              <w:jc w:val="center"/>
              <w:rPr>
                <w:bCs/>
              </w:rPr>
            </w:pPr>
            <w:r w:rsidRPr="005D1F80">
              <w:rPr>
                <w:bCs/>
                <w:sz w:val="22"/>
                <w:szCs w:val="22"/>
              </w:rPr>
              <w:t>7,2</w:t>
            </w:r>
          </w:p>
        </w:tc>
        <w:tc>
          <w:tcPr>
            <w:tcW w:w="850" w:type="dxa"/>
            <w:vAlign w:val="center"/>
          </w:tcPr>
          <w:p w14:paraId="09E61993" w14:textId="77777777" w:rsidR="00705A98" w:rsidRPr="005D1F80" w:rsidRDefault="00705A98" w:rsidP="00A329D2">
            <w:pPr>
              <w:jc w:val="center"/>
              <w:rPr>
                <w:bCs/>
              </w:rPr>
            </w:pPr>
            <w:r w:rsidRPr="005D1F80">
              <w:rPr>
                <w:bCs/>
                <w:sz w:val="22"/>
                <w:szCs w:val="22"/>
              </w:rPr>
              <w:t>0,8</w:t>
            </w:r>
          </w:p>
        </w:tc>
        <w:tc>
          <w:tcPr>
            <w:tcW w:w="1560" w:type="dxa"/>
            <w:vAlign w:val="center"/>
          </w:tcPr>
          <w:p w14:paraId="5B6FC3E3" w14:textId="77777777" w:rsidR="00705A98" w:rsidRPr="005D1F80" w:rsidRDefault="00705A98" w:rsidP="00A329D2">
            <w:pPr>
              <w:jc w:val="center"/>
              <w:rPr>
                <w:bCs/>
              </w:rPr>
            </w:pPr>
            <w:r w:rsidRPr="005D1F80">
              <w:rPr>
                <w:bCs/>
                <w:color w:val="000000" w:themeColor="text1"/>
                <w:sz w:val="22"/>
                <w:szCs w:val="22"/>
              </w:rPr>
              <w:t>24,1</w:t>
            </w:r>
          </w:p>
        </w:tc>
      </w:tr>
      <w:tr w:rsidR="00705A98" w:rsidRPr="005D1F80" w14:paraId="1A511900" w14:textId="77777777" w:rsidTr="00A329D2">
        <w:trPr>
          <w:trHeight w:val="141"/>
        </w:trPr>
        <w:tc>
          <w:tcPr>
            <w:tcW w:w="1922" w:type="dxa"/>
          </w:tcPr>
          <w:p w14:paraId="3EF4B307" w14:textId="77777777" w:rsidR="00705A98" w:rsidRPr="005D1F80" w:rsidRDefault="00705A98" w:rsidP="00A329D2">
            <w:r w:rsidRPr="005D1F80">
              <w:rPr>
                <w:rStyle w:val="jlqj4b"/>
                <w:sz w:val="22"/>
                <w:szCs w:val="22"/>
              </w:rPr>
              <w:t>Vygonichsky</w:t>
            </w:r>
          </w:p>
        </w:tc>
        <w:tc>
          <w:tcPr>
            <w:tcW w:w="947" w:type="dxa"/>
            <w:vAlign w:val="center"/>
          </w:tcPr>
          <w:p w14:paraId="4C84F28D" w14:textId="77777777" w:rsidR="00705A98" w:rsidRPr="005D1F80" w:rsidRDefault="00705A98" w:rsidP="00A329D2">
            <w:pPr>
              <w:jc w:val="center"/>
            </w:pPr>
            <w:r w:rsidRPr="005D1F80">
              <w:rPr>
                <w:sz w:val="22"/>
                <w:szCs w:val="22"/>
              </w:rPr>
              <w:t>857</w:t>
            </w:r>
          </w:p>
        </w:tc>
        <w:tc>
          <w:tcPr>
            <w:tcW w:w="825" w:type="dxa"/>
            <w:vAlign w:val="center"/>
          </w:tcPr>
          <w:p w14:paraId="2359F15A" w14:textId="77777777" w:rsidR="00705A98" w:rsidRPr="005D1F80" w:rsidRDefault="00705A98" w:rsidP="00A329D2">
            <w:pPr>
              <w:jc w:val="center"/>
            </w:pPr>
            <w:r w:rsidRPr="005D1F80">
              <w:rPr>
                <w:sz w:val="22"/>
                <w:szCs w:val="22"/>
              </w:rPr>
              <w:t>749</w:t>
            </w:r>
          </w:p>
        </w:tc>
        <w:tc>
          <w:tcPr>
            <w:tcW w:w="825" w:type="dxa"/>
            <w:gridSpan w:val="2"/>
            <w:vAlign w:val="center"/>
          </w:tcPr>
          <w:p w14:paraId="4C8CD346" w14:textId="77777777" w:rsidR="00705A98" w:rsidRPr="005D1F80" w:rsidRDefault="00705A98" w:rsidP="00A329D2">
            <w:pPr>
              <w:jc w:val="center"/>
            </w:pPr>
            <w:r w:rsidRPr="005D1F80">
              <w:rPr>
                <w:sz w:val="22"/>
                <w:szCs w:val="22"/>
              </w:rPr>
              <w:t>37</w:t>
            </w:r>
          </w:p>
        </w:tc>
        <w:tc>
          <w:tcPr>
            <w:tcW w:w="843" w:type="dxa"/>
            <w:gridSpan w:val="2"/>
            <w:vAlign w:val="center"/>
          </w:tcPr>
          <w:p w14:paraId="51920C81" w14:textId="77777777" w:rsidR="00705A98" w:rsidRPr="005D1F80" w:rsidRDefault="00705A98" w:rsidP="00A329D2">
            <w:pPr>
              <w:jc w:val="center"/>
            </w:pPr>
            <w:r w:rsidRPr="005D1F80">
              <w:rPr>
                <w:sz w:val="22"/>
                <w:szCs w:val="22"/>
              </w:rPr>
              <w:t>2</w:t>
            </w:r>
          </w:p>
        </w:tc>
        <w:tc>
          <w:tcPr>
            <w:tcW w:w="934" w:type="dxa"/>
            <w:vAlign w:val="center"/>
          </w:tcPr>
          <w:p w14:paraId="6AF6962A" w14:textId="77777777" w:rsidR="00705A98" w:rsidRPr="005D1F80" w:rsidRDefault="00705A98" w:rsidP="00A329D2">
            <w:pPr>
              <w:jc w:val="center"/>
            </w:pPr>
            <w:r w:rsidRPr="005D1F80">
              <w:rPr>
                <w:sz w:val="22"/>
                <w:szCs w:val="22"/>
              </w:rPr>
              <w:t>70</w:t>
            </w:r>
          </w:p>
        </w:tc>
        <w:tc>
          <w:tcPr>
            <w:tcW w:w="992" w:type="dxa"/>
            <w:vAlign w:val="center"/>
          </w:tcPr>
          <w:p w14:paraId="10EBB947" w14:textId="77777777" w:rsidR="00705A98" w:rsidRPr="005D1F80" w:rsidRDefault="00705A98" w:rsidP="00A329D2">
            <w:pPr>
              <w:jc w:val="center"/>
              <w:rPr>
                <w:bCs/>
              </w:rPr>
            </w:pPr>
            <w:r w:rsidRPr="005D1F80">
              <w:rPr>
                <w:bCs/>
                <w:sz w:val="22"/>
                <w:szCs w:val="22"/>
              </w:rPr>
              <w:t>9,5</w:t>
            </w:r>
          </w:p>
        </w:tc>
        <w:tc>
          <w:tcPr>
            <w:tcW w:w="850" w:type="dxa"/>
            <w:vAlign w:val="center"/>
          </w:tcPr>
          <w:p w14:paraId="3E2FA18C" w14:textId="77777777" w:rsidR="00705A98" w:rsidRPr="005D1F80" w:rsidRDefault="00705A98" w:rsidP="00A329D2">
            <w:pPr>
              <w:jc w:val="center"/>
              <w:rPr>
                <w:bCs/>
              </w:rPr>
            </w:pPr>
            <w:r w:rsidRPr="005D1F80">
              <w:rPr>
                <w:bCs/>
                <w:sz w:val="22"/>
                <w:szCs w:val="22"/>
              </w:rPr>
              <w:t>0,4</w:t>
            </w:r>
          </w:p>
        </w:tc>
        <w:tc>
          <w:tcPr>
            <w:tcW w:w="1560" w:type="dxa"/>
            <w:vAlign w:val="center"/>
          </w:tcPr>
          <w:p w14:paraId="44556002" w14:textId="77777777" w:rsidR="00705A98" w:rsidRPr="005D1F80" w:rsidRDefault="00705A98" w:rsidP="00A329D2">
            <w:pPr>
              <w:jc w:val="center"/>
              <w:rPr>
                <w:bCs/>
              </w:rPr>
            </w:pPr>
            <w:r w:rsidRPr="005D1F80">
              <w:rPr>
                <w:bCs/>
                <w:color w:val="000000" w:themeColor="text1"/>
                <w:sz w:val="22"/>
                <w:szCs w:val="22"/>
              </w:rPr>
              <w:t>12,7</w:t>
            </w:r>
          </w:p>
        </w:tc>
      </w:tr>
      <w:tr w:rsidR="00705A98" w:rsidRPr="005D1F80" w14:paraId="498A26D2" w14:textId="77777777" w:rsidTr="00A329D2">
        <w:trPr>
          <w:trHeight w:val="141"/>
        </w:trPr>
        <w:tc>
          <w:tcPr>
            <w:tcW w:w="1922" w:type="dxa"/>
          </w:tcPr>
          <w:p w14:paraId="3438DA89" w14:textId="77777777" w:rsidR="00705A98" w:rsidRPr="005D1F80" w:rsidRDefault="00705A98" w:rsidP="00A329D2">
            <w:r w:rsidRPr="005D1F80">
              <w:rPr>
                <w:rStyle w:val="jlqj4b"/>
                <w:sz w:val="22"/>
                <w:szCs w:val="22"/>
              </w:rPr>
              <w:t>Bryansky</w:t>
            </w:r>
          </w:p>
        </w:tc>
        <w:tc>
          <w:tcPr>
            <w:tcW w:w="947" w:type="dxa"/>
            <w:vAlign w:val="center"/>
          </w:tcPr>
          <w:p w14:paraId="042482D4" w14:textId="77777777" w:rsidR="00705A98" w:rsidRPr="005D1F80" w:rsidRDefault="00705A98" w:rsidP="00A329D2">
            <w:pPr>
              <w:jc w:val="center"/>
            </w:pPr>
            <w:r w:rsidRPr="005D1F80">
              <w:rPr>
                <w:sz w:val="22"/>
                <w:szCs w:val="22"/>
              </w:rPr>
              <w:t>959</w:t>
            </w:r>
          </w:p>
        </w:tc>
        <w:tc>
          <w:tcPr>
            <w:tcW w:w="825" w:type="dxa"/>
            <w:vAlign w:val="center"/>
          </w:tcPr>
          <w:p w14:paraId="07BBB651" w14:textId="77777777" w:rsidR="00705A98" w:rsidRPr="005D1F80" w:rsidRDefault="00705A98" w:rsidP="00A329D2">
            <w:pPr>
              <w:jc w:val="center"/>
            </w:pPr>
            <w:r w:rsidRPr="005D1F80">
              <w:rPr>
                <w:sz w:val="22"/>
                <w:szCs w:val="22"/>
              </w:rPr>
              <w:t>813</w:t>
            </w:r>
          </w:p>
        </w:tc>
        <w:tc>
          <w:tcPr>
            <w:tcW w:w="825" w:type="dxa"/>
            <w:gridSpan w:val="2"/>
            <w:vAlign w:val="center"/>
          </w:tcPr>
          <w:p w14:paraId="474DF6D9" w14:textId="77777777" w:rsidR="00705A98" w:rsidRPr="005D1F80" w:rsidRDefault="00705A98" w:rsidP="00A329D2">
            <w:pPr>
              <w:jc w:val="center"/>
            </w:pPr>
            <w:r w:rsidRPr="005D1F80">
              <w:rPr>
                <w:sz w:val="22"/>
                <w:szCs w:val="22"/>
              </w:rPr>
              <w:t>47</w:t>
            </w:r>
          </w:p>
        </w:tc>
        <w:tc>
          <w:tcPr>
            <w:tcW w:w="843" w:type="dxa"/>
            <w:gridSpan w:val="2"/>
            <w:vAlign w:val="center"/>
          </w:tcPr>
          <w:p w14:paraId="1503D03B" w14:textId="77777777" w:rsidR="00705A98" w:rsidRPr="005D1F80" w:rsidRDefault="00705A98" w:rsidP="00A329D2">
            <w:pPr>
              <w:jc w:val="center"/>
            </w:pPr>
            <w:r w:rsidRPr="005D1F80">
              <w:rPr>
                <w:sz w:val="22"/>
                <w:szCs w:val="22"/>
              </w:rPr>
              <w:t>13</w:t>
            </w:r>
          </w:p>
        </w:tc>
        <w:tc>
          <w:tcPr>
            <w:tcW w:w="934" w:type="dxa"/>
            <w:vAlign w:val="center"/>
          </w:tcPr>
          <w:p w14:paraId="4E582267" w14:textId="77777777" w:rsidR="00705A98" w:rsidRPr="005D1F80" w:rsidRDefault="00705A98" w:rsidP="00A329D2">
            <w:pPr>
              <w:jc w:val="center"/>
            </w:pPr>
            <w:r w:rsidRPr="005D1F80">
              <w:rPr>
                <w:sz w:val="22"/>
                <w:szCs w:val="22"/>
              </w:rPr>
              <w:t>86</w:t>
            </w:r>
          </w:p>
        </w:tc>
        <w:tc>
          <w:tcPr>
            <w:tcW w:w="992" w:type="dxa"/>
            <w:vAlign w:val="center"/>
          </w:tcPr>
          <w:p w14:paraId="262CA163" w14:textId="77777777" w:rsidR="00705A98" w:rsidRPr="005D1F80" w:rsidRDefault="00705A98" w:rsidP="00A329D2">
            <w:pPr>
              <w:jc w:val="center"/>
              <w:rPr>
                <w:bCs/>
              </w:rPr>
            </w:pPr>
            <w:r w:rsidRPr="005D1F80">
              <w:rPr>
                <w:bCs/>
                <w:sz w:val="22"/>
                <w:szCs w:val="22"/>
              </w:rPr>
              <w:t>5,7</w:t>
            </w:r>
          </w:p>
        </w:tc>
        <w:tc>
          <w:tcPr>
            <w:tcW w:w="850" w:type="dxa"/>
            <w:vAlign w:val="center"/>
          </w:tcPr>
          <w:p w14:paraId="19380FE2" w14:textId="77777777" w:rsidR="00705A98" w:rsidRPr="005D1F80" w:rsidRDefault="00705A98" w:rsidP="00A329D2">
            <w:pPr>
              <w:jc w:val="center"/>
              <w:rPr>
                <w:bCs/>
              </w:rPr>
            </w:pPr>
            <w:r w:rsidRPr="005D1F80">
              <w:rPr>
                <w:bCs/>
                <w:sz w:val="22"/>
                <w:szCs w:val="22"/>
              </w:rPr>
              <w:t>0,4</w:t>
            </w:r>
          </w:p>
        </w:tc>
        <w:tc>
          <w:tcPr>
            <w:tcW w:w="1560" w:type="dxa"/>
            <w:vAlign w:val="center"/>
          </w:tcPr>
          <w:p w14:paraId="16C61E6E" w14:textId="77777777" w:rsidR="00705A98" w:rsidRPr="005D1F80" w:rsidRDefault="00705A98" w:rsidP="00A329D2">
            <w:pPr>
              <w:jc w:val="center"/>
              <w:rPr>
                <w:bCs/>
              </w:rPr>
            </w:pPr>
            <w:r w:rsidRPr="005D1F80">
              <w:rPr>
                <w:bCs/>
                <w:color w:val="000000" w:themeColor="text1"/>
                <w:sz w:val="22"/>
                <w:szCs w:val="22"/>
              </w:rPr>
              <w:t>23,8</w:t>
            </w:r>
          </w:p>
        </w:tc>
      </w:tr>
      <w:tr w:rsidR="00705A98" w:rsidRPr="005D1F80" w14:paraId="5B3AC94A" w14:textId="77777777" w:rsidTr="00A329D2">
        <w:trPr>
          <w:trHeight w:val="141"/>
        </w:trPr>
        <w:tc>
          <w:tcPr>
            <w:tcW w:w="1922" w:type="dxa"/>
          </w:tcPr>
          <w:p w14:paraId="54001D5B" w14:textId="77777777" w:rsidR="00705A98" w:rsidRPr="005D1F80" w:rsidRDefault="00705A98" w:rsidP="00A329D2">
            <w:r w:rsidRPr="005D1F80">
              <w:rPr>
                <w:rStyle w:val="jlqj4b"/>
                <w:sz w:val="22"/>
                <w:szCs w:val="22"/>
              </w:rPr>
              <w:t>Town Seltso</w:t>
            </w:r>
          </w:p>
        </w:tc>
        <w:tc>
          <w:tcPr>
            <w:tcW w:w="947" w:type="dxa"/>
            <w:vAlign w:val="center"/>
          </w:tcPr>
          <w:p w14:paraId="23730872" w14:textId="77777777" w:rsidR="00705A98" w:rsidRPr="005D1F80" w:rsidRDefault="00705A98" w:rsidP="00A329D2">
            <w:pPr>
              <w:jc w:val="center"/>
            </w:pPr>
            <w:r w:rsidRPr="005D1F80">
              <w:rPr>
                <w:sz w:val="22"/>
                <w:szCs w:val="22"/>
              </w:rPr>
              <w:t>5208</w:t>
            </w:r>
          </w:p>
        </w:tc>
        <w:tc>
          <w:tcPr>
            <w:tcW w:w="825" w:type="dxa"/>
            <w:vAlign w:val="center"/>
          </w:tcPr>
          <w:p w14:paraId="0F17D5D5" w14:textId="77777777" w:rsidR="00705A98" w:rsidRPr="005D1F80" w:rsidRDefault="00705A98" w:rsidP="00A329D2">
            <w:pPr>
              <w:jc w:val="center"/>
            </w:pPr>
            <w:r w:rsidRPr="005D1F80">
              <w:rPr>
                <w:sz w:val="22"/>
                <w:szCs w:val="22"/>
              </w:rPr>
              <w:t>773</w:t>
            </w:r>
          </w:p>
        </w:tc>
        <w:tc>
          <w:tcPr>
            <w:tcW w:w="825" w:type="dxa"/>
            <w:gridSpan w:val="2"/>
            <w:vAlign w:val="center"/>
          </w:tcPr>
          <w:p w14:paraId="20730CBF" w14:textId="77777777" w:rsidR="00705A98" w:rsidRPr="005D1F80" w:rsidRDefault="00705A98" w:rsidP="00A329D2">
            <w:pPr>
              <w:jc w:val="center"/>
            </w:pPr>
            <w:r w:rsidRPr="005D1F80">
              <w:rPr>
                <w:sz w:val="22"/>
                <w:szCs w:val="22"/>
              </w:rPr>
              <w:t>2405</w:t>
            </w:r>
          </w:p>
        </w:tc>
        <w:tc>
          <w:tcPr>
            <w:tcW w:w="843" w:type="dxa"/>
            <w:gridSpan w:val="2"/>
            <w:vAlign w:val="center"/>
          </w:tcPr>
          <w:p w14:paraId="78BCAFFC" w14:textId="77777777" w:rsidR="00705A98" w:rsidRPr="005D1F80" w:rsidRDefault="00705A98" w:rsidP="00A329D2">
            <w:pPr>
              <w:jc w:val="center"/>
            </w:pPr>
            <w:r w:rsidRPr="005D1F80">
              <w:rPr>
                <w:sz w:val="22"/>
                <w:szCs w:val="22"/>
              </w:rPr>
              <w:t>97</w:t>
            </w:r>
          </w:p>
        </w:tc>
        <w:tc>
          <w:tcPr>
            <w:tcW w:w="934" w:type="dxa"/>
            <w:vAlign w:val="center"/>
          </w:tcPr>
          <w:p w14:paraId="79B84404" w14:textId="77777777" w:rsidR="00705A98" w:rsidRPr="005D1F80" w:rsidRDefault="00705A98" w:rsidP="00A329D2">
            <w:pPr>
              <w:jc w:val="center"/>
            </w:pPr>
            <w:r w:rsidRPr="005D1F80">
              <w:rPr>
                <w:sz w:val="22"/>
                <w:szCs w:val="22"/>
              </w:rPr>
              <w:t>1934</w:t>
            </w:r>
          </w:p>
        </w:tc>
        <w:tc>
          <w:tcPr>
            <w:tcW w:w="992" w:type="dxa"/>
            <w:vAlign w:val="center"/>
          </w:tcPr>
          <w:p w14:paraId="2D1635D4" w14:textId="77777777" w:rsidR="00705A98" w:rsidRPr="005D1F80" w:rsidRDefault="00705A98" w:rsidP="00A329D2">
            <w:pPr>
              <w:jc w:val="center"/>
              <w:rPr>
                <w:bCs/>
              </w:rPr>
            </w:pPr>
            <w:r w:rsidRPr="005D1F80">
              <w:rPr>
                <w:bCs/>
                <w:sz w:val="22"/>
                <w:szCs w:val="22"/>
              </w:rPr>
              <w:t>4,4</w:t>
            </w:r>
          </w:p>
        </w:tc>
        <w:tc>
          <w:tcPr>
            <w:tcW w:w="850" w:type="dxa"/>
            <w:vAlign w:val="center"/>
          </w:tcPr>
          <w:p w14:paraId="481BE0E7" w14:textId="77777777" w:rsidR="00705A98" w:rsidRPr="005D1F80" w:rsidRDefault="00705A98" w:rsidP="00A329D2">
            <w:pPr>
              <w:jc w:val="center"/>
              <w:rPr>
                <w:bCs/>
              </w:rPr>
            </w:pPr>
            <w:r w:rsidRPr="005D1F80">
              <w:rPr>
                <w:bCs/>
                <w:sz w:val="22"/>
                <w:szCs w:val="22"/>
              </w:rPr>
              <w:t>0,8</w:t>
            </w:r>
          </w:p>
        </w:tc>
        <w:tc>
          <w:tcPr>
            <w:tcW w:w="1560" w:type="dxa"/>
            <w:vAlign w:val="center"/>
          </w:tcPr>
          <w:p w14:paraId="708FE46B" w14:textId="77777777" w:rsidR="00705A98" w:rsidRPr="005D1F80" w:rsidRDefault="00705A98" w:rsidP="00A329D2">
            <w:pPr>
              <w:jc w:val="center"/>
              <w:rPr>
                <w:bCs/>
              </w:rPr>
            </w:pPr>
            <w:r w:rsidRPr="005D1F80">
              <w:rPr>
                <w:bCs/>
                <w:color w:val="000000" w:themeColor="text1"/>
                <w:sz w:val="22"/>
                <w:szCs w:val="22"/>
              </w:rPr>
              <w:t>23,4</w:t>
            </w:r>
          </w:p>
        </w:tc>
      </w:tr>
      <w:tr w:rsidR="00705A98" w:rsidRPr="005D1F80" w14:paraId="539134B3" w14:textId="77777777" w:rsidTr="00A329D2">
        <w:trPr>
          <w:trHeight w:val="141"/>
        </w:trPr>
        <w:tc>
          <w:tcPr>
            <w:tcW w:w="1922" w:type="dxa"/>
          </w:tcPr>
          <w:p w14:paraId="794915CA" w14:textId="77777777" w:rsidR="00705A98" w:rsidRPr="005D1F80" w:rsidRDefault="00705A98" w:rsidP="00A329D2">
            <w:r w:rsidRPr="005D1F80">
              <w:rPr>
                <w:rStyle w:val="jlqj4b"/>
                <w:sz w:val="22"/>
                <w:szCs w:val="22"/>
              </w:rPr>
              <w:t>Dyatkovsky</w:t>
            </w:r>
          </w:p>
        </w:tc>
        <w:tc>
          <w:tcPr>
            <w:tcW w:w="947" w:type="dxa"/>
            <w:vAlign w:val="center"/>
          </w:tcPr>
          <w:p w14:paraId="03D5D488" w14:textId="77777777" w:rsidR="00705A98" w:rsidRPr="005D1F80" w:rsidRDefault="00705A98" w:rsidP="00A329D2">
            <w:pPr>
              <w:jc w:val="center"/>
            </w:pPr>
            <w:r w:rsidRPr="005D1F80">
              <w:rPr>
                <w:sz w:val="22"/>
                <w:szCs w:val="22"/>
              </w:rPr>
              <w:t>8045</w:t>
            </w:r>
          </w:p>
        </w:tc>
        <w:tc>
          <w:tcPr>
            <w:tcW w:w="825" w:type="dxa"/>
            <w:vAlign w:val="center"/>
          </w:tcPr>
          <w:p w14:paraId="3D47197B" w14:textId="77777777" w:rsidR="00705A98" w:rsidRPr="005D1F80" w:rsidRDefault="00705A98" w:rsidP="00A329D2">
            <w:pPr>
              <w:jc w:val="center"/>
            </w:pPr>
            <w:r w:rsidRPr="005D1F80">
              <w:rPr>
                <w:sz w:val="22"/>
                <w:szCs w:val="22"/>
              </w:rPr>
              <w:t>339</w:t>
            </w:r>
          </w:p>
        </w:tc>
        <w:tc>
          <w:tcPr>
            <w:tcW w:w="825" w:type="dxa"/>
            <w:gridSpan w:val="2"/>
            <w:vAlign w:val="center"/>
          </w:tcPr>
          <w:p w14:paraId="6BA966BD" w14:textId="77777777" w:rsidR="00705A98" w:rsidRPr="005D1F80" w:rsidRDefault="00705A98" w:rsidP="00A329D2">
            <w:pPr>
              <w:jc w:val="center"/>
            </w:pPr>
            <w:r w:rsidRPr="005D1F80">
              <w:rPr>
                <w:sz w:val="22"/>
                <w:szCs w:val="22"/>
              </w:rPr>
              <w:t>3760</w:t>
            </w:r>
          </w:p>
        </w:tc>
        <w:tc>
          <w:tcPr>
            <w:tcW w:w="843" w:type="dxa"/>
            <w:gridSpan w:val="2"/>
            <w:vAlign w:val="center"/>
          </w:tcPr>
          <w:p w14:paraId="5CD73F71" w14:textId="77777777" w:rsidR="00705A98" w:rsidRPr="005D1F80" w:rsidRDefault="00705A98" w:rsidP="00A329D2">
            <w:pPr>
              <w:jc w:val="center"/>
            </w:pPr>
            <w:r w:rsidRPr="005D1F80">
              <w:rPr>
                <w:sz w:val="22"/>
                <w:szCs w:val="22"/>
              </w:rPr>
              <w:t>1139</w:t>
            </w:r>
          </w:p>
        </w:tc>
        <w:tc>
          <w:tcPr>
            <w:tcW w:w="934" w:type="dxa"/>
            <w:vAlign w:val="center"/>
          </w:tcPr>
          <w:p w14:paraId="48A9C9B6" w14:textId="77777777" w:rsidR="00705A98" w:rsidRPr="005D1F80" w:rsidRDefault="00705A98" w:rsidP="00A329D2">
            <w:pPr>
              <w:jc w:val="center"/>
            </w:pPr>
            <w:r w:rsidRPr="005D1F80">
              <w:rPr>
                <w:sz w:val="22"/>
                <w:szCs w:val="22"/>
              </w:rPr>
              <w:t>2807</w:t>
            </w:r>
          </w:p>
        </w:tc>
        <w:tc>
          <w:tcPr>
            <w:tcW w:w="992" w:type="dxa"/>
            <w:vAlign w:val="center"/>
          </w:tcPr>
          <w:p w14:paraId="34AC2807" w14:textId="77777777" w:rsidR="00705A98" w:rsidRPr="005D1F80" w:rsidRDefault="00705A98" w:rsidP="00A329D2">
            <w:pPr>
              <w:jc w:val="center"/>
              <w:rPr>
                <w:bCs/>
              </w:rPr>
            </w:pPr>
            <w:r w:rsidRPr="005D1F80">
              <w:rPr>
                <w:bCs/>
                <w:sz w:val="22"/>
                <w:szCs w:val="22"/>
              </w:rPr>
              <w:t>38,4</w:t>
            </w:r>
          </w:p>
        </w:tc>
        <w:tc>
          <w:tcPr>
            <w:tcW w:w="850" w:type="dxa"/>
            <w:vAlign w:val="center"/>
          </w:tcPr>
          <w:p w14:paraId="4B88775F" w14:textId="77777777" w:rsidR="00705A98" w:rsidRPr="005D1F80" w:rsidRDefault="00705A98" w:rsidP="00A329D2">
            <w:pPr>
              <w:jc w:val="center"/>
              <w:rPr>
                <w:bCs/>
              </w:rPr>
            </w:pPr>
            <w:r w:rsidRPr="005D1F80">
              <w:rPr>
                <w:bCs/>
                <w:sz w:val="22"/>
                <w:szCs w:val="22"/>
              </w:rPr>
              <w:t>1,1</w:t>
            </w:r>
          </w:p>
        </w:tc>
        <w:tc>
          <w:tcPr>
            <w:tcW w:w="1560" w:type="dxa"/>
            <w:vAlign w:val="center"/>
          </w:tcPr>
          <w:p w14:paraId="4D5867C1" w14:textId="77777777" w:rsidR="00705A98" w:rsidRPr="005D1F80" w:rsidRDefault="00705A98" w:rsidP="00A329D2">
            <w:pPr>
              <w:jc w:val="center"/>
              <w:rPr>
                <w:bCs/>
              </w:rPr>
            </w:pPr>
            <w:r w:rsidRPr="005D1F80">
              <w:rPr>
                <w:bCs/>
                <w:color w:val="000000" w:themeColor="text1"/>
                <w:sz w:val="22"/>
                <w:szCs w:val="22"/>
              </w:rPr>
              <w:t>22,0</w:t>
            </w:r>
          </w:p>
        </w:tc>
      </w:tr>
      <w:tr w:rsidR="00705A98" w:rsidRPr="005D1F80" w14:paraId="0FB8DD89" w14:textId="77777777" w:rsidTr="00A329D2">
        <w:trPr>
          <w:trHeight w:val="141"/>
        </w:trPr>
        <w:tc>
          <w:tcPr>
            <w:tcW w:w="1922" w:type="dxa"/>
          </w:tcPr>
          <w:p w14:paraId="049F8BDA" w14:textId="77777777" w:rsidR="00705A98" w:rsidRPr="005D1F80" w:rsidRDefault="00705A98" w:rsidP="00A329D2">
            <w:r w:rsidRPr="005D1F80">
              <w:rPr>
                <w:rStyle w:val="jlqj4b"/>
                <w:sz w:val="22"/>
                <w:szCs w:val="22"/>
              </w:rPr>
              <w:t>City Bryansk</w:t>
            </w:r>
          </w:p>
        </w:tc>
        <w:tc>
          <w:tcPr>
            <w:tcW w:w="947" w:type="dxa"/>
            <w:vAlign w:val="center"/>
          </w:tcPr>
          <w:p w14:paraId="77C4CEFB" w14:textId="77777777" w:rsidR="00705A98" w:rsidRPr="005D1F80" w:rsidRDefault="00705A98" w:rsidP="00A329D2">
            <w:pPr>
              <w:jc w:val="center"/>
            </w:pPr>
            <w:r w:rsidRPr="005D1F80">
              <w:rPr>
                <w:sz w:val="22"/>
                <w:szCs w:val="22"/>
              </w:rPr>
              <w:t>32191</w:t>
            </w:r>
          </w:p>
        </w:tc>
        <w:tc>
          <w:tcPr>
            <w:tcW w:w="825" w:type="dxa"/>
            <w:vAlign w:val="center"/>
          </w:tcPr>
          <w:p w14:paraId="54457A81" w14:textId="77777777" w:rsidR="00705A98" w:rsidRPr="005D1F80" w:rsidRDefault="00705A98" w:rsidP="00A329D2">
            <w:pPr>
              <w:jc w:val="center"/>
            </w:pPr>
            <w:r w:rsidRPr="005D1F80">
              <w:rPr>
                <w:sz w:val="22"/>
                <w:szCs w:val="22"/>
              </w:rPr>
              <w:t>5217</w:t>
            </w:r>
          </w:p>
        </w:tc>
        <w:tc>
          <w:tcPr>
            <w:tcW w:w="825" w:type="dxa"/>
            <w:gridSpan w:val="2"/>
            <w:vAlign w:val="center"/>
          </w:tcPr>
          <w:p w14:paraId="08798281" w14:textId="77777777" w:rsidR="00705A98" w:rsidRPr="005D1F80" w:rsidRDefault="00705A98" w:rsidP="00A329D2">
            <w:pPr>
              <w:jc w:val="center"/>
            </w:pPr>
            <w:r w:rsidRPr="005D1F80">
              <w:rPr>
                <w:sz w:val="22"/>
                <w:szCs w:val="22"/>
              </w:rPr>
              <w:t>10886</w:t>
            </w:r>
          </w:p>
        </w:tc>
        <w:tc>
          <w:tcPr>
            <w:tcW w:w="843" w:type="dxa"/>
            <w:gridSpan w:val="2"/>
            <w:vAlign w:val="center"/>
          </w:tcPr>
          <w:p w14:paraId="389047F6" w14:textId="77777777" w:rsidR="00705A98" w:rsidRPr="005D1F80" w:rsidRDefault="00705A98" w:rsidP="00A329D2">
            <w:pPr>
              <w:jc w:val="center"/>
            </w:pPr>
            <w:r w:rsidRPr="005D1F80">
              <w:rPr>
                <w:sz w:val="22"/>
                <w:szCs w:val="22"/>
              </w:rPr>
              <w:t>2617</w:t>
            </w:r>
          </w:p>
        </w:tc>
        <w:tc>
          <w:tcPr>
            <w:tcW w:w="934" w:type="dxa"/>
            <w:vAlign w:val="center"/>
          </w:tcPr>
          <w:p w14:paraId="12256B95" w14:textId="77777777" w:rsidR="00705A98" w:rsidRPr="005D1F80" w:rsidRDefault="00705A98" w:rsidP="00A329D2">
            <w:pPr>
              <w:jc w:val="center"/>
            </w:pPr>
            <w:r w:rsidRPr="005D1F80">
              <w:rPr>
                <w:sz w:val="22"/>
                <w:szCs w:val="22"/>
              </w:rPr>
              <w:t>13470</w:t>
            </w:r>
          </w:p>
        </w:tc>
        <w:tc>
          <w:tcPr>
            <w:tcW w:w="992" w:type="dxa"/>
            <w:vAlign w:val="center"/>
          </w:tcPr>
          <w:p w14:paraId="409CE3FC" w14:textId="77777777" w:rsidR="00705A98" w:rsidRPr="005D1F80" w:rsidRDefault="00705A98" w:rsidP="00A329D2">
            <w:pPr>
              <w:jc w:val="center"/>
              <w:rPr>
                <w:bCs/>
              </w:rPr>
            </w:pPr>
            <w:r w:rsidRPr="005D1F80">
              <w:rPr>
                <w:bCs/>
                <w:sz w:val="22"/>
                <w:szCs w:val="22"/>
              </w:rPr>
              <w:t>8,8</w:t>
            </w:r>
          </w:p>
        </w:tc>
        <w:tc>
          <w:tcPr>
            <w:tcW w:w="850" w:type="dxa"/>
            <w:vAlign w:val="center"/>
          </w:tcPr>
          <w:p w14:paraId="5DE2FE81" w14:textId="77777777" w:rsidR="00705A98" w:rsidRPr="005D1F80" w:rsidRDefault="00705A98" w:rsidP="00A329D2">
            <w:pPr>
              <w:jc w:val="center"/>
              <w:rPr>
                <w:bCs/>
              </w:rPr>
            </w:pPr>
            <w:r w:rsidRPr="005D1F80">
              <w:rPr>
                <w:bCs/>
                <w:sz w:val="22"/>
                <w:szCs w:val="22"/>
              </w:rPr>
              <w:t>5,9</w:t>
            </w:r>
          </w:p>
        </w:tc>
        <w:tc>
          <w:tcPr>
            <w:tcW w:w="1560" w:type="dxa"/>
            <w:vAlign w:val="center"/>
          </w:tcPr>
          <w:p w14:paraId="684A9166" w14:textId="77777777" w:rsidR="00705A98" w:rsidRPr="005D1F80" w:rsidRDefault="00705A98" w:rsidP="00A329D2">
            <w:pPr>
              <w:jc w:val="center"/>
              <w:rPr>
                <w:bCs/>
              </w:rPr>
            </w:pPr>
            <w:r w:rsidRPr="005D1F80">
              <w:rPr>
                <w:bCs/>
                <w:color w:val="000000" w:themeColor="text1"/>
                <w:sz w:val="22"/>
                <w:szCs w:val="22"/>
              </w:rPr>
              <w:t>23,7</w:t>
            </w:r>
          </w:p>
        </w:tc>
      </w:tr>
      <w:tr w:rsidR="005D1F80" w:rsidRPr="005D1F80" w14:paraId="1A5620C7" w14:textId="77777777" w:rsidTr="000775A9">
        <w:trPr>
          <w:trHeight w:val="251"/>
        </w:trPr>
        <w:tc>
          <w:tcPr>
            <w:tcW w:w="9698" w:type="dxa"/>
            <w:gridSpan w:val="11"/>
          </w:tcPr>
          <w:p w14:paraId="42177E53" w14:textId="77777777" w:rsidR="005D1F80" w:rsidRPr="005D1F80" w:rsidRDefault="005D1F80" w:rsidP="00A329D2">
            <w:pPr>
              <w:jc w:val="center"/>
              <w:rPr>
                <w:bCs/>
                <w:color w:val="000000" w:themeColor="text1"/>
              </w:rPr>
            </w:pPr>
            <w:r w:rsidRPr="005D1F80">
              <w:rPr>
                <w:b/>
                <w:sz w:val="22"/>
                <w:szCs w:val="22"/>
                <w:lang w:eastAsia="ru-RU"/>
              </w:rPr>
              <w:t>Areas of radioactive contamination</w:t>
            </w:r>
          </w:p>
        </w:tc>
      </w:tr>
      <w:tr w:rsidR="00705A98" w:rsidRPr="005D1F80" w14:paraId="7F032256" w14:textId="77777777" w:rsidTr="00A329D2">
        <w:trPr>
          <w:trHeight w:val="251"/>
        </w:trPr>
        <w:tc>
          <w:tcPr>
            <w:tcW w:w="1922" w:type="dxa"/>
          </w:tcPr>
          <w:p w14:paraId="753437F9" w14:textId="77777777" w:rsidR="00705A98" w:rsidRPr="005D1F80" w:rsidRDefault="00705A98" w:rsidP="00A329D2">
            <w:r w:rsidRPr="005D1F80">
              <w:rPr>
                <w:rStyle w:val="jlqj4b"/>
                <w:sz w:val="22"/>
                <w:szCs w:val="22"/>
              </w:rPr>
              <w:t>Krasnogorsky</w:t>
            </w:r>
          </w:p>
        </w:tc>
        <w:tc>
          <w:tcPr>
            <w:tcW w:w="947" w:type="dxa"/>
            <w:vAlign w:val="center"/>
          </w:tcPr>
          <w:p w14:paraId="6F5448CF" w14:textId="77777777" w:rsidR="00705A98" w:rsidRPr="005D1F80" w:rsidRDefault="00705A98" w:rsidP="00A329D2">
            <w:pPr>
              <w:jc w:val="center"/>
            </w:pPr>
            <w:r w:rsidRPr="005D1F80">
              <w:rPr>
                <w:sz w:val="22"/>
                <w:szCs w:val="22"/>
              </w:rPr>
              <w:t>16</w:t>
            </w:r>
          </w:p>
        </w:tc>
        <w:tc>
          <w:tcPr>
            <w:tcW w:w="825" w:type="dxa"/>
            <w:vAlign w:val="center"/>
          </w:tcPr>
          <w:p w14:paraId="0F7A290F" w14:textId="77777777" w:rsidR="00705A98" w:rsidRPr="005D1F80" w:rsidRDefault="00705A98" w:rsidP="00A329D2">
            <w:pPr>
              <w:jc w:val="center"/>
            </w:pPr>
            <w:r w:rsidRPr="005D1F80">
              <w:rPr>
                <w:sz w:val="22"/>
                <w:szCs w:val="22"/>
              </w:rPr>
              <w:t>1</w:t>
            </w:r>
          </w:p>
        </w:tc>
        <w:tc>
          <w:tcPr>
            <w:tcW w:w="825" w:type="dxa"/>
            <w:gridSpan w:val="2"/>
            <w:vAlign w:val="center"/>
          </w:tcPr>
          <w:p w14:paraId="5C85E1AA" w14:textId="77777777" w:rsidR="00705A98" w:rsidRPr="005D1F80" w:rsidRDefault="00705A98" w:rsidP="00A329D2">
            <w:pPr>
              <w:jc w:val="center"/>
            </w:pPr>
            <w:r w:rsidRPr="005D1F80">
              <w:rPr>
                <w:sz w:val="22"/>
                <w:szCs w:val="22"/>
              </w:rPr>
              <w:t>5</w:t>
            </w:r>
          </w:p>
        </w:tc>
        <w:tc>
          <w:tcPr>
            <w:tcW w:w="843" w:type="dxa"/>
            <w:gridSpan w:val="2"/>
            <w:vAlign w:val="center"/>
          </w:tcPr>
          <w:p w14:paraId="172F1FF6" w14:textId="77777777" w:rsidR="00705A98" w:rsidRPr="005D1F80" w:rsidRDefault="00705A98" w:rsidP="00A329D2">
            <w:pPr>
              <w:jc w:val="center"/>
            </w:pPr>
            <w:r w:rsidRPr="005D1F80">
              <w:rPr>
                <w:sz w:val="22"/>
                <w:szCs w:val="22"/>
              </w:rPr>
              <w:t>0</w:t>
            </w:r>
          </w:p>
        </w:tc>
        <w:tc>
          <w:tcPr>
            <w:tcW w:w="934" w:type="dxa"/>
            <w:vAlign w:val="center"/>
          </w:tcPr>
          <w:p w14:paraId="05E9D4BF" w14:textId="77777777" w:rsidR="00705A98" w:rsidRPr="005D1F80" w:rsidRDefault="00705A98" w:rsidP="00A329D2">
            <w:pPr>
              <w:jc w:val="center"/>
            </w:pPr>
            <w:r w:rsidRPr="005D1F80">
              <w:rPr>
                <w:sz w:val="22"/>
                <w:szCs w:val="22"/>
              </w:rPr>
              <w:t>9</w:t>
            </w:r>
          </w:p>
        </w:tc>
        <w:tc>
          <w:tcPr>
            <w:tcW w:w="992" w:type="dxa"/>
            <w:vAlign w:val="center"/>
          </w:tcPr>
          <w:p w14:paraId="76935596" w14:textId="77777777" w:rsidR="00705A98" w:rsidRPr="005D1F80" w:rsidRDefault="00705A98" w:rsidP="00A329D2">
            <w:pPr>
              <w:jc w:val="center"/>
              <w:rPr>
                <w:bCs/>
              </w:rPr>
            </w:pPr>
            <w:r w:rsidRPr="005D1F80">
              <w:rPr>
                <w:bCs/>
                <w:sz w:val="22"/>
                <w:szCs w:val="22"/>
              </w:rPr>
              <w:t>303,4</w:t>
            </w:r>
          </w:p>
        </w:tc>
        <w:tc>
          <w:tcPr>
            <w:tcW w:w="850" w:type="dxa"/>
            <w:vAlign w:val="center"/>
          </w:tcPr>
          <w:p w14:paraId="0D475029" w14:textId="77777777" w:rsidR="00705A98" w:rsidRPr="005D1F80" w:rsidRDefault="00705A98" w:rsidP="00A329D2">
            <w:pPr>
              <w:jc w:val="center"/>
              <w:rPr>
                <w:bCs/>
              </w:rPr>
            </w:pPr>
            <w:r w:rsidRPr="005D1F80">
              <w:rPr>
                <w:bCs/>
                <w:sz w:val="22"/>
                <w:szCs w:val="22"/>
              </w:rPr>
              <w:t>9,3</w:t>
            </w:r>
          </w:p>
        </w:tc>
        <w:tc>
          <w:tcPr>
            <w:tcW w:w="1560" w:type="dxa"/>
            <w:vAlign w:val="center"/>
          </w:tcPr>
          <w:p w14:paraId="03DAE155" w14:textId="77777777" w:rsidR="00705A98" w:rsidRPr="005D1F80" w:rsidRDefault="00705A98" w:rsidP="00A329D2">
            <w:pPr>
              <w:jc w:val="center"/>
              <w:rPr>
                <w:bCs/>
              </w:rPr>
            </w:pPr>
            <w:r w:rsidRPr="005D1F80">
              <w:rPr>
                <w:bCs/>
                <w:color w:val="000000" w:themeColor="text1"/>
                <w:sz w:val="22"/>
                <w:szCs w:val="22"/>
              </w:rPr>
              <w:t>18,8</w:t>
            </w:r>
          </w:p>
        </w:tc>
      </w:tr>
      <w:tr w:rsidR="00705A98" w:rsidRPr="005D1F80" w14:paraId="09E7100F" w14:textId="77777777" w:rsidTr="00A329D2">
        <w:trPr>
          <w:trHeight w:val="141"/>
        </w:trPr>
        <w:tc>
          <w:tcPr>
            <w:tcW w:w="1922" w:type="dxa"/>
          </w:tcPr>
          <w:p w14:paraId="364940BE" w14:textId="77777777" w:rsidR="00705A98" w:rsidRPr="005D1F80" w:rsidRDefault="00705A98" w:rsidP="00A329D2">
            <w:r w:rsidRPr="005D1F80">
              <w:rPr>
                <w:rStyle w:val="jlqj4b"/>
                <w:sz w:val="22"/>
                <w:szCs w:val="22"/>
              </w:rPr>
              <w:t>Gordeevsky</w:t>
            </w:r>
          </w:p>
        </w:tc>
        <w:tc>
          <w:tcPr>
            <w:tcW w:w="947" w:type="dxa"/>
            <w:vAlign w:val="center"/>
          </w:tcPr>
          <w:p w14:paraId="33458A79" w14:textId="77777777" w:rsidR="00705A98" w:rsidRPr="005D1F80" w:rsidRDefault="00705A98" w:rsidP="00A329D2">
            <w:pPr>
              <w:jc w:val="center"/>
            </w:pPr>
            <w:r w:rsidRPr="005D1F80">
              <w:rPr>
                <w:sz w:val="22"/>
                <w:szCs w:val="22"/>
              </w:rPr>
              <w:t>29</w:t>
            </w:r>
          </w:p>
        </w:tc>
        <w:tc>
          <w:tcPr>
            <w:tcW w:w="825" w:type="dxa"/>
            <w:vAlign w:val="center"/>
          </w:tcPr>
          <w:p w14:paraId="0DDE0872" w14:textId="77777777" w:rsidR="00705A98" w:rsidRPr="005D1F80" w:rsidRDefault="00705A98" w:rsidP="00A329D2">
            <w:pPr>
              <w:jc w:val="center"/>
            </w:pPr>
            <w:r w:rsidRPr="005D1F80">
              <w:rPr>
                <w:sz w:val="22"/>
                <w:szCs w:val="22"/>
              </w:rPr>
              <w:t>2</w:t>
            </w:r>
          </w:p>
        </w:tc>
        <w:tc>
          <w:tcPr>
            <w:tcW w:w="825" w:type="dxa"/>
            <w:gridSpan w:val="2"/>
            <w:vAlign w:val="center"/>
          </w:tcPr>
          <w:p w14:paraId="19F6B1A4" w14:textId="77777777" w:rsidR="00705A98" w:rsidRPr="005D1F80" w:rsidRDefault="00705A98" w:rsidP="00A329D2">
            <w:pPr>
              <w:jc w:val="center"/>
            </w:pPr>
            <w:r w:rsidRPr="005D1F80">
              <w:rPr>
                <w:sz w:val="22"/>
                <w:szCs w:val="22"/>
              </w:rPr>
              <w:t>11</w:t>
            </w:r>
          </w:p>
        </w:tc>
        <w:tc>
          <w:tcPr>
            <w:tcW w:w="843" w:type="dxa"/>
            <w:gridSpan w:val="2"/>
            <w:vAlign w:val="center"/>
          </w:tcPr>
          <w:p w14:paraId="2809AB35" w14:textId="77777777" w:rsidR="00705A98" w:rsidRPr="005D1F80" w:rsidRDefault="00705A98" w:rsidP="00A329D2">
            <w:pPr>
              <w:jc w:val="center"/>
            </w:pPr>
            <w:r w:rsidRPr="005D1F80">
              <w:rPr>
                <w:sz w:val="22"/>
                <w:szCs w:val="22"/>
              </w:rPr>
              <w:t>0,2</w:t>
            </w:r>
          </w:p>
        </w:tc>
        <w:tc>
          <w:tcPr>
            <w:tcW w:w="934" w:type="dxa"/>
            <w:vAlign w:val="center"/>
          </w:tcPr>
          <w:p w14:paraId="15F9E6CD" w14:textId="77777777" w:rsidR="00705A98" w:rsidRPr="005D1F80" w:rsidRDefault="00705A98" w:rsidP="00A329D2">
            <w:pPr>
              <w:jc w:val="center"/>
            </w:pPr>
            <w:r w:rsidRPr="005D1F80">
              <w:rPr>
                <w:sz w:val="22"/>
                <w:szCs w:val="22"/>
              </w:rPr>
              <w:t>15</w:t>
            </w:r>
          </w:p>
        </w:tc>
        <w:tc>
          <w:tcPr>
            <w:tcW w:w="992" w:type="dxa"/>
            <w:vAlign w:val="center"/>
          </w:tcPr>
          <w:p w14:paraId="2F17F215" w14:textId="77777777" w:rsidR="00705A98" w:rsidRPr="005D1F80" w:rsidRDefault="00705A98" w:rsidP="00A329D2">
            <w:pPr>
              <w:jc w:val="center"/>
              <w:rPr>
                <w:bCs/>
              </w:rPr>
            </w:pPr>
            <w:r w:rsidRPr="005D1F80">
              <w:rPr>
                <w:bCs/>
                <w:sz w:val="22"/>
                <w:szCs w:val="22"/>
              </w:rPr>
              <w:t>328,6</w:t>
            </w:r>
          </w:p>
        </w:tc>
        <w:tc>
          <w:tcPr>
            <w:tcW w:w="850" w:type="dxa"/>
            <w:vAlign w:val="center"/>
          </w:tcPr>
          <w:p w14:paraId="44AEDE87" w14:textId="77777777" w:rsidR="00705A98" w:rsidRPr="005D1F80" w:rsidRDefault="00705A98" w:rsidP="00A329D2">
            <w:pPr>
              <w:jc w:val="center"/>
              <w:rPr>
                <w:bCs/>
              </w:rPr>
            </w:pPr>
            <w:r w:rsidRPr="005D1F80">
              <w:rPr>
                <w:bCs/>
                <w:sz w:val="22"/>
                <w:szCs w:val="22"/>
              </w:rPr>
              <w:t>5,0</w:t>
            </w:r>
          </w:p>
        </w:tc>
        <w:tc>
          <w:tcPr>
            <w:tcW w:w="1560" w:type="dxa"/>
            <w:vAlign w:val="center"/>
          </w:tcPr>
          <w:p w14:paraId="039BC527" w14:textId="77777777" w:rsidR="00705A98" w:rsidRPr="005D1F80" w:rsidRDefault="00705A98" w:rsidP="00A329D2">
            <w:pPr>
              <w:jc w:val="center"/>
              <w:rPr>
                <w:bCs/>
              </w:rPr>
            </w:pPr>
            <w:r w:rsidRPr="005D1F80">
              <w:rPr>
                <w:bCs/>
                <w:color w:val="000000" w:themeColor="text1"/>
                <w:sz w:val="22"/>
                <w:szCs w:val="22"/>
              </w:rPr>
              <w:t>11,0</w:t>
            </w:r>
          </w:p>
        </w:tc>
      </w:tr>
      <w:tr w:rsidR="00705A98" w:rsidRPr="005D1F80" w14:paraId="57773E02" w14:textId="77777777" w:rsidTr="00A329D2">
        <w:trPr>
          <w:trHeight w:val="141"/>
        </w:trPr>
        <w:tc>
          <w:tcPr>
            <w:tcW w:w="1922" w:type="dxa"/>
          </w:tcPr>
          <w:p w14:paraId="005FCD58" w14:textId="77777777" w:rsidR="00705A98" w:rsidRPr="005D1F80" w:rsidRDefault="00705A98" w:rsidP="00A329D2">
            <w:r w:rsidRPr="005D1F80">
              <w:rPr>
                <w:rStyle w:val="jlqj4b"/>
                <w:sz w:val="22"/>
                <w:szCs w:val="22"/>
              </w:rPr>
              <w:t>Zlynkovsky</w:t>
            </w:r>
          </w:p>
        </w:tc>
        <w:tc>
          <w:tcPr>
            <w:tcW w:w="947" w:type="dxa"/>
            <w:vAlign w:val="center"/>
          </w:tcPr>
          <w:p w14:paraId="76555DCA" w14:textId="77777777" w:rsidR="00705A98" w:rsidRPr="005D1F80" w:rsidRDefault="00705A98" w:rsidP="00A329D2">
            <w:pPr>
              <w:jc w:val="center"/>
            </w:pPr>
            <w:r w:rsidRPr="005D1F80">
              <w:rPr>
                <w:sz w:val="22"/>
                <w:szCs w:val="22"/>
              </w:rPr>
              <w:t>37</w:t>
            </w:r>
          </w:p>
        </w:tc>
        <w:tc>
          <w:tcPr>
            <w:tcW w:w="825" w:type="dxa"/>
            <w:vAlign w:val="center"/>
          </w:tcPr>
          <w:p w14:paraId="43FC10C2" w14:textId="77777777" w:rsidR="00705A98" w:rsidRPr="005D1F80" w:rsidRDefault="00705A98" w:rsidP="00A329D2">
            <w:pPr>
              <w:jc w:val="center"/>
            </w:pPr>
            <w:r w:rsidRPr="005D1F80">
              <w:rPr>
                <w:sz w:val="22"/>
                <w:szCs w:val="22"/>
              </w:rPr>
              <w:t>5</w:t>
            </w:r>
          </w:p>
        </w:tc>
        <w:tc>
          <w:tcPr>
            <w:tcW w:w="825" w:type="dxa"/>
            <w:gridSpan w:val="2"/>
            <w:vAlign w:val="center"/>
          </w:tcPr>
          <w:p w14:paraId="381BCCCD" w14:textId="77777777" w:rsidR="00705A98" w:rsidRPr="005D1F80" w:rsidRDefault="00705A98" w:rsidP="00A329D2">
            <w:pPr>
              <w:jc w:val="center"/>
            </w:pPr>
            <w:r w:rsidRPr="005D1F80">
              <w:rPr>
                <w:sz w:val="22"/>
                <w:szCs w:val="22"/>
              </w:rPr>
              <w:t>11</w:t>
            </w:r>
          </w:p>
        </w:tc>
        <w:tc>
          <w:tcPr>
            <w:tcW w:w="843" w:type="dxa"/>
            <w:gridSpan w:val="2"/>
            <w:vAlign w:val="center"/>
          </w:tcPr>
          <w:p w14:paraId="1D8CA4A6" w14:textId="77777777" w:rsidR="00705A98" w:rsidRPr="005D1F80" w:rsidRDefault="00705A98" w:rsidP="00A329D2">
            <w:pPr>
              <w:jc w:val="center"/>
            </w:pPr>
            <w:r w:rsidRPr="005D1F80">
              <w:rPr>
                <w:sz w:val="22"/>
                <w:szCs w:val="22"/>
              </w:rPr>
              <w:t>4</w:t>
            </w:r>
          </w:p>
        </w:tc>
        <w:tc>
          <w:tcPr>
            <w:tcW w:w="934" w:type="dxa"/>
            <w:vAlign w:val="center"/>
          </w:tcPr>
          <w:p w14:paraId="3795356B" w14:textId="77777777" w:rsidR="00705A98" w:rsidRPr="005D1F80" w:rsidRDefault="00705A98" w:rsidP="00A329D2">
            <w:pPr>
              <w:jc w:val="center"/>
            </w:pPr>
            <w:r w:rsidRPr="005D1F80">
              <w:rPr>
                <w:sz w:val="22"/>
                <w:szCs w:val="22"/>
              </w:rPr>
              <w:t>18</w:t>
            </w:r>
          </w:p>
        </w:tc>
        <w:tc>
          <w:tcPr>
            <w:tcW w:w="992" w:type="dxa"/>
            <w:vAlign w:val="center"/>
          </w:tcPr>
          <w:p w14:paraId="722F1DCA" w14:textId="77777777" w:rsidR="00705A98" w:rsidRPr="005D1F80" w:rsidRDefault="00705A98" w:rsidP="00A329D2">
            <w:pPr>
              <w:jc w:val="center"/>
              <w:rPr>
                <w:bCs/>
              </w:rPr>
            </w:pPr>
            <w:r w:rsidRPr="005D1F80">
              <w:rPr>
                <w:bCs/>
                <w:sz w:val="22"/>
                <w:szCs w:val="22"/>
              </w:rPr>
              <w:t>412,4</w:t>
            </w:r>
          </w:p>
        </w:tc>
        <w:tc>
          <w:tcPr>
            <w:tcW w:w="850" w:type="dxa"/>
            <w:vAlign w:val="center"/>
          </w:tcPr>
          <w:p w14:paraId="1496B902" w14:textId="77777777" w:rsidR="00705A98" w:rsidRPr="005D1F80" w:rsidRDefault="00705A98" w:rsidP="00A329D2">
            <w:pPr>
              <w:jc w:val="center"/>
              <w:rPr>
                <w:bCs/>
              </w:rPr>
            </w:pPr>
            <w:r w:rsidRPr="005D1F80">
              <w:rPr>
                <w:bCs/>
                <w:sz w:val="22"/>
                <w:szCs w:val="22"/>
              </w:rPr>
              <w:t>16,3</w:t>
            </w:r>
          </w:p>
        </w:tc>
        <w:tc>
          <w:tcPr>
            <w:tcW w:w="1560" w:type="dxa"/>
            <w:vAlign w:val="center"/>
          </w:tcPr>
          <w:p w14:paraId="7544477B" w14:textId="77777777" w:rsidR="00705A98" w:rsidRPr="005D1F80" w:rsidRDefault="00705A98" w:rsidP="00A329D2">
            <w:pPr>
              <w:jc w:val="center"/>
              <w:rPr>
                <w:bCs/>
              </w:rPr>
            </w:pPr>
            <w:r w:rsidRPr="005D1F80">
              <w:rPr>
                <w:bCs/>
                <w:color w:val="000000" w:themeColor="text1"/>
                <w:sz w:val="22"/>
                <w:szCs w:val="22"/>
              </w:rPr>
              <w:t>18,3</w:t>
            </w:r>
          </w:p>
        </w:tc>
      </w:tr>
      <w:tr w:rsidR="00705A98" w:rsidRPr="005D1F80" w14:paraId="469CDAB6" w14:textId="77777777" w:rsidTr="00A329D2">
        <w:trPr>
          <w:trHeight w:val="141"/>
        </w:trPr>
        <w:tc>
          <w:tcPr>
            <w:tcW w:w="1922" w:type="dxa"/>
          </w:tcPr>
          <w:p w14:paraId="1492A42D" w14:textId="77777777" w:rsidR="00705A98" w:rsidRPr="005D1F80" w:rsidRDefault="00705A98" w:rsidP="00A329D2">
            <w:r w:rsidRPr="005D1F80">
              <w:rPr>
                <w:rStyle w:val="jlqj4b"/>
                <w:sz w:val="22"/>
                <w:szCs w:val="22"/>
              </w:rPr>
              <w:t>Novozybkovsky</w:t>
            </w:r>
          </w:p>
        </w:tc>
        <w:tc>
          <w:tcPr>
            <w:tcW w:w="947" w:type="dxa"/>
            <w:vAlign w:val="center"/>
          </w:tcPr>
          <w:p w14:paraId="58B116D5" w14:textId="77777777" w:rsidR="00705A98" w:rsidRPr="005D1F80" w:rsidRDefault="00705A98" w:rsidP="00A329D2">
            <w:pPr>
              <w:jc w:val="center"/>
            </w:pPr>
            <w:r w:rsidRPr="005D1F80">
              <w:rPr>
                <w:sz w:val="22"/>
                <w:szCs w:val="22"/>
              </w:rPr>
              <w:t>51</w:t>
            </w:r>
          </w:p>
        </w:tc>
        <w:tc>
          <w:tcPr>
            <w:tcW w:w="825" w:type="dxa"/>
            <w:vAlign w:val="center"/>
          </w:tcPr>
          <w:p w14:paraId="1CC5C3F8" w14:textId="77777777" w:rsidR="00705A98" w:rsidRPr="005D1F80" w:rsidRDefault="00705A98" w:rsidP="00A329D2">
            <w:pPr>
              <w:jc w:val="center"/>
            </w:pPr>
            <w:r w:rsidRPr="005D1F80">
              <w:rPr>
                <w:sz w:val="22"/>
                <w:szCs w:val="22"/>
              </w:rPr>
              <w:t>10</w:t>
            </w:r>
          </w:p>
        </w:tc>
        <w:tc>
          <w:tcPr>
            <w:tcW w:w="825" w:type="dxa"/>
            <w:gridSpan w:val="2"/>
            <w:vAlign w:val="center"/>
          </w:tcPr>
          <w:p w14:paraId="69FBCBB8" w14:textId="77777777" w:rsidR="00705A98" w:rsidRPr="005D1F80" w:rsidRDefault="00705A98" w:rsidP="00A329D2">
            <w:pPr>
              <w:jc w:val="center"/>
            </w:pPr>
            <w:r w:rsidRPr="005D1F80">
              <w:rPr>
                <w:sz w:val="22"/>
                <w:szCs w:val="22"/>
              </w:rPr>
              <w:t>0</w:t>
            </w:r>
          </w:p>
        </w:tc>
        <w:tc>
          <w:tcPr>
            <w:tcW w:w="843" w:type="dxa"/>
            <w:gridSpan w:val="2"/>
            <w:vAlign w:val="center"/>
          </w:tcPr>
          <w:p w14:paraId="7BC34EBF" w14:textId="77777777" w:rsidR="00705A98" w:rsidRPr="005D1F80" w:rsidRDefault="00705A98" w:rsidP="00A329D2">
            <w:pPr>
              <w:jc w:val="center"/>
            </w:pPr>
            <w:r w:rsidRPr="005D1F80">
              <w:rPr>
                <w:sz w:val="22"/>
                <w:szCs w:val="22"/>
              </w:rPr>
              <w:t>0</w:t>
            </w:r>
          </w:p>
        </w:tc>
        <w:tc>
          <w:tcPr>
            <w:tcW w:w="934" w:type="dxa"/>
            <w:vAlign w:val="center"/>
          </w:tcPr>
          <w:p w14:paraId="0EB0EDBA" w14:textId="77777777" w:rsidR="00705A98" w:rsidRPr="005D1F80" w:rsidRDefault="00705A98" w:rsidP="00A329D2">
            <w:pPr>
              <w:jc w:val="center"/>
            </w:pPr>
            <w:r w:rsidRPr="005D1F80">
              <w:rPr>
                <w:sz w:val="22"/>
                <w:szCs w:val="22"/>
              </w:rPr>
              <w:t>41</w:t>
            </w:r>
          </w:p>
        </w:tc>
        <w:tc>
          <w:tcPr>
            <w:tcW w:w="992" w:type="dxa"/>
            <w:vAlign w:val="center"/>
          </w:tcPr>
          <w:p w14:paraId="349CA142" w14:textId="77777777" w:rsidR="00705A98" w:rsidRPr="005D1F80" w:rsidRDefault="00705A98" w:rsidP="00A329D2">
            <w:pPr>
              <w:jc w:val="center"/>
              <w:rPr>
                <w:bCs/>
              </w:rPr>
            </w:pPr>
            <w:r w:rsidRPr="005D1F80">
              <w:rPr>
                <w:bCs/>
                <w:sz w:val="22"/>
                <w:szCs w:val="22"/>
              </w:rPr>
              <w:t>460,6</w:t>
            </w:r>
          </w:p>
        </w:tc>
        <w:tc>
          <w:tcPr>
            <w:tcW w:w="850" w:type="dxa"/>
            <w:vAlign w:val="center"/>
          </w:tcPr>
          <w:p w14:paraId="77E32CA7" w14:textId="77777777" w:rsidR="00705A98" w:rsidRPr="005D1F80" w:rsidRDefault="00705A98" w:rsidP="00A329D2">
            <w:pPr>
              <w:jc w:val="center"/>
              <w:rPr>
                <w:bCs/>
              </w:rPr>
            </w:pPr>
            <w:r w:rsidRPr="005D1F80">
              <w:rPr>
                <w:bCs/>
                <w:sz w:val="22"/>
                <w:szCs w:val="22"/>
              </w:rPr>
              <w:t>8,4</w:t>
            </w:r>
          </w:p>
        </w:tc>
        <w:tc>
          <w:tcPr>
            <w:tcW w:w="1560" w:type="dxa"/>
            <w:vAlign w:val="center"/>
          </w:tcPr>
          <w:p w14:paraId="6134EE0A" w14:textId="77777777" w:rsidR="00705A98" w:rsidRPr="005D1F80" w:rsidRDefault="00705A98" w:rsidP="00A329D2">
            <w:pPr>
              <w:jc w:val="center"/>
              <w:rPr>
                <w:bCs/>
              </w:rPr>
            </w:pPr>
            <w:r w:rsidRPr="005D1F80">
              <w:rPr>
                <w:bCs/>
                <w:color w:val="000000" w:themeColor="text1"/>
                <w:sz w:val="22"/>
                <w:szCs w:val="22"/>
              </w:rPr>
              <w:t>14,6</w:t>
            </w:r>
          </w:p>
        </w:tc>
      </w:tr>
      <w:tr w:rsidR="00705A98" w:rsidRPr="005D1F80" w14:paraId="52D26563" w14:textId="77777777" w:rsidTr="00A329D2">
        <w:trPr>
          <w:trHeight w:val="141"/>
        </w:trPr>
        <w:tc>
          <w:tcPr>
            <w:tcW w:w="1922" w:type="dxa"/>
          </w:tcPr>
          <w:p w14:paraId="0A7F533C" w14:textId="77777777" w:rsidR="00705A98" w:rsidRPr="005D1F80" w:rsidRDefault="00705A98" w:rsidP="00A329D2">
            <w:r w:rsidRPr="005D1F80">
              <w:rPr>
                <w:rStyle w:val="jlqj4b"/>
                <w:sz w:val="22"/>
                <w:szCs w:val="22"/>
              </w:rPr>
              <w:t>Klimovsky</w:t>
            </w:r>
          </w:p>
        </w:tc>
        <w:tc>
          <w:tcPr>
            <w:tcW w:w="947" w:type="dxa"/>
            <w:vAlign w:val="center"/>
          </w:tcPr>
          <w:p w14:paraId="51A8D37A" w14:textId="77777777" w:rsidR="00705A98" w:rsidRPr="005D1F80" w:rsidRDefault="00705A98" w:rsidP="00A329D2">
            <w:pPr>
              <w:jc w:val="center"/>
            </w:pPr>
            <w:r w:rsidRPr="005D1F80">
              <w:rPr>
                <w:sz w:val="22"/>
                <w:szCs w:val="22"/>
              </w:rPr>
              <w:t>72</w:t>
            </w:r>
          </w:p>
        </w:tc>
        <w:tc>
          <w:tcPr>
            <w:tcW w:w="825" w:type="dxa"/>
            <w:vAlign w:val="center"/>
          </w:tcPr>
          <w:p w14:paraId="54C5CF61" w14:textId="77777777" w:rsidR="00705A98" w:rsidRPr="005D1F80" w:rsidRDefault="00705A98" w:rsidP="00A329D2">
            <w:pPr>
              <w:jc w:val="center"/>
            </w:pPr>
            <w:r w:rsidRPr="005D1F80">
              <w:rPr>
                <w:sz w:val="22"/>
                <w:szCs w:val="22"/>
              </w:rPr>
              <w:t>16</w:t>
            </w:r>
          </w:p>
        </w:tc>
        <w:tc>
          <w:tcPr>
            <w:tcW w:w="825" w:type="dxa"/>
            <w:gridSpan w:val="2"/>
            <w:vAlign w:val="center"/>
          </w:tcPr>
          <w:p w14:paraId="43B190D5" w14:textId="77777777" w:rsidR="00705A98" w:rsidRPr="005D1F80" w:rsidRDefault="00705A98" w:rsidP="00A329D2">
            <w:pPr>
              <w:jc w:val="center"/>
            </w:pPr>
            <w:r w:rsidRPr="005D1F80">
              <w:rPr>
                <w:sz w:val="22"/>
                <w:szCs w:val="22"/>
              </w:rPr>
              <w:t>8</w:t>
            </w:r>
          </w:p>
        </w:tc>
        <w:tc>
          <w:tcPr>
            <w:tcW w:w="843" w:type="dxa"/>
            <w:gridSpan w:val="2"/>
            <w:vAlign w:val="center"/>
          </w:tcPr>
          <w:p w14:paraId="0E0E17FE" w14:textId="77777777" w:rsidR="00705A98" w:rsidRPr="005D1F80" w:rsidRDefault="00705A98" w:rsidP="00A329D2">
            <w:pPr>
              <w:jc w:val="center"/>
            </w:pPr>
            <w:r w:rsidRPr="005D1F80">
              <w:rPr>
                <w:sz w:val="22"/>
                <w:szCs w:val="22"/>
              </w:rPr>
              <w:t>15</w:t>
            </w:r>
          </w:p>
        </w:tc>
        <w:tc>
          <w:tcPr>
            <w:tcW w:w="934" w:type="dxa"/>
            <w:vAlign w:val="center"/>
          </w:tcPr>
          <w:p w14:paraId="4DBB323B" w14:textId="77777777" w:rsidR="00705A98" w:rsidRPr="005D1F80" w:rsidRDefault="00705A98" w:rsidP="00A329D2">
            <w:pPr>
              <w:jc w:val="center"/>
            </w:pPr>
            <w:r w:rsidRPr="005D1F80">
              <w:rPr>
                <w:sz w:val="22"/>
                <w:szCs w:val="22"/>
              </w:rPr>
              <w:t>33</w:t>
            </w:r>
          </w:p>
        </w:tc>
        <w:tc>
          <w:tcPr>
            <w:tcW w:w="992" w:type="dxa"/>
            <w:vAlign w:val="center"/>
          </w:tcPr>
          <w:p w14:paraId="2182DBCD" w14:textId="77777777" w:rsidR="00705A98" w:rsidRPr="005D1F80" w:rsidRDefault="00705A98" w:rsidP="00A329D2">
            <w:pPr>
              <w:jc w:val="center"/>
              <w:rPr>
                <w:bCs/>
              </w:rPr>
            </w:pPr>
            <w:r w:rsidRPr="005D1F80">
              <w:rPr>
                <w:bCs/>
                <w:sz w:val="22"/>
                <w:szCs w:val="22"/>
              </w:rPr>
              <w:t>139,6</w:t>
            </w:r>
          </w:p>
        </w:tc>
        <w:tc>
          <w:tcPr>
            <w:tcW w:w="850" w:type="dxa"/>
            <w:vAlign w:val="center"/>
          </w:tcPr>
          <w:p w14:paraId="3436FD33" w14:textId="77777777" w:rsidR="00705A98" w:rsidRPr="005D1F80" w:rsidRDefault="00705A98" w:rsidP="00A329D2">
            <w:pPr>
              <w:jc w:val="center"/>
              <w:rPr>
                <w:bCs/>
              </w:rPr>
            </w:pPr>
            <w:r w:rsidRPr="005D1F80">
              <w:rPr>
                <w:bCs/>
                <w:sz w:val="22"/>
                <w:szCs w:val="22"/>
              </w:rPr>
              <w:t>6,4</w:t>
            </w:r>
          </w:p>
        </w:tc>
        <w:tc>
          <w:tcPr>
            <w:tcW w:w="1560" w:type="dxa"/>
            <w:vAlign w:val="center"/>
          </w:tcPr>
          <w:p w14:paraId="3C9C4A12" w14:textId="77777777" w:rsidR="00705A98" w:rsidRPr="005D1F80" w:rsidRDefault="00705A98" w:rsidP="00A329D2">
            <w:pPr>
              <w:jc w:val="center"/>
              <w:rPr>
                <w:bCs/>
              </w:rPr>
            </w:pPr>
            <w:r w:rsidRPr="005D1F80">
              <w:rPr>
                <w:bCs/>
                <w:color w:val="000000" w:themeColor="text1"/>
                <w:sz w:val="22"/>
                <w:szCs w:val="22"/>
              </w:rPr>
              <w:t>21,2</w:t>
            </w:r>
          </w:p>
        </w:tc>
      </w:tr>
      <w:tr w:rsidR="00705A98" w:rsidRPr="005D1F80" w14:paraId="5F4E97CE" w14:textId="77777777" w:rsidTr="00A329D2">
        <w:trPr>
          <w:trHeight w:val="141"/>
        </w:trPr>
        <w:tc>
          <w:tcPr>
            <w:tcW w:w="1922" w:type="dxa"/>
          </w:tcPr>
          <w:p w14:paraId="6C88606D" w14:textId="77777777" w:rsidR="00705A98" w:rsidRPr="005D1F80" w:rsidRDefault="00705A98" w:rsidP="00A329D2">
            <w:r w:rsidRPr="005D1F80">
              <w:rPr>
                <w:rStyle w:val="jlqj4b"/>
                <w:sz w:val="22"/>
                <w:szCs w:val="22"/>
              </w:rPr>
              <w:t>Klintsovsky</w:t>
            </w:r>
          </w:p>
        </w:tc>
        <w:tc>
          <w:tcPr>
            <w:tcW w:w="947" w:type="dxa"/>
            <w:vAlign w:val="center"/>
          </w:tcPr>
          <w:p w14:paraId="46E83128" w14:textId="77777777" w:rsidR="00705A98" w:rsidRPr="005D1F80" w:rsidRDefault="00705A98" w:rsidP="00A329D2">
            <w:pPr>
              <w:jc w:val="center"/>
            </w:pPr>
            <w:r w:rsidRPr="005D1F80">
              <w:rPr>
                <w:sz w:val="22"/>
                <w:szCs w:val="22"/>
              </w:rPr>
              <w:t>169</w:t>
            </w:r>
          </w:p>
        </w:tc>
        <w:tc>
          <w:tcPr>
            <w:tcW w:w="825" w:type="dxa"/>
            <w:vAlign w:val="center"/>
          </w:tcPr>
          <w:p w14:paraId="54B2933D" w14:textId="77777777" w:rsidR="00705A98" w:rsidRPr="005D1F80" w:rsidRDefault="00705A98" w:rsidP="00A329D2">
            <w:pPr>
              <w:jc w:val="center"/>
            </w:pPr>
            <w:r w:rsidRPr="005D1F80">
              <w:rPr>
                <w:sz w:val="22"/>
                <w:szCs w:val="22"/>
              </w:rPr>
              <w:t>17</w:t>
            </w:r>
          </w:p>
        </w:tc>
        <w:tc>
          <w:tcPr>
            <w:tcW w:w="825" w:type="dxa"/>
            <w:gridSpan w:val="2"/>
            <w:vAlign w:val="center"/>
          </w:tcPr>
          <w:p w14:paraId="61C75E7B" w14:textId="77777777" w:rsidR="00705A98" w:rsidRPr="005D1F80" w:rsidRDefault="00705A98" w:rsidP="00A329D2">
            <w:pPr>
              <w:jc w:val="center"/>
            </w:pPr>
            <w:r w:rsidRPr="005D1F80">
              <w:rPr>
                <w:sz w:val="22"/>
                <w:szCs w:val="22"/>
              </w:rPr>
              <w:t>70</w:t>
            </w:r>
          </w:p>
        </w:tc>
        <w:tc>
          <w:tcPr>
            <w:tcW w:w="843" w:type="dxa"/>
            <w:gridSpan w:val="2"/>
            <w:vAlign w:val="center"/>
          </w:tcPr>
          <w:p w14:paraId="38806DED" w14:textId="77777777" w:rsidR="00705A98" w:rsidRPr="005D1F80" w:rsidRDefault="00705A98" w:rsidP="00A329D2">
            <w:pPr>
              <w:jc w:val="center"/>
            </w:pPr>
            <w:r w:rsidRPr="005D1F80">
              <w:rPr>
                <w:sz w:val="22"/>
                <w:szCs w:val="22"/>
              </w:rPr>
              <w:t>2</w:t>
            </w:r>
          </w:p>
        </w:tc>
        <w:tc>
          <w:tcPr>
            <w:tcW w:w="934" w:type="dxa"/>
            <w:vAlign w:val="center"/>
          </w:tcPr>
          <w:p w14:paraId="3205DD63" w14:textId="77777777" w:rsidR="00705A98" w:rsidRPr="005D1F80" w:rsidRDefault="00705A98" w:rsidP="00A329D2">
            <w:pPr>
              <w:jc w:val="center"/>
            </w:pPr>
            <w:r w:rsidRPr="005D1F80">
              <w:rPr>
                <w:sz w:val="22"/>
                <w:szCs w:val="22"/>
              </w:rPr>
              <w:t>80</w:t>
            </w:r>
          </w:p>
        </w:tc>
        <w:tc>
          <w:tcPr>
            <w:tcW w:w="992" w:type="dxa"/>
            <w:vAlign w:val="center"/>
          </w:tcPr>
          <w:p w14:paraId="260AF2F6" w14:textId="77777777" w:rsidR="00705A98" w:rsidRPr="005D1F80" w:rsidRDefault="00705A98" w:rsidP="00A329D2">
            <w:pPr>
              <w:jc w:val="center"/>
              <w:rPr>
                <w:bCs/>
              </w:rPr>
            </w:pPr>
            <w:r w:rsidRPr="005D1F80">
              <w:rPr>
                <w:bCs/>
                <w:sz w:val="22"/>
                <w:szCs w:val="22"/>
              </w:rPr>
              <w:t>194,4</w:t>
            </w:r>
          </w:p>
        </w:tc>
        <w:tc>
          <w:tcPr>
            <w:tcW w:w="850" w:type="dxa"/>
            <w:vAlign w:val="center"/>
          </w:tcPr>
          <w:p w14:paraId="0D179299" w14:textId="77777777" w:rsidR="00705A98" w:rsidRPr="005D1F80" w:rsidRDefault="00705A98" w:rsidP="00A329D2">
            <w:pPr>
              <w:jc w:val="center"/>
              <w:rPr>
                <w:bCs/>
              </w:rPr>
            </w:pPr>
            <w:r w:rsidRPr="005D1F80">
              <w:rPr>
                <w:bCs/>
                <w:sz w:val="22"/>
                <w:szCs w:val="22"/>
              </w:rPr>
              <w:t>4,7</w:t>
            </w:r>
          </w:p>
        </w:tc>
        <w:tc>
          <w:tcPr>
            <w:tcW w:w="1560" w:type="dxa"/>
            <w:vAlign w:val="center"/>
          </w:tcPr>
          <w:p w14:paraId="5C5FB925" w14:textId="77777777" w:rsidR="00705A98" w:rsidRPr="005D1F80" w:rsidRDefault="00705A98" w:rsidP="00A329D2">
            <w:pPr>
              <w:jc w:val="center"/>
              <w:rPr>
                <w:bCs/>
              </w:rPr>
            </w:pPr>
            <w:r w:rsidRPr="005D1F80">
              <w:rPr>
                <w:bCs/>
                <w:color w:val="000000" w:themeColor="text1"/>
                <w:sz w:val="22"/>
                <w:szCs w:val="22"/>
              </w:rPr>
              <w:t>20,0</w:t>
            </w:r>
          </w:p>
        </w:tc>
      </w:tr>
      <w:tr w:rsidR="005D1F80" w:rsidRPr="005D1F80" w14:paraId="7F173102" w14:textId="77777777" w:rsidTr="000775A9">
        <w:trPr>
          <w:trHeight w:val="251"/>
        </w:trPr>
        <w:tc>
          <w:tcPr>
            <w:tcW w:w="9698" w:type="dxa"/>
            <w:gridSpan w:val="11"/>
          </w:tcPr>
          <w:p w14:paraId="6522B218" w14:textId="77777777" w:rsidR="005D1F80" w:rsidRPr="005D1F80" w:rsidRDefault="005D1F80" w:rsidP="00A329D2">
            <w:pPr>
              <w:jc w:val="center"/>
              <w:rPr>
                <w:bCs/>
                <w:color w:val="000000" w:themeColor="text1"/>
              </w:rPr>
            </w:pPr>
            <w:r w:rsidRPr="005D1F80">
              <w:rPr>
                <w:b/>
                <w:sz w:val="22"/>
                <w:szCs w:val="22"/>
                <w:lang w:eastAsia="ru-RU"/>
              </w:rPr>
              <w:t>Areas of combined radiation-chemical contamination</w:t>
            </w:r>
          </w:p>
        </w:tc>
      </w:tr>
      <w:tr w:rsidR="00705A98" w:rsidRPr="005D1F80" w14:paraId="72D628ED" w14:textId="77777777" w:rsidTr="00A329D2">
        <w:trPr>
          <w:trHeight w:val="251"/>
        </w:trPr>
        <w:tc>
          <w:tcPr>
            <w:tcW w:w="1922" w:type="dxa"/>
          </w:tcPr>
          <w:p w14:paraId="37C02851" w14:textId="77777777" w:rsidR="00705A98" w:rsidRPr="005D1F80" w:rsidRDefault="00705A98" w:rsidP="00A329D2">
            <w:r w:rsidRPr="005D1F80">
              <w:rPr>
                <w:sz w:val="22"/>
                <w:szCs w:val="22"/>
              </w:rPr>
              <w:t>Starodubsky</w:t>
            </w:r>
          </w:p>
        </w:tc>
        <w:tc>
          <w:tcPr>
            <w:tcW w:w="947" w:type="dxa"/>
            <w:vAlign w:val="center"/>
          </w:tcPr>
          <w:p w14:paraId="61D77860" w14:textId="77777777" w:rsidR="00705A98" w:rsidRPr="005D1F80" w:rsidRDefault="00705A98" w:rsidP="00A329D2">
            <w:pPr>
              <w:jc w:val="center"/>
            </w:pPr>
            <w:r w:rsidRPr="005D1F80">
              <w:rPr>
                <w:sz w:val="22"/>
                <w:szCs w:val="22"/>
              </w:rPr>
              <w:t>392</w:t>
            </w:r>
          </w:p>
        </w:tc>
        <w:tc>
          <w:tcPr>
            <w:tcW w:w="825" w:type="dxa"/>
            <w:vAlign w:val="center"/>
          </w:tcPr>
          <w:p w14:paraId="2231E99F" w14:textId="77777777" w:rsidR="00705A98" w:rsidRPr="005D1F80" w:rsidRDefault="00705A98" w:rsidP="00A329D2">
            <w:pPr>
              <w:jc w:val="center"/>
            </w:pPr>
            <w:r w:rsidRPr="005D1F80">
              <w:rPr>
                <w:sz w:val="22"/>
                <w:szCs w:val="22"/>
              </w:rPr>
              <w:t>316</w:t>
            </w:r>
          </w:p>
        </w:tc>
        <w:tc>
          <w:tcPr>
            <w:tcW w:w="825" w:type="dxa"/>
            <w:gridSpan w:val="2"/>
            <w:vAlign w:val="center"/>
          </w:tcPr>
          <w:p w14:paraId="6FDC3E11" w14:textId="77777777" w:rsidR="00705A98" w:rsidRPr="005D1F80" w:rsidRDefault="00705A98" w:rsidP="00A329D2">
            <w:pPr>
              <w:jc w:val="center"/>
            </w:pPr>
            <w:r w:rsidRPr="005D1F80">
              <w:rPr>
                <w:sz w:val="22"/>
                <w:szCs w:val="22"/>
              </w:rPr>
              <w:t>24</w:t>
            </w:r>
          </w:p>
        </w:tc>
        <w:tc>
          <w:tcPr>
            <w:tcW w:w="843" w:type="dxa"/>
            <w:gridSpan w:val="2"/>
            <w:vAlign w:val="center"/>
          </w:tcPr>
          <w:p w14:paraId="6F46130D" w14:textId="77777777" w:rsidR="00705A98" w:rsidRPr="005D1F80" w:rsidRDefault="00705A98" w:rsidP="00A329D2">
            <w:pPr>
              <w:jc w:val="center"/>
            </w:pPr>
            <w:r w:rsidRPr="005D1F80">
              <w:rPr>
                <w:sz w:val="22"/>
                <w:szCs w:val="22"/>
              </w:rPr>
              <w:t>9</w:t>
            </w:r>
          </w:p>
        </w:tc>
        <w:tc>
          <w:tcPr>
            <w:tcW w:w="934" w:type="dxa"/>
            <w:vAlign w:val="center"/>
          </w:tcPr>
          <w:p w14:paraId="6E55C3BE" w14:textId="77777777" w:rsidR="00705A98" w:rsidRPr="005D1F80" w:rsidRDefault="00705A98" w:rsidP="00A329D2">
            <w:pPr>
              <w:jc w:val="center"/>
            </w:pPr>
            <w:r w:rsidRPr="005D1F80">
              <w:rPr>
                <w:sz w:val="22"/>
                <w:szCs w:val="22"/>
              </w:rPr>
              <w:t>43</w:t>
            </w:r>
          </w:p>
        </w:tc>
        <w:tc>
          <w:tcPr>
            <w:tcW w:w="992" w:type="dxa"/>
            <w:vAlign w:val="center"/>
          </w:tcPr>
          <w:p w14:paraId="6B43511F" w14:textId="77777777" w:rsidR="00705A98" w:rsidRPr="005D1F80" w:rsidRDefault="00705A98" w:rsidP="00A329D2">
            <w:pPr>
              <w:jc w:val="center"/>
              <w:rPr>
                <w:bCs/>
              </w:rPr>
            </w:pPr>
            <w:r w:rsidRPr="005D1F80">
              <w:rPr>
                <w:bCs/>
                <w:sz w:val="22"/>
                <w:szCs w:val="22"/>
              </w:rPr>
              <w:t>45,4</w:t>
            </w:r>
          </w:p>
        </w:tc>
        <w:tc>
          <w:tcPr>
            <w:tcW w:w="850" w:type="dxa"/>
            <w:vAlign w:val="center"/>
          </w:tcPr>
          <w:p w14:paraId="108C1145" w14:textId="77777777" w:rsidR="00705A98" w:rsidRPr="005D1F80" w:rsidRDefault="00705A98" w:rsidP="00A329D2">
            <w:pPr>
              <w:jc w:val="center"/>
              <w:rPr>
                <w:bCs/>
              </w:rPr>
            </w:pPr>
            <w:r w:rsidRPr="005D1F80">
              <w:rPr>
                <w:bCs/>
                <w:sz w:val="22"/>
                <w:szCs w:val="22"/>
              </w:rPr>
              <w:t>1,4</w:t>
            </w:r>
          </w:p>
        </w:tc>
        <w:tc>
          <w:tcPr>
            <w:tcW w:w="1560" w:type="dxa"/>
            <w:vAlign w:val="center"/>
          </w:tcPr>
          <w:p w14:paraId="687F330B" w14:textId="77777777" w:rsidR="00705A98" w:rsidRPr="005D1F80" w:rsidRDefault="00705A98" w:rsidP="00A329D2">
            <w:pPr>
              <w:jc w:val="center"/>
              <w:rPr>
                <w:bCs/>
              </w:rPr>
            </w:pPr>
            <w:r w:rsidRPr="005D1F80">
              <w:rPr>
                <w:bCs/>
                <w:color w:val="000000" w:themeColor="text1"/>
                <w:sz w:val="22"/>
                <w:szCs w:val="22"/>
              </w:rPr>
              <w:t>20,9</w:t>
            </w:r>
          </w:p>
        </w:tc>
      </w:tr>
      <w:tr w:rsidR="00705A98" w:rsidRPr="005D1F80" w14:paraId="6C995233" w14:textId="77777777" w:rsidTr="00A329D2">
        <w:trPr>
          <w:trHeight w:val="141"/>
        </w:trPr>
        <w:tc>
          <w:tcPr>
            <w:tcW w:w="1922" w:type="dxa"/>
          </w:tcPr>
          <w:p w14:paraId="1CECF693" w14:textId="77777777" w:rsidR="00705A98" w:rsidRPr="005D1F80" w:rsidRDefault="00705A98" w:rsidP="00A329D2">
            <w:pPr>
              <w:rPr>
                <w:vertAlign w:val="superscript"/>
              </w:rPr>
            </w:pPr>
            <w:r w:rsidRPr="005D1F80">
              <w:rPr>
                <w:sz w:val="22"/>
                <w:szCs w:val="22"/>
              </w:rPr>
              <w:t>City Klintsy</w:t>
            </w:r>
          </w:p>
        </w:tc>
        <w:tc>
          <w:tcPr>
            <w:tcW w:w="947" w:type="dxa"/>
            <w:vAlign w:val="center"/>
          </w:tcPr>
          <w:p w14:paraId="49BC1D39" w14:textId="77777777" w:rsidR="00705A98" w:rsidRPr="005D1F80" w:rsidRDefault="00705A98" w:rsidP="00A329D2">
            <w:pPr>
              <w:jc w:val="center"/>
            </w:pPr>
            <w:r w:rsidRPr="005D1F80">
              <w:rPr>
                <w:sz w:val="22"/>
                <w:szCs w:val="22"/>
              </w:rPr>
              <w:t>7264</w:t>
            </w:r>
          </w:p>
        </w:tc>
        <w:tc>
          <w:tcPr>
            <w:tcW w:w="825" w:type="dxa"/>
            <w:vAlign w:val="center"/>
          </w:tcPr>
          <w:p w14:paraId="50B9F9E9" w14:textId="77777777" w:rsidR="00705A98" w:rsidRPr="005D1F80" w:rsidRDefault="00705A98" w:rsidP="00A329D2">
            <w:pPr>
              <w:jc w:val="center"/>
            </w:pPr>
            <w:r w:rsidRPr="005D1F80">
              <w:rPr>
                <w:sz w:val="22"/>
                <w:szCs w:val="22"/>
              </w:rPr>
              <w:t>2059</w:t>
            </w:r>
          </w:p>
        </w:tc>
        <w:tc>
          <w:tcPr>
            <w:tcW w:w="825" w:type="dxa"/>
            <w:gridSpan w:val="2"/>
            <w:vAlign w:val="center"/>
          </w:tcPr>
          <w:p w14:paraId="09B53032" w14:textId="77777777" w:rsidR="00705A98" w:rsidRPr="005D1F80" w:rsidRDefault="00705A98" w:rsidP="00A329D2">
            <w:pPr>
              <w:jc w:val="center"/>
            </w:pPr>
            <w:r w:rsidRPr="005D1F80">
              <w:rPr>
                <w:sz w:val="22"/>
                <w:szCs w:val="22"/>
              </w:rPr>
              <w:t>2616</w:t>
            </w:r>
          </w:p>
        </w:tc>
        <w:tc>
          <w:tcPr>
            <w:tcW w:w="843" w:type="dxa"/>
            <w:gridSpan w:val="2"/>
            <w:vAlign w:val="center"/>
          </w:tcPr>
          <w:p w14:paraId="0706ABC2" w14:textId="77777777" w:rsidR="00705A98" w:rsidRPr="005D1F80" w:rsidRDefault="00705A98" w:rsidP="00A329D2">
            <w:pPr>
              <w:jc w:val="center"/>
            </w:pPr>
            <w:r w:rsidRPr="005D1F80">
              <w:rPr>
                <w:sz w:val="22"/>
                <w:szCs w:val="22"/>
              </w:rPr>
              <w:t>139</w:t>
            </w:r>
          </w:p>
        </w:tc>
        <w:tc>
          <w:tcPr>
            <w:tcW w:w="934" w:type="dxa"/>
            <w:vAlign w:val="center"/>
          </w:tcPr>
          <w:p w14:paraId="25F7F0CB" w14:textId="77777777" w:rsidR="00705A98" w:rsidRPr="005D1F80" w:rsidRDefault="00705A98" w:rsidP="00A329D2">
            <w:pPr>
              <w:jc w:val="center"/>
            </w:pPr>
            <w:r w:rsidRPr="005D1F80">
              <w:rPr>
                <w:sz w:val="22"/>
                <w:szCs w:val="22"/>
              </w:rPr>
              <w:t>2450</w:t>
            </w:r>
          </w:p>
        </w:tc>
        <w:tc>
          <w:tcPr>
            <w:tcW w:w="992" w:type="dxa"/>
            <w:vAlign w:val="center"/>
          </w:tcPr>
          <w:p w14:paraId="33DD61E1" w14:textId="77777777" w:rsidR="00705A98" w:rsidRPr="005D1F80" w:rsidRDefault="00705A98" w:rsidP="00A329D2">
            <w:pPr>
              <w:jc w:val="center"/>
              <w:rPr>
                <w:bCs/>
              </w:rPr>
            </w:pPr>
            <w:r w:rsidRPr="005D1F80">
              <w:rPr>
                <w:bCs/>
                <w:sz w:val="22"/>
                <w:szCs w:val="22"/>
              </w:rPr>
              <w:t>195,6</w:t>
            </w:r>
          </w:p>
        </w:tc>
        <w:tc>
          <w:tcPr>
            <w:tcW w:w="850" w:type="dxa"/>
            <w:vAlign w:val="center"/>
          </w:tcPr>
          <w:p w14:paraId="4F00CF2D" w14:textId="77777777" w:rsidR="00705A98" w:rsidRPr="005D1F80" w:rsidRDefault="00705A98" w:rsidP="00A329D2">
            <w:pPr>
              <w:jc w:val="center"/>
              <w:rPr>
                <w:bCs/>
              </w:rPr>
            </w:pPr>
            <w:r w:rsidRPr="005D1F80">
              <w:rPr>
                <w:bCs/>
                <w:sz w:val="22"/>
                <w:szCs w:val="22"/>
              </w:rPr>
              <w:t>3,0</w:t>
            </w:r>
          </w:p>
        </w:tc>
        <w:tc>
          <w:tcPr>
            <w:tcW w:w="1560" w:type="dxa"/>
            <w:vAlign w:val="center"/>
          </w:tcPr>
          <w:p w14:paraId="6D18D467" w14:textId="77777777" w:rsidR="00705A98" w:rsidRPr="005D1F80" w:rsidRDefault="00705A98" w:rsidP="00A329D2">
            <w:pPr>
              <w:jc w:val="center"/>
              <w:rPr>
                <w:bCs/>
              </w:rPr>
            </w:pPr>
            <w:r w:rsidRPr="005D1F80">
              <w:rPr>
                <w:bCs/>
                <w:color w:val="000000" w:themeColor="text1"/>
                <w:sz w:val="22"/>
                <w:szCs w:val="22"/>
              </w:rPr>
              <w:t>17,4</w:t>
            </w:r>
          </w:p>
        </w:tc>
      </w:tr>
      <w:tr w:rsidR="00705A98" w:rsidRPr="005D1F80" w14:paraId="53CB95DD" w14:textId="77777777" w:rsidTr="00A329D2">
        <w:trPr>
          <w:trHeight w:val="141"/>
        </w:trPr>
        <w:tc>
          <w:tcPr>
            <w:tcW w:w="1922" w:type="dxa"/>
          </w:tcPr>
          <w:p w14:paraId="50F36630" w14:textId="77777777" w:rsidR="00705A98" w:rsidRPr="005D1F80" w:rsidRDefault="00705A98" w:rsidP="00A329D2">
            <w:r w:rsidRPr="005D1F80">
              <w:rPr>
                <w:sz w:val="22"/>
                <w:szCs w:val="22"/>
              </w:rPr>
              <w:t>SityNovozybkov</w:t>
            </w:r>
          </w:p>
        </w:tc>
        <w:tc>
          <w:tcPr>
            <w:tcW w:w="947" w:type="dxa"/>
            <w:vAlign w:val="center"/>
          </w:tcPr>
          <w:p w14:paraId="24A41C6D" w14:textId="77777777" w:rsidR="00705A98" w:rsidRPr="005D1F80" w:rsidRDefault="00705A98" w:rsidP="00A329D2">
            <w:pPr>
              <w:jc w:val="center"/>
            </w:pPr>
            <w:r w:rsidRPr="005D1F80">
              <w:rPr>
                <w:sz w:val="22"/>
                <w:szCs w:val="22"/>
              </w:rPr>
              <w:t>7422</w:t>
            </w:r>
          </w:p>
        </w:tc>
        <w:tc>
          <w:tcPr>
            <w:tcW w:w="825" w:type="dxa"/>
            <w:vAlign w:val="center"/>
          </w:tcPr>
          <w:p w14:paraId="46E34508" w14:textId="77777777" w:rsidR="00705A98" w:rsidRPr="005D1F80" w:rsidRDefault="00705A98" w:rsidP="00A329D2">
            <w:pPr>
              <w:jc w:val="center"/>
            </w:pPr>
            <w:r w:rsidRPr="005D1F80">
              <w:rPr>
                <w:sz w:val="22"/>
                <w:szCs w:val="22"/>
              </w:rPr>
              <w:t>1778</w:t>
            </w:r>
          </w:p>
        </w:tc>
        <w:tc>
          <w:tcPr>
            <w:tcW w:w="825" w:type="dxa"/>
            <w:gridSpan w:val="2"/>
            <w:vAlign w:val="center"/>
          </w:tcPr>
          <w:p w14:paraId="17DC3008" w14:textId="77777777" w:rsidR="00705A98" w:rsidRPr="005D1F80" w:rsidRDefault="00705A98" w:rsidP="00A329D2">
            <w:pPr>
              <w:jc w:val="center"/>
            </w:pPr>
            <w:r w:rsidRPr="005D1F80">
              <w:rPr>
                <w:sz w:val="22"/>
                <w:szCs w:val="22"/>
              </w:rPr>
              <w:t>2159</w:t>
            </w:r>
          </w:p>
        </w:tc>
        <w:tc>
          <w:tcPr>
            <w:tcW w:w="843" w:type="dxa"/>
            <w:gridSpan w:val="2"/>
            <w:vAlign w:val="center"/>
          </w:tcPr>
          <w:p w14:paraId="752B5A80" w14:textId="77777777" w:rsidR="00705A98" w:rsidRPr="005D1F80" w:rsidRDefault="00705A98" w:rsidP="00A329D2">
            <w:pPr>
              <w:jc w:val="center"/>
            </w:pPr>
            <w:r w:rsidRPr="005D1F80">
              <w:rPr>
                <w:sz w:val="22"/>
                <w:szCs w:val="22"/>
              </w:rPr>
              <w:t>406</w:t>
            </w:r>
          </w:p>
        </w:tc>
        <w:tc>
          <w:tcPr>
            <w:tcW w:w="934" w:type="dxa"/>
            <w:vAlign w:val="center"/>
          </w:tcPr>
          <w:p w14:paraId="1B3BD82A" w14:textId="77777777" w:rsidR="00705A98" w:rsidRPr="005D1F80" w:rsidRDefault="00705A98" w:rsidP="00A329D2">
            <w:pPr>
              <w:jc w:val="center"/>
            </w:pPr>
            <w:r w:rsidRPr="005D1F80">
              <w:rPr>
                <w:sz w:val="22"/>
                <w:szCs w:val="22"/>
              </w:rPr>
              <w:t>3079</w:t>
            </w:r>
          </w:p>
        </w:tc>
        <w:tc>
          <w:tcPr>
            <w:tcW w:w="992" w:type="dxa"/>
            <w:vAlign w:val="center"/>
          </w:tcPr>
          <w:p w14:paraId="61E079E1" w14:textId="77777777" w:rsidR="00705A98" w:rsidRPr="005D1F80" w:rsidRDefault="00705A98" w:rsidP="00A329D2">
            <w:pPr>
              <w:jc w:val="center"/>
              <w:rPr>
                <w:bCs/>
              </w:rPr>
            </w:pPr>
            <w:r w:rsidRPr="005D1F80">
              <w:rPr>
                <w:bCs/>
                <w:sz w:val="22"/>
                <w:szCs w:val="22"/>
              </w:rPr>
              <w:t>456,5</w:t>
            </w:r>
          </w:p>
        </w:tc>
        <w:tc>
          <w:tcPr>
            <w:tcW w:w="850" w:type="dxa"/>
            <w:vAlign w:val="center"/>
          </w:tcPr>
          <w:p w14:paraId="7BB09689" w14:textId="77777777" w:rsidR="00705A98" w:rsidRPr="005D1F80" w:rsidRDefault="00705A98" w:rsidP="00A329D2">
            <w:pPr>
              <w:jc w:val="center"/>
              <w:rPr>
                <w:bCs/>
              </w:rPr>
            </w:pPr>
            <w:r w:rsidRPr="005D1F80">
              <w:rPr>
                <w:bCs/>
                <w:sz w:val="22"/>
                <w:szCs w:val="22"/>
              </w:rPr>
              <w:t>9,7</w:t>
            </w:r>
          </w:p>
        </w:tc>
        <w:tc>
          <w:tcPr>
            <w:tcW w:w="1560" w:type="dxa"/>
            <w:vAlign w:val="center"/>
          </w:tcPr>
          <w:p w14:paraId="408BF1E4" w14:textId="77777777" w:rsidR="00705A98" w:rsidRPr="005D1F80" w:rsidRDefault="00705A98" w:rsidP="00A329D2">
            <w:pPr>
              <w:jc w:val="center"/>
              <w:rPr>
                <w:bCs/>
              </w:rPr>
            </w:pPr>
            <w:r w:rsidRPr="005D1F80">
              <w:rPr>
                <w:bCs/>
                <w:color w:val="000000" w:themeColor="text1"/>
                <w:sz w:val="22"/>
                <w:szCs w:val="22"/>
              </w:rPr>
              <w:t>24,0</w:t>
            </w:r>
          </w:p>
        </w:tc>
      </w:tr>
      <w:tr w:rsidR="00705A98" w:rsidRPr="005D1F80" w14:paraId="10315504" w14:textId="77777777" w:rsidTr="00A329D2">
        <w:trPr>
          <w:trHeight w:val="141"/>
        </w:trPr>
        <w:tc>
          <w:tcPr>
            <w:tcW w:w="9698" w:type="dxa"/>
            <w:gridSpan w:val="11"/>
          </w:tcPr>
          <w:p w14:paraId="4441178D" w14:textId="77777777" w:rsidR="00705A98" w:rsidRPr="005D1F80" w:rsidRDefault="00705A98" w:rsidP="00A329D2">
            <w:pPr>
              <w:jc w:val="center"/>
              <w:rPr>
                <w:bCs/>
              </w:rPr>
            </w:pPr>
            <w:r w:rsidRPr="005D1F80">
              <w:rPr>
                <w:rStyle w:val="jlqj4b"/>
                <w:sz w:val="22"/>
                <w:szCs w:val="22"/>
              </w:rPr>
              <w:t xml:space="preserve">Correlation coefficients </w:t>
            </w:r>
            <w:r w:rsidRPr="005D1F80">
              <w:rPr>
                <w:rStyle w:val="jlqj4b"/>
                <w:i/>
                <w:sz w:val="22"/>
                <w:szCs w:val="22"/>
              </w:rPr>
              <w:t>(ρ)</w:t>
            </w:r>
            <w:r w:rsidRPr="005D1F80">
              <w:rPr>
                <w:rStyle w:val="jlqj4b"/>
                <w:sz w:val="22"/>
                <w:szCs w:val="22"/>
              </w:rPr>
              <w:t xml:space="preserve"> and levels of their statistical significance </w:t>
            </w:r>
            <w:r w:rsidRPr="005D1F80">
              <w:rPr>
                <w:rStyle w:val="jlqj4b"/>
                <w:i/>
                <w:sz w:val="22"/>
                <w:szCs w:val="22"/>
              </w:rPr>
              <w:t>(p)</w:t>
            </w:r>
          </w:p>
        </w:tc>
      </w:tr>
      <w:tr w:rsidR="00705A98" w:rsidRPr="005D1F80" w14:paraId="1336507C" w14:textId="77777777" w:rsidTr="00A329D2">
        <w:trPr>
          <w:trHeight w:val="983"/>
        </w:trPr>
        <w:tc>
          <w:tcPr>
            <w:tcW w:w="1922" w:type="dxa"/>
            <w:vAlign w:val="center"/>
          </w:tcPr>
          <w:p w14:paraId="4F97374B" w14:textId="77777777" w:rsidR="00705A98" w:rsidRPr="005D1F80" w:rsidRDefault="00705A98" w:rsidP="00A329D2">
            <w:pPr>
              <w:spacing w:line="300" w:lineRule="exact"/>
              <w:jc w:val="center"/>
              <w:rPr>
                <w:bCs/>
                <w:iCs/>
              </w:rPr>
            </w:pPr>
            <w:r w:rsidRPr="005D1F80">
              <w:rPr>
                <w:bCs/>
                <w:iCs/>
                <w:sz w:val="22"/>
                <w:szCs w:val="22"/>
              </w:rPr>
              <w:t>-</w:t>
            </w:r>
          </w:p>
        </w:tc>
        <w:tc>
          <w:tcPr>
            <w:tcW w:w="947" w:type="dxa"/>
            <w:vAlign w:val="center"/>
          </w:tcPr>
          <w:p w14:paraId="773124F7" w14:textId="77777777" w:rsidR="00705A98" w:rsidRPr="00F662A8" w:rsidRDefault="00705A98" w:rsidP="00A329D2">
            <w:pPr>
              <w:spacing w:line="300" w:lineRule="exact"/>
              <w:jc w:val="center"/>
              <w:rPr>
                <w:b/>
                <w:bCs/>
                <w:sz w:val="21"/>
                <w:szCs w:val="21"/>
              </w:rPr>
            </w:pPr>
            <w:r w:rsidRPr="00F662A8">
              <w:rPr>
                <w:b/>
                <w:iCs/>
                <w:sz w:val="21"/>
                <w:szCs w:val="21"/>
              </w:rPr>
              <w:t>ρ</w:t>
            </w:r>
            <w:r w:rsidRPr="00F662A8">
              <w:rPr>
                <w:b/>
                <w:bCs/>
                <w:sz w:val="21"/>
                <w:szCs w:val="21"/>
              </w:rPr>
              <w:t>=0.17</w:t>
            </w:r>
          </w:p>
          <w:p w14:paraId="33640713" w14:textId="77777777" w:rsidR="00705A98" w:rsidRPr="00F662A8" w:rsidRDefault="00705A98" w:rsidP="00A329D2">
            <w:pPr>
              <w:spacing w:line="300" w:lineRule="exact"/>
              <w:jc w:val="center"/>
              <w:rPr>
                <w:b/>
                <w:bCs/>
                <w:sz w:val="21"/>
                <w:szCs w:val="21"/>
              </w:rPr>
            </w:pPr>
            <w:r w:rsidRPr="00F662A8">
              <w:rPr>
                <w:b/>
                <w:bCs/>
                <w:sz w:val="21"/>
                <w:szCs w:val="21"/>
              </w:rPr>
              <w:t>р=0.37</w:t>
            </w:r>
          </w:p>
        </w:tc>
        <w:tc>
          <w:tcPr>
            <w:tcW w:w="825" w:type="dxa"/>
            <w:vAlign w:val="center"/>
          </w:tcPr>
          <w:p w14:paraId="1F703ABF" w14:textId="77777777" w:rsidR="00705A98" w:rsidRPr="00F662A8" w:rsidRDefault="00705A98" w:rsidP="00A329D2">
            <w:pPr>
              <w:spacing w:line="300" w:lineRule="exact"/>
              <w:jc w:val="center"/>
              <w:rPr>
                <w:b/>
                <w:bCs/>
                <w:sz w:val="21"/>
                <w:szCs w:val="21"/>
              </w:rPr>
            </w:pPr>
            <w:r w:rsidRPr="00F662A8">
              <w:rPr>
                <w:b/>
                <w:iCs/>
                <w:sz w:val="21"/>
                <w:szCs w:val="21"/>
              </w:rPr>
              <w:t>ρ</w:t>
            </w:r>
            <w:r w:rsidRPr="00F662A8">
              <w:rPr>
                <w:b/>
                <w:bCs/>
                <w:sz w:val="21"/>
                <w:szCs w:val="21"/>
              </w:rPr>
              <w:t>=0,19</w:t>
            </w:r>
          </w:p>
          <w:p w14:paraId="2F8A78DF" w14:textId="77777777" w:rsidR="00705A98" w:rsidRPr="00F662A8" w:rsidRDefault="00705A98" w:rsidP="00A329D2">
            <w:pPr>
              <w:spacing w:line="300" w:lineRule="exact"/>
              <w:jc w:val="center"/>
              <w:rPr>
                <w:b/>
                <w:bCs/>
                <w:sz w:val="21"/>
                <w:szCs w:val="21"/>
              </w:rPr>
            </w:pPr>
            <w:r w:rsidRPr="00F662A8">
              <w:rPr>
                <w:b/>
                <w:bCs/>
                <w:sz w:val="21"/>
                <w:szCs w:val="21"/>
              </w:rPr>
              <w:t>р=0,32</w:t>
            </w:r>
          </w:p>
        </w:tc>
        <w:tc>
          <w:tcPr>
            <w:tcW w:w="825" w:type="dxa"/>
            <w:gridSpan w:val="2"/>
            <w:vAlign w:val="center"/>
          </w:tcPr>
          <w:p w14:paraId="6E4BC16D" w14:textId="77777777" w:rsidR="00705A98" w:rsidRPr="00F662A8" w:rsidRDefault="00705A98" w:rsidP="00A329D2">
            <w:pPr>
              <w:spacing w:line="300" w:lineRule="exact"/>
              <w:jc w:val="center"/>
              <w:rPr>
                <w:b/>
                <w:bCs/>
                <w:sz w:val="21"/>
                <w:szCs w:val="21"/>
              </w:rPr>
            </w:pPr>
            <w:r w:rsidRPr="00F662A8">
              <w:rPr>
                <w:b/>
                <w:iCs/>
                <w:sz w:val="21"/>
                <w:szCs w:val="21"/>
              </w:rPr>
              <w:t>ρ</w:t>
            </w:r>
            <w:r w:rsidRPr="00F662A8">
              <w:rPr>
                <w:b/>
                <w:bCs/>
                <w:sz w:val="21"/>
                <w:szCs w:val="21"/>
              </w:rPr>
              <w:t>=0.22</w:t>
            </w:r>
          </w:p>
          <w:p w14:paraId="6B485833" w14:textId="77777777" w:rsidR="00705A98" w:rsidRPr="00F662A8" w:rsidRDefault="00705A98" w:rsidP="00A329D2">
            <w:pPr>
              <w:spacing w:line="300" w:lineRule="exact"/>
              <w:jc w:val="center"/>
              <w:rPr>
                <w:b/>
                <w:bCs/>
                <w:sz w:val="21"/>
                <w:szCs w:val="21"/>
              </w:rPr>
            </w:pPr>
            <w:r w:rsidRPr="00F662A8">
              <w:rPr>
                <w:b/>
                <w:bCs/>
                <w:sz w:val="21"/>
                <w:szCs w:val="21"/>
              </w:rPr>
              <w:t>р=0.23</w:t>
            </w:r>
          </w:p>
        </w:tc>
        <w:tc>
          <w:tcPr>
            <w:tcW w:w="843" w:type="dxa"/>
            <w:gridSpan w:val="2"/>
            <w:vAlign w:val="center"/>
          </w:tcPr>
          <w:p w14:paraId="516C820E" w14:textId="77777777" w:rsidR="00705A98" w:rsidRPr="00F662A8" w:rsidRDefault="00705A98" w:rsidP="00A329D2">
            <w:pPr>
              <w:spacing w:line="300" w:lineRule="exact"/>
              <w:jc w:val="center"/>
              <w:rPr>
                <w:b/>
                <w:bCs/>
                <w:sz w:val="21"/>
                <w:szCs w:val="21"/>
              </w:rPr>
            </w:pPr>
            <w:r w:rsidRPr="00F662A8">
              <w:rPr>
                <w:b/>
                <w:iCs/>
                <w:sz w:val="21"/>
                <w:szCs w:val="21"/>
              </w:rPr>
              <w:t>ρ</w:t>
            </w:r>
            <w:r w:rsidRPr="00F662A8">
              <w:rPr>
                <w:b/>
                <w:bCs/>
                <w:sz w:val="21"/>
                <w:szCs w:val="21"/>
              </w:rPr>
              <w:t>=0.27</w:t>
            </w:r>
          </w:p>
          <w:p w14:paraId="4AC631B8" w14:textId="77777777" w:rsidR="00705A98" w:rsidRPr="00F662A8" w:rsidRDefault="00705A98" w:rsidP="00A329D2">
            <w:pPr>
              <w:spacing w:line="300" w:lineRule="exact"/>
              <w:jc w:val="center"/>
              <w:rPr>
                <w:b/>
                <w:bCs/>
                <w:sz w:val="21"/>
                <w:szCs w:val="21"/>
              </w:rPr>
            </w:pPr>
            <w:r w:rsidRPr="00F662A8">
              <w:rPr>
                <w:b/>
                <w:bCs/>
                <w:sz w:val="21"/>
                <w:szCs w:val="21"/>
              </w:rPr>
              <w:t>р=0.14</w:t>
            </w:r>
          </w:p>
        </w:tc>
        <w:tc>
          <w:tcPr>
            <w:tcW w:w="934" w:type="dxa"/>
            <w:vAlign w:val="center"/>
          </w:tcPr>
          <w:p w14:paraId="306E497E" w14:textId="77777777" w:rsidR="00705A98" w:rsidRPr="00F662A8" w:rsidRDefault="00705A98" w:rsidP="00A329D2">
            <w:pPr>
              <w:spacing w:line="300" w:lineRule="exact"/>
              <w:jc w:val="center"/>
              <w:rPr>
                <w:b/>
                <w:bCs/>
                <w:sz w:val="21"/>
                <w:szCs w:val="21"/>
              </w:rPr>
            </w:pPr>
            <w:r w:rsidRPr="00F662A8">
              <w:rPr>
                <w:b/>
                <w:iCs/>
                <w:sz w:val="21"/>
                <w:szCs w:val="21"/>
              </w:rPr>
              <w:t>ρ</w:t>
            </w:r>
            <w:r w:rsidRPr="00F662A8">
              <w:rPr>
                <w:b/>
                <w:bCs/>
                <w:sz w:val="21"/>
                <w:szCs w:val="21"/>
              </w:rPr>
              <w:t>=0.09</w:t>
            </w:r>
          </w:p>
          <w:p w14:paraId="120644F6" w14:textId="77777777" w:rsidR="00705A98" w:rsidRPr="00F662A8" w:rsidRDefault="00705A98" w:rsidP="00A329D2">
            <w:pPr>
              <w:spacing w:line="300" w:lineRule="exact"/>
              <w:jc w:val="center"/>
              <w:rPr>
                <w:b/>
                <w:bCs/>
                <w:sz w:val="21"/>
                <w:szCs w:val="21"/>
              </w:rPr>
            </w:pPr>
            <w:r w:rsidRPr="00F662A8">
              <w:rPr>
                <w:b/>
                <w:bCs/>
                <w:sz w:val="21"/>
                <w:szCs w:val="21"/>
              </w:rPr>
              <w:t>р=0.61</w:t>
            </w:r>
          </w:p>
        </w:tc>
        <w:tc>
          <w:tcPr>
            <w:tcW w:w="992" w:type="dxa"/>
            <w:vAlign w:val="center"/>
          </w:tcPr>
          <w:p w14:paraId="15905136" w14:textId="77777777" w:rsidR="00705A98" w:rsidRPr="00F662A8" w:rsidRDefault="00705A98" w:rsidP="00A329D2">
            <w:pPr>
              <w:spacing w:line="300" w:lineRule="exact"/>
              <w:jc w:val="center"/>
              <w:rPr>
                <w:b/>
                <w:bCs/>
                <w:sz w:val="21"/>
                <w:szCs w:val="21"/>
              </w:rPr>
            </w:pPr>
            <w:r w:rsidRPr="00F662A8">
              <w:rPr>
                <w:b/>
                <w:iCs/>
                <w:sz w:val="21"/>
                <w:szCs w:val="21"/>
              </w:rPr>
              <w:t>ρ</w:t>
            </w:r>
            <w:r w:rsidRPr="00F662A8">
              <w:rPr>
                <w:b/>
                <w:bCs/>
                <w:sz w:val="21"/>
                <w:szCs w:val="21"/>
              </w:rPr>
              <w:t>=-0.19</w:t>
            </w:r>
          </w:p>
          <w:p w14:paraId="5C882ECD" w14:textId="77777777" w:rsidR="00705A98" w:rsidRPr="00F662A8" w:rsidRDefault="00705A98" w:rsidP="00A329D2">
            <w:pPr>
              <w:spacing w:line="300" w:lineRule="exact"/>
              <w:jc w:val="center"/>
              <w:rPr>
                <w:b/>
                <w:bCs/>
                <w:sz w:val="21"/>
                <w:szCs w:val="21"/>
              </w:rPr>
            </w:pPr>
            <w:r w:rsidRPr="00F662A8">
              <w:rPr>
                <w:b/>
                <w:bCs/>
                <w:sz w:val="21"/>
                <w:szCs w:val="21"/>
              </w:rPr>
              <w:t>р=0.31</w:t>
            </w:r>
          </w:p>
        </w:tc>
        <w:tc>
          <w:tcPr>
            <w:tcW w:w="850" w:type="dxa"/>
            <w:vAlign w:val="center"/>
          </w:tcPr>
          <w:p w14:paraId="6F78526D" w14:textId="77777777" w:rsidR="00705A98" w:rsidRPr="00F662A8" w:rsidRDefault="00705A98" w:rsidP="00A329D2">
            <w:pPr>
              <w:spacing w:line="300" w:lineRule="exact"/>
              <w:jc w:val="center"/>
              <w:rPr>
                <w:b/>
                <w:bCs/>
                <w:sz w:val="21"/>
                <w:szCs w:val="21"/>
              </w:rPr>
            </w:pPr>
            <w:r w:rsidRPr="00F662A8">
              <w:rPr>
                <w:b/>
                <w:iCs/>
                <w:sz w:val="21"/>
                <w:szCs w:val="21"/>
              </w:rPr>
              <w:t>ρ</w:t>
            </w:r>
            <w:r w:rsidRPr="00F662A8">
              <w:rPr>
                <w:b/>
                <w:bCs/>
                <w:sz w:val="21"/>
                <w:szCs w:val="21"/>
              </w:rPr>
              <w:t>=0.02</w:t>
            </w:r>
          </w:p>
          <w:p w14:paraId="75FF0546" w14:textId="77777777" w:rsidR="00705A98" w:rsidRPr="00F662A8" w:rsidRDefault="00705A98" w:rsidP="00A329D2">
            <w:pPr>
              <w:spacing w:line="300" w:lineRule="exact"/>
              <w:jc w:val="center"/>
              <w:rPr>
                <w:b/>
                <w:bCs/>
                <w:sz w:val="21"/>
                <w:szCs w:val="21"/>
              </w:rPr>
            </w:pPr>
            <w:r w:rsidRPr="00F662A8">
              <w:rPr>
                <w:b/>
                <w:bCs/>
                <w:sz w:val="21"/>
                <w:szCs w:val="21"/>
              </w:rPr>
              <w:t>р=0.92</w:t>
            </w:r>
          </w:p>
        </w:tc>
        <w:tc>
          <w:tcPr>
            <w:tcW w:w="1560" w:type="dxa"/>
            <w:vAlign w:val="center"/>
          </w:tcPr>
          <w:p w14:paraId="537A3B00" w14:textId="77777777" w:rsidR="00705A98" w:rsidRPr="005D1F80" w:rsidRDefault="00705A98" w:rsidP="00A329D2">
            <w:pPr>
              <w:jc w:val="center"/>
              <w:rPr>
                <w:bCs/>
              </w:rPr>
            </w:pPr>
            <w:r w:rsidRPr="005D1F80">
              <w:rPr>
                <w:bCs/>
                <w:sz w:val="22"/>
                <w:szCs w:val="22"/>
              </w:rPr>
              <w:t>-</w:t>
            </w:r>
          </w:p>
        </w:tc>
      </w:tr>
    </w:tbl>
    <w:p w14:paraId="25BA6497" w14:textId="05AD44BE" w:rsidR="00182507" w:rsidRDefault="00182507" w:rsidP="00182507">
      <w:pPr>
        <w:spacing w:line="320" w:lineRule="exact"/>
        <w:ind w:firstLine="709"/>
        <w:jc w:val="both"/>
      </w:pPr>
    </w:p>
    <w:p w14:paraId="6332EBE3" w14:textId="625F248A" w:rsidR="0081367A" w:rsidRDefault="0081367A" w:rsidP="00182507">
      <w:pPr>
        <w:spacing w:line="320" w:lineRule="exact"/>
        <w:ind w:firstLine="709"/>
        <w:jc w:val="both"/>
      </w:pPr>
    </w:p>
    <w:p w14:paraId="46C2A246" w14:textId="77777777" w:rsidR="0081367A" w:rsidRPr="00B14F08" w:rsidRDefault="0081367A" w:rsidP="0081367A">
      <w:pPr>
        <w:spacing w:line="320" w:lineRule="exact"/>
        <w:ind w:firstLine="709"/>
        <w:jc w:val="both"/>
      </w:pPr>
      <w:r w:rsidRPr="00B14F08">
        <w:lastRenderedPageBreak/>
        <w:t>Besides the increase in predicted values ​​in comparison with real data is uneven. Thus, the greatest increase in newly diagnosed malignant neoplasms of the ovaries is recorded in areas of radioactive contamination – by 79.6% (28.2 forecast for 2020, 15.7 real values ​​for 2020), and a less pronounced increase was found in ecologically safe areas – by 18,8% (forecast 25.3, real result 21.3), in areas of chemical pollution – by 11.9% (30.2 versus 27.0), and combined contamination – by 6.9% (19.9 versus 18</w:t>
      </w:r>
      <w:r>
        <w:t>.</w:t>
      </w:r>
      <w:r w:rsidRPr="00B14F08">
        <w:t>6) – Figure 1.</w:t>
      </w:r>
    </w:p>
    <w:p w14:paraId="7709AE2D" w14:textId="77777777" w:rsidR="0081367A" w:rsidRDefault="0081367A" w:rsidP="00182507">
      <w:pPr>
        <w:spacing w:line="320" w:lineRule="exact"/>
        <w:ind w:firstLine="709"/>
        <w:jc w:val="both"/>
      </w:pPr>
    </w:p>
    <w:p w14:paraId="39D338EE" w14:textId="77777777" w:rsidR="00D65850" w:rsidRPr="00037AE5" w:rsidRDefault="00D65850" w:rsidP="00D65850">
      <w:pPr>
        <w:tabs>
          <w:tab w:val="left" w:pos="2772"/>
        </w:tabs>
        <w:spacing w:line="360" w:lineRule="auto"/>
        <w:ind w:firstLine="567"/>
        <w:jc w:val="both"/>
      </w:pPr>
      <w:r w:rsidRPr="000D5F01">
        <w:rPr>
          <w:noProof/>
          <w:lang w:val="ru-RU" w:eastAsia="ru-RU"/>
        </w:rPr>
        <w:drawing>
          <wp:inline distT="0" distB="0" distL="0" distR="0" wp14:anchorId="7E151853" wp14:editId="299E84C7">
            <wp:extent cx="4953000" cy="32766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3BC66B" w14:textId="6B1427FA" w:rsidR="00F662A8" w:rsidRPr="009F04B8" w:rsidRDefault="00F662A8" w:rsidP="00182507">
      <w:pPr>
        <w:tabs>
          <w:tab w:val="left" w:pos="2772"/>
        </w:tabs>
        <w:spacing w:line="300" w:lineRule="exact"/>
        <w:ind w:firstLine="567"/>
        <w:jc w:val="both"/>
        <w:rPr>
          <w:color w:val="000000"/>
          <w:shd w:val="clear" w:color="auto" w:fill="FBFBFB"/>
        </w:rPr>
      </w:pPr>
      <w:r w:rsidRPr="00413E89">
        <w:rPr>
          <w:color w:val="000000"/>
        </w:rPr>
        <w:t>Figure 1.</w:t>
      </w:r>
      <w:r w:rsidR="005A57A5">
        <w:rPr>
          <w:b/>
          <w:color w:val="000000"/>
        </w:rPr>
        <w:t xml:space="preserve"> </w:t>
      </w:r>
      <w:r w:rsidRPr="009F04B8">
        <w:rPr>
          <w:color w:val="000000"/>
        </w:rPr>
        <w:t>Dynamics</w:t>
      </w:r>
      <w:r w:rsidR="009C4E2D">
        <w:rPr>
          <w:color w:val="000000"/>
        </w:rPr>
        <w:t xml:space="preserve"> </w:t>
      </w:r>
      <w:r w:rsidRPr="009F04B8">
        <w:rPr>
          <w:color w:val="000000"/>
        </w:rPr>
        <w:t>of the frequency of primary incidence of ovarian malignancies in chemically contaminated territories of the Bryansk region with the lines of a multi-year trend over three years in the period 2000-2019 and forecast for 2020 (in terms of 100,000)</w:t>
      </w:r>
      <w:r w:rsidRPr="009F04B8">
        <w:rPr>
          <w:bCs/>
          <w:color w:val="000000"/>
        </w:rPr>
        <w:t>.</w:t>
      </w:r>
    </w:p>
    <w:p w14:paraId="1D8A1CE3" w14:textId="77777777" w:rsidR="00CE3A4A" w:rsidRDefault="00CE3A4A" w:rsidP="00182507">
      <w:pPr>
        <w:tabs>
          <w:tab w:val="left" w:pos="2772"/>
        </w:tabs>
        <w:spacing w:line="320" w:lineRule="exact"/>
        <w:ind w:firstLine="567"/>
        <w:jc w:val="center"/>
        <w:rPr>
          <w:b/>
        </w:rPr>
      </w:pPr>
    </w:p>
    <w:p w14:paraId="028C8C25" w14:textId="23DE2DA7" w:rsidR="00D65850" w:rsidRDefault="00D65850" w:rsidP="00182507">
      <w:pPr>
        <w:tabs>
          <w:tab w:val="left" w:pos="2772"/>
        </w:tabs>
        <w:spacing w:line="320" w:lineRule="exact"/>
        <w:ind w:firstLine="567"/>
        <w:jc w:val="center"/>
        <w:rPr>
          <w:b/>
        </w:rPr>
      </w:pPr>
      <w:r w:rsidRPr="00037AE5">
        <w:rPr>
          <w:b/>
        </w:rPr>
        <w:t>Conclusions</w:t>
      </w:r>
    </w:p>
    <w:p w14:paraId="64E9070F" w14:textId="77777777" w:rsidR="00705A98" w:rsidRPr="002D5E48" w:rsidRDefault="00705A98" w:rsidP="00182507">
      <w:pPr>
        <w:spacing w:line="320" w:lineRule="exact"/>
        <w:ind w:firstLine="709"/>
        <w:jc w:val="both"/>
      </w:pPr>
      <w:r w:rsidRPr="002D5E48">
        <w:t>1. We have not found statistically significant differences in the frequency of primary morbidity with malignant neoplasms of the ovaries in women, regardless of the environmental conditions of residence.</w:t>
      </w:r>
    </w:p>
    <w:p w14:paraId="5AC0BD51" w14:textId="1C5D5A4C" w:rsidR="00216806" w:rsidRDefault="00705A98" w:rsidP="00182507">
      <w:pPr>
        <w:spacing w:line="320" w:lineRule="exact"/>
        <w:ind w:firstLine="709"/>
        <w:jc w:val="both"/>
      </w:pPr>
      <w:r w:rsidRPr="002D5E48">
        <w:t xml:space="preserve">2. We have not found significant correlations between the frequency of primary morbidity of malignant neoplasms of the ovaries, both with the level of pollution </w:t>
      </w:r>
      <w:r w:rsidR="00585107">
        <w:t>by C</w:t>
      </w:r>
      <w:r w:rsidRPr="002D5E48">
        <w:t xml:space="preserve">esium-137 and </w:t>
      </w:r>
      <w:r w:rsidR="00585107">
        <w:t>S</w:t>
      </w:r>
      <w:r w:rsidRPr="002D5E48">
        <w:t>trontium-90, and air pollution with volatile organic compounds, carbon monoxide, sulfur dioxide and nitrogen oxides.</w:t>
      </w:r>
    </w:p>
    <w:p w14:paraId="2F2BA85D" w14:textId="77777777" w:rsidR="00F662A8" w:rsidRDefault="00705A98" w:rsidP="00182507">
      <w:pPr>
        <w:spacing w:line="320" w:lineRule="exact"/>
        <w:ind w:firstLine="709"/>
        <w:jc w:val="both"/>
      </w:pPr>
      <w:r w:rsidRPr="002D5E48">
        <w:t>3. We found a significant increase in the long-term trend in the frequency of malignant neoplasms of the ovaries in areas of chemical pollution (p=0.02), however, in other areas, no statistically significant regularities were established.</w:t>
      </w:r>
    </w:p>
    <w:p w14:paraId="38E6CCC1" w14:textId="1AFE588B" w:rsidR="00F662A8" w:rsidRPr="00B14F08" w:rsidRDefault="00F662A8" w:rsidP="00182507">
      <w:pPr>
        <w:spacing w:line="320" w:lineRule="exact"/>
        <w:ind w:firstLine="709"/>
        <w:jc w:val="both"/>
      </w:pPr>
      <w:r w:rsidRPr="00B14F08">
        <w:t xml:space="preserve">4. Our forecast for the frequency of newly diagnosed malignant neoplasms of the ovaries on average in the Bryansk region </w:t>
      </w:r>
      <w:r w:rsidR="00AE7529">
        <w:t xml:space="preserve">indicate </w:t>
      </w:r>
      <w:r w:rsidRPr="00B14F08">
        <w:t>shows an increase of 12.4% in 2020 in comparison with real data for 2020, while the largest</w:t>
      </w:r>
      <w:r>
        <w:t xml:space="preserve"> increase in predicted values </w:t>
      </w:r>
      <w:r w:rsidRPr="00B14F08">
        <w:t xml:space="preserve">is recorded in the territories of radioactive contamination (by 79.6%), and the least </w:t>
      </w:r>
      <w:r w:rsidR="000C4C0F">
        <w:t>–</w:t>
      </w:r>
      <w:r w:rsidRPr="00B14F08">
        <w:t xml:space="preserve"> </w:t>
      </w:r>
      <w:r w:rsidR="000C4C0F">
        <w:t>i</w:t>
      </w:r>
      <w:r w:rsidRPr="00B14F08">
        <w:t>n the combined territories (by 6.9%).</w:t>
      </w:r>
    </w:p>
    <w:p w14:paraId="0949E135" w14:textId="29F88077" w:rsidR="00F662A8" w:rsidRDefault="00F662A8" w:rsidP="00182507">
      <w:pPr>
        <w:spacing w:line="320" w:lineRule="exact"/>
        <w:ind w:firstLine="709"/>
        <w:jc w:val="both"/>
      </w:pPr>
    </w:p>
    <w:p w14:paraId="3D652A33" w14:textId="77777777" w:rsidR="0081367A" w:rsidRDefault="0081367A" w:rsidP="00182507">
      <w:pPr>
        <w:spacing w:line="320" w:lineRule="exact"/>
        <w:ind w:firstLine="709"/>
        <w:jc w:val="both"/>
      </w:pPr>
    </w:p>
    <w:p w14:paraId="7251609A" w14:textId="77777777" w:rsidR="002E3D64" w:rsidRDefault="002E3D64" w:rsidP="00CE3A4A">
      <w:pPr>
        <w:ind w:firstLine="709"/>
        <w:jc w:val="center"/>
        <w:rPr>
          <w:b/>
        </w:rPr>
      </w:pPr>
      <w:r>
        <w:rPr>
          <w:b/>
        </w:rPr>
        <w:lastRenderedPageBreak/>
        <w:t>References</w:t>
      </w:r>
    </w:p>
    <w:p w14:paraId="36F3F68C" w14:textId="77777777" w:rsidR="002E3D64" w:rsidRPr="00231133" w:rsidRDefault="002E3D64" w:rsidP="00CE3A4A">
      <w:pPr>
        <w:tabs>
          <w:tab w:val="left" w:pos="2772"/>
        </w:tabs>
        <w:jc w:val="both"/>
        <w:rPr>
          <w:rFonts w:eastAsiaTheme="minorHAnsi"/>
          <w:color w:val="000000" w:themeColor="text1"/>
        </w:rPr>
      </w:pPr>
      <w:r w:rsidRPr="00231133">
        <w:rPr>
          <w:rFonts w:eastAsiaTheme="minorHAnsi"/>
          <w:color w:val="000000" w:themeColor="text1"/>
        </w:rPr>
        <w:t xml:space="preserve">1. </w:t>
      </w:r>
      <w:r w:rsidRPr="00231133">
        <w:rPr>
          <w:rFonts w:eastAsiaTheme="minorHAnsi"/>
          <w:i/>
          <w:color w:val="000000" w:themeColor="text1"/>
        </w:rPr>
        <w:t>Akahane K., Yonai S., Fukuda S. et al. 2012.</w:t>
      </w:r>
      <w:r w:rsidRPr="00231133">
        <w:rPr>
          <w:rFonts w:eastAsiaTheme="minorHAnsi"/>
          <w:color w:val="000000" w:themeColor="text1"/>
        </w:rPr>
        <w:t xml:space="preserve"> The Fukushima Nuclear Power Plant accident and exposures in the environment. Environmentalist 32, 136–143. </w:t>
      </w:r>
      <w:hyperlink r:id="rId9" w:history="1">
        <w:r w:rsidRPr="00231133">
          <w:rPr>
            <w:rStyle w:val="a5"/>
            <w:rFonts w:eastAsiaTheme="minorHAnsi"/>
            <w:color w:val="000000" w:themeColor="text1"/>
          </w:rPr>
          <w:t>http://dx.doi.org/10.1007/s10669-011-9381-2</w:t>
        </w:r>
      </w:hyperlink>
      <w:r w:rsidRPr="00231133">
        <w:rPr>
          <w:rFonts w:eastAsiaTheme="minorHAnsi"/>
          <w:color w:val="000000" w:themeColor="text1"/>
        </w:rPr>
        <w:t>.</w:t>
      </w:r>
    </w:p>
    <w:p w14:paraId="4846236A" w14:textId="77777777" w:rsidR="002E3D64" w:rsidRPr="00231133" w:rsidRDefault="002E3D64" w:rsidP="00CE3A4A">
      <w:pPr>
        <w:tabs>
          <w:tab w:val="left" w:pos="2772"/>
        </w:tabs>
        <w:jc w:val="both"/>
        <w:rPr>
          <w:color w:val="000000" w:themeColor="text1"/>
        </w:rPr>
      </w:pPr>
      <w:r w:rsidRPr="00BB1CF6">
        <w:t>2.</w:t>
      </w:r>
      <w:r w:rsidRPr="002E691C">
        <w:rPr>
          <w:i/>
          <w:iCs/>
          <w:color w:val="000000" w:themeColor="text1"/>
        </w:rPr>
        <w:t>Axel E.M.</w:t>
      </w:r>
      <w:r w:rsidRPr="00231133">
        <w:rPr>
          <w:color w:val="000000" w:themeColor="text1"/>
        </w:rPr>
        <w:t xml:space="preserve"> Morbidity and mortality from malignant neoplasms of the organs of the female reproductive system in Russia // Oncogynecology. 2015.No.1. pp. 6-15.</w:t>
      </w:r>
      <w:r w:rsidRPr="00231133">
        <w:rPr>
          <w:bCs/>
          <w:color w:val="000000" w:themeColor="text1"/>
        </w:rPr>
        <w:t xml:space="preserve"> (</w:t>
      </w:r>
      <w:r w:rsidRPr="00231133">
        <w:rPr>
          <w:color w:val="000000" w:themeColor="text1"/>
        </w:rPr>
        <w:t>in Russian).</w:t>
      </w:r>
    </w:p>
    <w:p w14:paraId="45C96915" w14:textId="77777777" w:rsidR="002E3D64" w:rsidRPr="00231133" w:rsidRDefault="002E3D64" w:rsidP="00CE3A4A">
      <w:pPr>
        <w:tabs>
          <w:tab w:val="left" w:pos="2772"/>
        </w:tabs>
        <w:jc w:val="both"/>
        <w:rPr>
          <w:color w:val="000000" w:themeColor="text1"/>
        </w:rPr>
      </w:pPr>
      <w:r w:rsidRPr="00BB1CF6">
        <w:t>3.</w:t>
      </w:r>
      <w:r w:rsidRPr="002E691C">
        <w:rPr>
          <w:i/>
          <w:iCs/>
          <w:color w:val="000000" w:themeColor="text1"/>
        </w:rPr>
        <w:t>ChekinS.Yu., Maksyutov M.A., Kashcheev V.V.</w:t>
      </w:r>
      <w:r w:rsidR="00244ED6">
        <w:rPr>
          <w:i/>
          <w:iCs/>
          <w:color w:val="000000" w:themeColor="text1"/>
        </w:rPr>
        <w:t xml:space="preserve"> et al.</w:t>
      </w:r>
      <w:r w:rsidRPr="00231133">
        <w:rPr>
          <w:color w:val="000000" w:themeColor="text1"/>
        </w:rPr>
        <w:t xml:space="preserve"> Forecast of long-term medical radiological consequences of the Chernobyl accident for citizens of Russia and the Republic of Belarus for the main radiation-related diseases // Radiation and risk (Bulletin of the NER). 2016. Vol.25. No. 4. pp. 7-17. (in Russian).</w:t>
      </w:r>
    </w:p>
    <w:p w14:paraId="5AD120B8" w14:textId="77777777" w:rsidR="002E3D64" w:rsidRPr="00231133" w:rsidRDefault="002E3D64" w:rsidP="00CE3A4A">
      <w:pPr>
        <w:tabs>
          <w:tab w:val="left" w:pos="2772"/>
        </w:tabs>
        <w:jc w:val="both"/>
        <w:rPr>
          <w:color w:val="000000" w:themeColor="text1"/>
        </w:rPr>
      </w:pPr>
      <w:r w:rsidRPr="00BB1CF6">
        <w:t>4.</w:t>
      </w:r>
      <w:r w:rsidRPr="00244ED6">
        <w:rPr>
          <w:i/>
          <w:iCs/>
          <w:color w:val="000000" w:themeColor="text1"/>
        </w:rPr>
        <w:t>Inai K, Shimizu U, Kawai K, Tokunaga M, Soda M. et al.</w:t>
      </w:r>
      <w:r w:rsidRPr="00231133">
        <w:rPr>
          <w:color w:val="000000" w:themeColor="text1"/>
        </w:rPr>
        <w:t xml:space="preserve"> Investigation of the pathology of malignant and benign ovarian tumors among survivors of the atomic bomb-a report on a series of cases. J Journal of Radiation Research, Volume 47, Issue 1, January 2006, pp. 49-59, 2006 Mar;47(1):49-59. doi: 10.1269/jrr.47.49. PMID: 16571918.</w:t>
      </w:r>
    </w:p>
    <w:p w14:paraId="23E127BC" w14:textId="77777777" w:rsidR="002E3D64" w:rsidRPr="00231133" w:rsidRDefault="002E3D64" w:rsidP="00CE3A4A">
      <w:pPr>
        <w:tabs>
          <w:tab w:val="left" w:pos="2772"/>
        </w:tabs>
        <w:jc w:val="both"/>
        <w:rPr>
          <w:rFonts w:eastAsiaTheme="minorHAnsi"/>
          <w:color w:val="000000" w:themeColor="text1"/>
        </w:rPr>
      </w:pPr>
      <w:r w:rsidRPr="00BB1CF6">
        <w:t>5.</w:t>
      </w:r>
      <w:r w:rsidRPr="00244ED6">
        <w:rPr>
          <w:rFonts w:eastAsiaTheme="minorHAnsi"/>
          <w:i/>
          <w:iCs/>
          <w:color w:val="000000" w:themeColor="text1"/>
        </w:rPr>
        <w:t>Ogrodnik A., Hudon T.W., Nadkarni P.M., Chandawarkar R.Y.</w:t>
      </w:r>
      <w:r w:rsidRPr="00231133">
        <w:rPr>
          <w:rFonts w:eastAsiaTheme="minorHAnsi"/>
          <w:color w:val="000000" w:themeColor="text1"/>
        </w:rPr>
        <w:t xml:space="preserve"> (2013) Radiation exposure and breast cancer: lessons from Chernobyl. Connecticut Medicine, 77(4): 227 – 234.</w:t>
      </w:r>
    </w:p>
    <w:p w14:paraId="0FBE1890" w14:textId="77777777" w:rsidR="002E3D64" w:rsidRPr="00231133" w:rsidRDefault="002E3D64" w:rsidP="00CE3A4A">
      <w:pPr>
        <w:tabs>
          <w:tab w:val="left" w:pos="2772"/>
        </w:tabs>
        <w:jc w:val="both"/>
        <w:rPr>
          <w:rFonts w:eastAsiaTheme="minorHAnsi"/>
          <w:color w:val="000000" w:themeColor="text1"/>
        </w:rPr>
      </w:pPr>
      <w:r w:rsidRPr="00BB1CF6">
        <w:rPr>
          <w:color w:val="000000" w:themeColor="text1"/>
        </w:rPr>
        <w:t xml:space="preserve">6. </w:t>
      </w:r>
      <w:r w:rsidRPr="00244ED6">
        <w:rPr>
          <w:rFonts w:eastAsiaTheme="minorHAnsi"/>
          <w:i/>
          <w:iCs/>
          <w:color w:val="000000" w:themeColor="text1"/>
        </w:rPr>
        <w:t>Pukkala E., Kesminiene A., Poliakov S., Ryzhov A., Drozdovitch V. et al.</w:t>
      </w:r>
      <w:r w:rsidRPr="00231133">
        <w:rPr>
          <w:rFonts w:eastAsiaTheme="minorHAnsi"/>
          <w:color w:val="000000" w:themeColor="text1"/>
        </w:rPr>
        <w:t xml:space="preserve"> Breast cancer in Belarus and Ukraine after the Chernobyl accident. (2006) Int J Cancer;119(3): 651 – 8.</w:t>
      </w:r>
    </w:p>
    <w:p w14:paraId="0AC107CF" w14:textId="77777777" w:rsidR="002E3D64" w:rsidRPr="00231133" w:rsidRDefault="002E3D64" w:rsidP="00CE3A4A">
      <w:pPr>
        <w:tabs>
          <w:tab w:val="left" w:pos="2772"/>
        </w:tabs>
        <w:jc w:val="both"/>
        <w:rPr>
          <w:bCs/>
          <w:color w:val="000000" w:themeColor="text1"/>
        </w:rPr>
      </w:pPr>
      <w:r>
        <w:rPr>
          <w:rFonts w:eastAsiaTheme="minorHAnsi"/>
          <w:color w:val="000000" w:themeColor="text1"/>
        </w:rPr>
        <w:t xml:space="preserve">7. </w:t>
      </w:r>
      <w:hyperlink r:id="rId10" w:history="1">
        <w:r w:rsidRPr="002E691C">
          <w:rPr>
            <w:rStyle w:val="a5"/>
            <w:i/>
            <w:iCs/>
            <w:color w:val="000000" w:themeColor="text1"/>
            <w:u w:val="none"/>
          </w:rPr>
          <w:t>Rivkind</w:t>
        </w:r>
      </w:hyperlink>
      <w:r w:rsidRPr="002E691C">
        <w:rPr>
          <w:rStyle w:val="authors-list-item"/>
          <w:i/>
          <w:iCs/>
          <w:color w:val="000000" w:themeColor="text1"/>
        </w:rPr>
        <w:t xml:space="preserve"> N.</w:t>
      </w:r>
      <w:r w:rsidRPr="002E691C">
        <w:rPr>
          <w:rStyle w:val="comma"/>
          <w:i/>
          <w:iCs/>
          <w:color w:val="000000" w:themeColor="text1"/>
        </w:rPr>
        <w:t>, </w:t>
      </w:r>
      <w:hyperlink r:id="rId11" w:history="1">
        <w:r w:rsidRPr="002E691C">
          <w:rPr>
            <w:rStyle w:val="a5"/>
            <w:i/>
            <w:iCs/>
            <w:color w:val="000000" w:themeColor="text1"/>
            <w:u w:val="none"/>
          </w:rPr>
          <w:t>Stepanenko</w:t>
        </w:r>
      </w:hyperlink>
      <w:r w:rsidRPr="002E691C">
        <w:rPr>
          <w:rStyle w:val="authors-list-item"/>
          <w:i/>
          <w:iCs/>
          <w:color w:val="000000" w:themeColor="text1"/>
        </w:rPr>
        <w:t xml:space="preserve"> V.,</w:t>
      </w:r>
      <w:r w:rsidRPr="002E691C">
        <w:rPr>
          <w:rStyle w:val="author-sup-separator"/>
          <w:i/>
          <w:iCs/>
          <w:color w:val="000000" w:themeColor="text1"/>
          <w:vertAlign w:val="superscript"/>
        </w:rPr>
        <w:t> </w:t>
      </w:r>
      <w:hyperlink r:id="rId12" w:history="1">
        <w:r w:rsidRPr="002E691C">
          <w:rPr>
            <w:rStyle w:val="a5"/>
            <w:i/>
            <w:iCs/>
            <w:color w:val="000000" w:themeColor="text1"/>
            <w:u w:val="none"/>
          </w:rPr>
          <w:t>Belukha</w:t>
        </w:r>
      </w:hyperlink>
      <w:r w:rsidRPr="002E691C">
        <w:rPr>
          <w:rStyle w:val="authors-list-item"/>
          <w:i/>
          <w:iCs/>
          <w:color w:val="000000" w:themeColor="text1"/>
        </w:rPr>
        <w:t xml:space="preserve"> I.,</w:t>
      </w:r>
      <w:r w:rsidRPr="002E691C">
        <w:rPr>
          <w:rStyle w:val="author-sup-separator"/>
          <w:i/>
          <w:iCs/>
          <w:color w:val="000000" w:themeColor="text1"/>
          <w:vertAlign w:val="superscript"/>
        </w:rPr>
        <w:t> </w:t>
      </w:r>
      <w:r w:rsidRPr="002E691C">
        <w:rPr>
          <w:rStyle w:val="comma"/>
          <w:i/>
          <w:iCs/>
          <w:color w:val="000000" w:themeColor="text1"/>
        </w:rPr>
        <w:t> </w:t>
      </w:r>
      <w:hyperlink r:id="rId13" w:history="1">
        <w:r w:rsidRPr="002E691C">
          <w:rPr>
            <w:rStyle w:val="a5"/>
            <w:i/>
            <w:iCs/>
            <w:color w:val="000000" w:themeColor="text1"/>
            <w:u w:val="none"/>
          </w:rPr>
          <w:t>Guenthoer</w:t>
        </w:r>
      </w:hyperlink>
      <w:r w:rsidRPr="002E691C">
        <w:rPr>
          <w:rStyle w:val="authors-list-item"/>
          <w:i/>
          <w:iCs/>
          <w:color w:val="000000" w:themeColor="text1"/>
        </w:rPr>
        <w:t xml:space="preserve"> J., </w:t>
      </w:r>
      <w:r w:rsidRPr="002E691C">
        <w:rPr>
          <w:rStyle w:val="author-sup-separator"/>
          <w:i/>
          <w:iCs/>
          <w:color w:val="000000" w:themeColor="text1"/>
          <w:vertAlign w:val="superscript"/>
        </w:rPr>
        <w:t> </w:t>
      </w:r>
      <w:hyperlink r:id="rId14" w:history="1">
        <w:r w:rsidRPr="002E691C">
          <w:rPr>
            <w:rStyle w:val="a5"/>
            <w:i/>
            <w:iCs/>
            <w:color w:val="000000" w:themeColor="text1"/>
            <w:u w:val="none"/>
          </w:rPr>
          <w:t>Kopecky</w:t>
        </w:r>
      </w:hyperlink>
      <w:r w:rsidRPr="002E691C">
        <w:rPr>
          <w:rStyle w:val="authors-list-item"/>
          <w:i/>
          <w:iCs/>
          <w:color w:val="000000" w:themeColor="text1"/>
        </w:rPr>
        <w:t xml:space="preserve"> K.</w:t>
      </w:r>
      <w:r w:rsidRPr="00231133">
        <w:rPr>
          <w:rStyle w:val="authors-list-item"/>
          <w:color w:val="000000" w:themeColor="text1"/>
        </w:rPr>
        <w:t xml:space="preserve"> et al. </w:t>
      </w:r>
      <w:r w:rsidRPr="00231133">
        <w:rPr>
          <w:bCs/>
          <w:color w:val="000000" w:themeColor="text1"/>
        </w:rPr>
        <w:t xml:space="preserve">Female breast cancer risk in Bryansk Oblast, Russia, following prolonged low dose rate exposure to radiation from the Chernobyl power station accident </w:t>
      </w:r>
      <w:r w:rsidRPr="00231133">
        <w:rPr>
          <w:bCs/>
          <w:iCs/>
          <w:color w:val="000000" w:themeColor="text1"/>
        </w:rPr>
        <w:t>International Journal of Epidemiology</w:t>
      </w:r>
      <w:r w:rsidRPr="00231133">
        <w:rPr>
          <w:bCs/>
          <w:color w:val="000000" w:themeColor="text1"/>
        </w:rPr>
        <w:t xml:space="preserve">, </w:t>
      </w:r>
      <w:r w:rsidRPr="00231133">
        <w:rPr>
          <w:rStyle w:val="cit"/>
          <w:color w:val="000000" w:themeColor="text1"/>
        </w:rPr>
        <w:t xml:space="preserve">2020 Apr 1;49(2):448-456. </w:t>
      </w:r>
      <w:hyperlink r:id="rId15" w:history="1">
        <w:r w:rsidRPr="00231133">
          <w:rPr>
            <w:rStyle w:val="a5"/>
            <w:bCs/>
            <w:color w:val="000000" w:themeColor="text1"/>
          </w:rPr>
          <w:t>https://doi.org/10.1093/ije/dyz214</w:t>
        </w:r>
      </w:hyperlink>
    </w:p>
    <w:p w14:paraId="2A554C38" w14:textId="77777777" w:rsidR="002E3D64" w:rsidRPr="00231133" w:rsidRDefault="002E3D64" w:rsidP="00CE3A4A">
      <w:pPr>
        <w:tabs>
          <w:tab w:val="left" w:pos="2772"/>
        </w:tabs>
        <w:jc w:val="both"/>
        <w:rPr>
          <w:rStyle w:val="a5"/>
          <w:color w:val="000000" w:themeColor="text1"/>
        </w:rPr>
      </w:pPr>
      <w:r>
        <w:rPr>
          <w:color w:val="000000" w:themeColor="text1"/>
        </w:rPr>
        <w:t xml:space="preserve">8. </w:t>
      </w:r>
      <w:r w:rsidRPr="00231133">
        <w:rPr>
          <w:color w:val="000000" w:themeColor="text1"/>
        </w:rPr>
        <w:t>TORCH, 2016. An independent scientific evaluation of the health-related effects of the Chernobyl nuclear disaster (report). Author: Ian Fairlie, PhD, UK. Available at: </w:t>
      </w:r>
      <w:hyperlink r:id="rId16" w:history="1">
        <w:r w:rsidRPr="00231133">
          <w:rPr>
            <w:rStyle w:val="a5"/>
            <w:color w:val="000000" w:themeColor="text1"/>
          </w:rPr>
          <w:t>http://www.wua-wien.at/images/stories/publikationen/studie-the-other-tschernobyl-report.pdf</w:t>
        </w:r>
      </w:hyperlink>
    </w:p>
    <w:p w14:paraId="2559C6C7" w14:textId="77777777" w:rsidR="002E3D64" w:rsidRPr="00231133" w:rsidRDefault="002E3D64" w:rsidP="00CE3A4A">
      <w:pPr>
        <w:tabs>
          <w:tab w:val="left" w:pos="2772"/>
        </w:tabs>
        <w:jc w:val="both"/>
        <w:rPr>
          <w:rFonts w:eastAsiaTheme="minorHAnsi"/>
          <w:color w:val="000000" w:themeColor="text1"/>
        </w:rPr>
      </w:pPr>
      <w:r w:rsidRPr="00BB1CF6">
        <w:rPr>
          <w:bCs/>
          <w:color w:val="000000" w:themeColor="text1"/>
        </w:rPr>
        <w:t>9.</w:t>
      </w:r>
      <w:r w:rsidRPr="00244ED6">
        <w:rPr>
          <w:i/>
          <w:iCs/>
          <w:color w:val="000000" w:themeColor="text1"/>
        </w:rPr>
        <w:t>Utada M, Brenner A.V., Preston D.L., Cologne J.B., Sakata R. et al.</w:t>
      </w:r>
      <w:r w:rsidRPr="00231133">
        <w:rPr>
          <w:color w:val="000000" w:themeColor="text1"/>
        </w:rPr>
        <w:t xml:space="preserve"> Radiation risk of ovarian cancer in atomic bomb survivors: </w:t>
      </w:r>
      <w:r w:rsidRPr="00231133">
        <w:rPr>
          <w:rStyle w:val="wmi-callto"/>
          <w:color w:val="000000" w:themeColor="text1"/>
        </w:rPr>
        <w:t>1958-2009</w:t>
      </w:r>
      <w:r w:rsidRPr="00231133">
        <w:rPr>
          <w:color w:val="000000" w:themeColor="text1"/>
        </w:rPr>
        <w:t xml:space="preserve">. Radiation research. 2021 January 195, (1):60-65. </w:t>
      </w:r>
      <w:r w:rsidRPr="00231133">
        <w:rPr>
          <w:rFonts w:eastAsiaTheme="minorHAnsi"/>
          <w:color w:val="000000" w:themeColor="text1"/>
        </w:rPr>
        <w:t xml:space="preserve">DOI: 10.1667/RADE-20-00170.1 </w:t>
      </w:r>
    </w:p>
    <w:p w14:paraId="002B903F" w14:textId="77777777" w:rsidR="002E3D64" w:rsidRPr="00231133" w:rsidRDefault="002E3D64" w:rsidP="00CE3A4A">
      <w:pPr>
        <w:tabs>
          <w:tab w:val="left" w:pos="2772"/>
        </w:tabs>
        <w:jc w:val="both"/>
        <w:rPr>
          <w:color w:val="000000" w:themeColor="text1"/>
        </w:rPr>
      </w:pPr>
      <w:r w:rsidRPr="00BB1CF6">
        <w:rPr>
          <w:color w:val="000000" w:themeColor="text1"/>
        </w:rPr>
        <w:t xml:space="preserve">10. </w:t>
      </w:r>
      <w:r w:rsidRPr="00244ED6">
        <w:rPr>
          <w:i/>
          <w:iCs/>
          <w:color w:val="000000" w:themeColor="text1"/>
        </w:rPr>
        <w:t>Utada M, Brenner A.V., Preston D.L., Cologne J.B., Sakata R. et al.</w:t>
      </w:r>
      <w:r w:rsidRPr="00231133">
        <w:rPr>
          <w:color w:val="000000" w:themeColor="text1"/>
        </w:rPr>
        <w:t xml:space="preserve"> Radiation risks of uterine cancer in atomic bomb survivors: 1958-2009. Cancer Spectrum JNCI. 2019 October;2(4):pky081. doi: 10.1093/jncics/pky081. </w:t>
      </w:r>
    </w:p>
    <w:p w14:paraId="22496D19" w14:textId="4453549B" w:rsidR="002E3D64" w:rsidRPr="00231133" w:rsidRDefault="002E3D64" w:rsidP="00CE3A4A">
      <w:pPr>
        <w:shd w:val="clear" w:color="auto" w:fill="FFFFFF"/>
        <w:tabs>
          <w:tab w:val="left" w:pos="2772"/>
        </w:tabs>
        <w:jc w:val="both"/>
        <w:rPr>
          <w:color w:val="000000" w:themeColor="text1"/>
        </w:rPr>
      </w:pPr>
      <w:r w:rsidRPr="00BB1CF6">
        <w:rPr>
          <w:color w:val="000000" w:themeColor="text1"/>
        </w:rPr>
        <w:t>11.</w:t>
      </w:r>
      <w:r w:rsidRPr="00244ED6">
        <w:rPr>
          <w:bCs/>
          <w:i/>
          <w:iCs/>
          <w:color w:val="000000" w:themeColor="text1"/>
        </w:rPr>
        <w:t>Yablokov, A.V., Nesterenko, V.B. Nesterenko, A.V. et al., 2016.</w:t>
      </w:r>
      <w:r w:rsidRPr="00231133">
        <w:rPr>
          <w:bCs/>
          <w:color w:val="000000" w:themeColor="text1"/>
        </w:rPr>
        <w:t xml:space="preserve"> Chernobyl: consequences of the Disaster for human and nature, sixth ed. </w:t>
      </w:r>
      <w:r w:rsidRPr="00231133">
        <w:rPr>
          <w:color w:val="000000" w:themeColor="text1"/>
        </w:rPr>
        <w:t>Moscow</w:t>
      </w:r>
      <w:r w:rsidRPr="00231133">
        <w:rPr>
          <w:bCs/>
          <w:color w:val="000000" w:themeColor="text1"/>
        </w:rPr>
        <w:t xml:space="preserve"> (</w:t>
      </w:r>
      <w:r w:rsidRPr="00231133">
        <w:rPr>
          <w:color w:val="000000" w:themeColor="text1"/>
        </w:rPr>
        <w:t xml:space="preserve">in Russian). Available at: </w:t>
      </w:r>
      <w:hyperlink r:id="rId17" w:history="1">
        <w:r w:rsidR="00F0285A" w:rsidRPr="00B932DB">
          <w:rPr>
            <w:rStyle w:val="a5"/>
          </w:rPr>
          <w:t>https://www.yabloko.ru/files/chern_8_vsya_kniga_25_marta.pdf</w:t>
        </w:r>
      </w:hyperlink>
    </w:p>
    <w:p w14:paraId="75EB1200" w14:textId="77777777" w:rsidR="002E3D64" w:rsidRDefault="002E3D64" w:rsidP="00CE3A4A">
      <w:pPr>
        <w:tabs>
          <w:tab w:val="left" w:pos="2772"/>
        </w:tabs>
        <w:jc w:val="both"/>
        <w:rPr>
          <w:rStyle w:val="secondary-date"/>
          <w:color w:val="000000" w:themeColor="text1"/>
        </w:rPr>
      </w:pPr>
      <w:r>
        <w:rPr>
          <w:bCs/>
          <w:color w:val="000000" w:themeColor="text1"/>
        </w:rPr>
        <w:t xml:space="preserve">12. </w:t>
      </w:r>
      <w:hyperlink r:id="rId18" w:history="1">
        <w:r w:rsidRPr="00244ED6">
          <w:rPr>
            <w:rStyle w:val="citation-doi"/>
            <w:i/>
            <w:iCs/>
            <w:color w:val="000000" w:themeColor="text1"/>
          </w:rPr>
          <w:t>Zupunski</w:t>
        </w:r>
      </w:hyperlink>
      <w:r w:rsidRPr="00244ED6">
        <w:rPr>
          <w:rStyle w:val="authors-list-item"/>
          <w:i/>
          <w:iCs/>
          <w:color w:val="000000" w:themeColor="text1"/>
        </w:rPr>
        <w:t xml:space="preserve"> L.</w:t>
      </w:r>
      <w:r w:rsidRPr="00244ED6">
        <w:rPr>
          <w:rStyle w:val="comma"/>
          <w:i/>
          <w:iCs/>
          <w:color w:val="000000" w:themeColor="text1"/>
        </w:rPr>
        <w:t>, </w:t>
      </w:r>
      <w:hyperlink r:id="rId19" w:history="1">
        <w:r w:rsidRPr="00244ED6">
          <w:rPr>
            <w:rStyle w:val="citation-doi"/>
            <w:i/>
            <w:iCs/>
            <w:color w:val="000000" w:themeColor="text1"/>
          </w:rPr>
          <w:t>Yaumenenka</w:t>
        </w:r>
      </w:hyperlink>
      <w:r w:rsidRPr="00244ED6">
        <w:rPr>
          <w:rStyle w:val="authors-list-item"/>
          <w:i/>
          <w:iCs/>
          <w:color w:val="000000" w:themeColor="text1"/>
        </w:rPr>
        <w:t xml:space="preserve"> A.</w:t>
      </w:r>
      <w:r w:rsidRPr="00244ED6">
        <w:rPr>
          <w:rStyle w:val="comma"/>
          <w:i/>
          <w:iCs/>
          <w:color w:val="000000" w:themeColor="text1"/>
        </w:rPr>
        <w:t>, </w:t>
      </w:r>
      <w:hyperlink r:id="rId20" w:history="1">
        <w:r w:rsidRPr="00244ED6">
          <w:rPr>
            <w:rStyle w:val="citation-doi"/>
            <w:i/>
            <w:iCs/>
            <w:color w:val="000000" w:themeColor="text1"/>
          </w:rPr>
          <w:t>Ryzhov</w:t>
        </w:r>
      </w:hyperlink>
      <w:r w:rsidRPr="00244ED6">
        <w:rPr>
          <w:rStyle w:val="authors-list-item"/>
          <w:i/>
          <w:iCs/>
          <w:color w:val="000000" w:themeColor="text1"/>
        </w:rPr>
        <w:t xml:space="preserve"> A.</w:t>
      </w:r>
      <w:r w:rsidRPr="00244ED6">
        <w:rPr>
          <w:rStyle w:val="comma"/>
          <w:i/>
          <w:iCs/>
          <w:color w:val="000000" w:themeColor="text1"/>
        </w:rPr>
        <w:t>, </w:t>
      </w:r>
      <w:hyperlink r:id="rId21" w:history="1">
        <w:r w:rsidRPr="00244ED6">
          <w:rPr>
            <w:rStyle w:val="citation-doi"/>
            <w:i/>
            <w:iCs/>
            <w:color w:val="000000" w:themeColor="text1"/>
          </w:rPr>
          <w:t>Veyalkin</w:t>
        </w:r>
      </w:hyperlink>
      <w:r w:rsidRPr="00244ED6">
        <w:rPr>
          <w:rStyle w:val="authors-list-item"/>
          <w:i/>
          <w:iCs/>
          <w:color w:val="000000" w:themeColor="text1"/>
        </w:rPr>
        <w:t xml:space="preserve"> I.</w:t>
      </w:r>
      <w:r w:rsidRPr="00244ED6">
        <w:rPr>
          <w:rStyle w:val="comma"/>
          <w:i/>
          <w:iCs/>
          <w:color w:val="000000" w:themeColor="text1"/>
        </w:rPr>
        <w:t>, </w:t>
      </w:r>
      <w:hyperlink r:id="rId22" w:history="1">
        <w:r w:rsidRPr="00244ED6">
          <w:rPr>
            <w:rStyle w:val="citation-doi"/>
            <w:i/>
            <w:iCs/>
            <w:color w:val="000000" w:themeColor="text1"/>
          </w:rPr>
          <w:t>Drozdovitch</w:t>
        </w:r>
      </w:hyperlink>
      <w:r w:rsidRPr="00244ED6">
        <w:rPr>
          <w:rStyle w:val="authors-list-item"/>
          <w:i/>
          <w:iCs/>
          <w:color w:val="000000" w:themeColor="text1"/>
        </w:rPr>
        <w:t xml:space="preserve"> V. et al.</w:t>
      </w:r>
      <w:r w:rsidRPr="00231133">
        <w:rPr>
          <w:color w:val="000000" w:themeColor="text1"/>
        </w:rPr>
        <w:t xml:space="preserve">Breast cancer incidence in the regions of Belarus and Ukraine most contaminated by the Chernobyl accident: 1978 to 2016 Int J Cancer </w:t>
      </w:r>
      <w:r w:rsidRPr="00231133">
        <w:rPr>
          <w:rStyle w:val="cit"/>
          <w:color w:val="000000" w:themeColor="text1"/>
        </w:rPr>
        <w:t>2021 Apr 15;148(8):1839-1849.</w:t>
      </w:r>
      <w:r w:rsidRPr="00231133">
        <w:rPr>
          <w:rStyle w:val="citation-doi"/>
          <w:color w:val="000000" w:themeColor="text1"/>
        </w:rPr>
        <w:t xml:space="preserve">doi: 10.1002/ijc.33346. </w:t>
      </w:r>
      <w:r w:rsidRPr="00231133">
        <w:rPr>
          <w:rStyle w:val="secondary-date"/>
          <w:color w:val="000000" w:themeColor="text1"/>
        </w:rPr>
        <w:t xml:space="preserve">Epub 2020 Oct 29. </w:t>
      </w:r>
    </w:p>
    <w:p w14:paraId="561E81E2" w14:textId="77777777" w:rsidR="002E3D64" w:rsidRPr="00231133" w:rsidRDefault="002E3D64" w:rsidP="00CE3A4A">
      <w:pPr>
        <w:tabs>
          <w:tab w:val="left" w:pos="2772"/>
        </w:tabs>
        <w:jc w:val="both"/>
        <w:rPr>
          <w:color w:val="000000" w:themeColor="text1"/>
        </w:rPr>
      </w:pPr>
      <w:r w:rsidRPr="00BB1CF6">
        <w:rPr>
          <w:color w:val="000000" w:themeColor="text1"/>
        </w:rPr>
        <w:t>13.</w:t>
      </w:r>
      <w:r w:rsidRPr="00231133">
        <w:rPr>
          <w:i/>
          <w:color w:val="000000" w:themeColor="text1"/>
        </w:rPr>
        <w:t xml:space="preserve">Carol Hanchette, Charlie H. Zhang 1. </w:t>
      </w:r>
      <w:r w:rsidRPr="00231133">
        <w:rPr>
          <w:i/>
          <w:color w:val="000000" w:themeColor="text1"/>
          <w:lang w:val="fr-FR"/>
        </w:rPr>
        <w:t xml:space="preserve">et al. </w:t>
      </w:r>
      <w:r w:rsidRPr="00231133">
        <w:rPr>
          <w:color w:val="000000" w:themeColor="text1"/>
        </w:rPr>
        <w:t xml:space="preserve">Ovarian Cancer Incidence in the U.S. and Toxic Emissions from Pulp and Paper Plants: A Geospatial Analysis //International Journal of Envaronmental  Research and Public Health. 2018. </w:t>
      </w:r>
      <w:r w:rsidRPr="00231133">
        <w:rPr>
          <w:iCs/>
          <w:color w:val="000000" w:themeColor="text1"/>
          <w:shd w:val="clear" w:color="auto" w:fill="FFFFFF"/>
        </w:rPr>
        <w:t>V</w:t>
      </w:r>
      <w:r w:rsidRPr="00231133">
        <w:rPr>
          <w:color w:val="000000" w:themeColor="text1"/>
        </w:rPr>
        <w:t xml:space="preserve">ol. 15(8). P.1-13.  </w:t>
      </w:r>
    </w:p>
    <w:p w14:paraId="6B69ACEA" w14:textId="77777777" w:rsidR="002E3D64" w:rsidRPr="00231133" w:rsidRDefault="002E3D64" w:rsidP="00CE3A4A">
      <w:pPr>
        <w:tabs>
          <w:tab w:val="left" w:pos="2772"/>
        </w:tabs>
        <w:jc w:val="both"/>
        <w:rPr>
          <w:rStyle w:val="citation-doi"/>
          <w:color w:val="000000" w:themeColor="text1"/>
        </w:rPr>
      </w:pPr>
      <w:r w:rsidRPr="00BB1CF6">
        <w:rPr>
          <w:color w:val="000000" w:themeColor="text1"/>
        </w:rPr>
        <w:t>14.</w:t>
      </w:r>
      <w:hyperlink r:id="rId23" w:history="1">
        <w:r w:rsidRPr="00244ED6">
          <w:rPr>
            <w:rStyle w:val="a5"/>
            <w:i/>
            <w:iCs/>
            <w:color w:val="000000" w:themeColor="text1"/>
            <w:u w:val="none"/>
          </w:rPr>
          <w:t>Schwartz</w:t>
        </w:r>
      </w:hyperlink>
      <w:r w:rsidRPr="00244ED6">
        <w:rPr>
          <w:rStyle w:val="authors-list-item"/>
          <w:i/>
          <w:iCs/>
          <w:color w:val="000000" w:themeColor="text1"/>
        </w:rPr>
        <w:t xml:space="preserve"> G.</w:t>
      </w:r>
      <w:r w:rsidRPr="00244ED6">
        <w:rPr>
          <w:rStyle w:val="comma"/>
          <w:i/>
          <w:iCs/>
          <w:color w:val="000000" w:themeColor="text1"/>
        </w:rPr>
        <w:t>, </w:t>
      </w:r>
      <w:hyperlink r:id="rId24" w:history="1">
        <w:r w:rsidRPr="00244ED6">
          <w:rPr>
            <w:rStyle w:val="a5"/>
            <w:i/>
            <w:iCs/>
            <w:color w:val="000000" w:themeColor="text1"/>
            <w:u w:val="none"/>
          </w:rPr>
          <w:t>Sahmoun</w:t>
        </w:r>
      </w:hyperlink>
      <w:r w:rsidRPr="00244ED6">
        <w:rPr>
          <w:i/>
          <w:iCs/>
          <w:color w:val="000000" w:themeColor="text1"/>
        </w:rPr>
        <w:t xml:space="preserve"> A.</w:t>
      </w:r>
      <w:r w:rsidRPr="00231133">
        <w:rPr>
          <w:color w:val="000000" w:themeColor="text1"/>
        </w:rPr>
        <w:t xml:space="preserve"> Ovarian cancer incidence in the United States in relation to manufacturing industry. Int J Gynecol Cancer</w:t>
      </w:r>
      <w:r w:rsidRPr="00231133">
        <w:rPr>
          <w:rStyle w:val="period"/>
          <w:color w:val="000000" w:themeColor="text1"/>
        </w:rPr>
        <w:t xml:space="preserve">. </w:t>
      </w:r>
      <w:r w:rsidRPr="00231133">
        <w:rPr>
          <w:rStyle w:val="cit"/>
          <w:color w:val="000000" w:themeColor="text1"/>
        </w:rPr>
        <w:t xml:space="preserve">2014 Feb;24(2):247-51. </w:t>
      </w:r>
      <w:r w:rsidRPr="00231133">
        <w:rPr>
          <w:rStyle w:val="citation-doi"/>
          <w:color w:val="000000" w:themeColor="text1"/>
        </w:rPr>
        <w:t xml:space="preserve">doi: 10.1097/IGC.0000000000000047. </w:t>
      </w:r>
    </w:p>
    <w:p w14:paraId="501B89D6" w14:textId="77777777" w:rsidR="002E3D64" w:rsidRPr="00231133" w:rsidRDefault="002E3D64" w:rsidP="00CE3A4A">
      <w:pPr>
        <w:tabs>
          <w:tab w:val="left" w:pos="2772"/>
        </w:tabs>
        <w:jc w:val="both"/>
        <w:rPr>
          <w:color w:val="000000" w:themeColor="text1"/>
        </w:rPr>
      </w:pPr>
      <w:r w:rsidRPr="00BB1CF6">
        <w:rPr>
          <w:color w:val="000000" w:themeColor="text1"/>
        </w:rPr>
        <w:t>15.</w:t>
      </w:r>
      <w:r w:rsidRPr="00231133">
        <w:rPr>
          <w:i/>
          <w:color w:val="000000" w:themeColor="text1"/>
        </w:rPr>
        <w:t>Vieira, Verónica M et al.</w:t>
      </w:r>
      <w:r w:rsidRPr="00231133">
        <w:rPr>
          <w:color w:val="000000" w:themeColor="text1"/>
          <w:shd w:val="clear" w:color="auto" w:fill="FFFFFF"/>
        </w:rPr>
        <w:t xml:space="preserve">Impact of community disadvantage and air pollution burden on geographic disparities of ovarian cancer survival in California // </w:t>
      </w:r>
      <w:r w:rsidRPr="00231133">
        <w:rPr>
          <w:iCs/>
          <w:color w:val="000000" w:themeColor="text1"/>
          <w:shd w:val="clear" w:color="auto" w:fill="FFFFFF"/>
        </w:rPr>
        <w:t>Environmental research. 2017. V</w:t>
      </w:r>
      <w:r w:rsidRPr="00231133">
        <w:rPr>
          <w:color w:val="000000" w:themeColor="text1"/>
        </w:rPr>
        <w:t xml:space="preserve">ol. 156. P. 388-393. </w:t>
      </w:r>
    </w:p>
    <w:p w14:paraId="4B83C842" w14:textId="77777777" w:rsidR="002E3D64" w:rsidRPr="00231133" w:rsidRDefault="002E3D64" w:rsidP="00CE3A4A">
      <w:pPr>
        <w:tabs>
          <w:tab w:val="left" w:pos="993"/>
        </w:tabs>
        <w:jc w:val="both"/>
        <w:rPr>
          <w:color w:val="000000" w:themeColor="text1"/>
        </w:rPr>
      </w:pPr>
      <w:r w:rsidRPr="00BB1CF6">
        <w:rPr>
          <w:color w:val="000000" w:themeColor="text1"/>
        </w:rPr>
        <w:t>16.</w:t>
      </w:r>
      <w:r w:rsidRPr="00231133">
        <w:rPr>
          <w:i/>
          <w:color w:val="000000" w:themeColor="text1"/>
        </w:rPr>
        <w:t>Yu Q, Zhang L, Hou K et. al.</w:t>
      </w:r>
      <w:r w:rsidRPr="00231133">
        <w:rPr>
          <w:color w:val="000000" w:themeColor="text1"/>
          <w:shd w:val="clear" w:color="auto" w:fill="FFFFFF"/>
        </w:rPr>
        <w:t xml:space="preserve">Relationship between Air Pollutant Exposure and Gynecologic Cancer Risk // International </w:t>
      </w:r>
      <w:r w:rsidRPr="00231133">
        <w:rPr>
          <w:color w:val="000000" w:themeColor="text1"/>
        </w:rPr>
        <w:t>Journal of Environmental  </w:t>
      </w:r>
      <w:r w:rsidRPr="00231133">
        <w:rPr>
          <w:iCs/>
          <w:color w:val="000000" w:themeColor="text1"/>
          <w:shd w:val="clear" w:color="auto" w:fill="FFFFFF"/>
        </w:rPr>
        <w:t>Research and Public Health.</w:t>
      </w:r>
      <w:r w:rsidRPr="00231133">
        <w:rPr>
          <w:color w:val="000000" w:themeColor="text1"/>
        </w:rPr>
        <w:t>2021. Vol. 18(10). P. 1-14.</w:t>
      </w:r>
    </w:p>
    <w:p w14:paraId="19A66CF0" w14:textId="77777777" w:rsidR="002E3D64" w:rsidRPr="00231133" w:rsidRDefault="002E3D64" w:rsidP="00CE3A4A">
      <w:pPr>
        <w:tabs>
          <w:tab w:val="left" w:pos="2772"/>
        </w:tabs>
        <w:jc w:val="both"/>
        <w:rPr>
          <w:color w:val="000000" w:themeColor="text1"/>
        </w:rPr>
      </w:pPr>
      <w:r w:rsidRPr="00BB1CF6">
        <w:rPr>
          <w:rStyle w:val="secondary-date"/>
          <w:color w:val="000000" w:themeColor="text1"/>
        </w:rPr>
        <w:t>17.</w:t>
      </w:r>
      <w:r w:rsidRPr="00231133">
        <w:rPr>
          <w:color w:val="000000" w:themeColor="text1"/>
        </w:rPr>
        <w:t xml:space="preserve"> Decree of the Government of the Russian Federation of 10.08.2015 No. 1074. A list of settlements located within the boundaries of radioactively contaminated areas following the </w:t>
      </w:r>
      <w:r w:rsidRPr="00231133">
        <w:rPr>
          <w:color w:val="000000" w:themeColor="text1"/>
        </w:rPr>
        <w:lastRenderedPageBreak/>
        <w:t xml:space="preserve">accident at the Chernobyl nuclear power plant. </w:t>
      </w:r>
      <w:r w:rsidRPr="00231133">
        <w:rPr>
          <w:bCs/>
          <w:color w:val="000000" w:themeColor="text1"/>
        </w:rPr>
        <w:t>(</w:t>
      </w:r>
      <w:r w:rsidRPr="00231133">
        <w:rPr>
          <w:color w:val="000000" w:themeColor="text1"/>
        </w:rPr>
        <w:t xml:space="preserve">in Russian) Available at: </w:t>
      </w:r>
      <w:hyperlink r:id="rId25" w:history="1">
        <w:r w:rsidRPr="0003025C">
          <w:rPr>
            <w:rStyle w:val="a5"/>
          </w:rPr>
          <w:t>http://legalacts.ru/doc/postanovlenie-pravitelstva-rf-ot-08102015-n-1074/</w:t>
        </w:r>
      </w:hyperlink>
    </w:p>
    <w:p w14:paraId="20ADE850" w14:textId="23789F5B" w:rsidR="002E691C" w:rsidRDefault="002E3D64" w:rsidP="00CE3A4A">
      <w:pPr>
        <w:tabs>
          <w:tab w:val="left" w:pos="2772"/>
        </w:tabs>
        <w:jc w:val="both"/>
        <w:rPr>
          <w:color w:val="000000" w:themeColor="text1"/>
        </w:rPr>
      </w:pPr>
      <w:r w:rsidRPr="00BB1CF6">
        <w:rPr>
          <w:bCs/>
          <w:color w:val="000000" w:themeColor="text1"/>
        </w:rPr>
        <w:t xml:space="preserve">18. </w:t>
      </w:r>
      <w:r w:rsidRPr="00231133">
        <w:rPr>
          <w:color w:val="000000" w:themeColor="text1"/>
        </w:rPr>
        <w:t>State Report "On the State and environmental protection of the Russian Federation in 2019". Moscow: Ministry of Natural Resources of Russia; Lomonosov Moscow State University, 2020.</w:t>
      </w:r>
      <w:r w:rsidR="006C0C2B">
        <w:rPr>
          <w:color w:val="000000" w:themeColor="text1"/>
        </w:rPr>
        <w:t xml:space="preserve"> </w:t>
      </w:r>
      <w:r w:rsidRPr="00231133">
        <w:rPr>
          <w:color w:val="000000" w:themeColor="text1"/>
        </w:rPr>
        <w:t>1000p.</w:t>
      </w:r>
      <w:r w:rsidRPr="00231133">
        <w:rPr>
          <w:bCs/>
          <w:color w:val="000000" w:themeColor="text1"/>
        </w:rPr>
        <w:t xml:space="preserve"> (</w:t>
      </w:r>
      <w:r w:rsidRPr="00231133">
        <w:rPr>
          <w:color w:val="000000" w:themeColor="text1"/>
        </w:rPr>
        <w:t>in Russian).</w:t>
      </w:r>
    </w:p>
    <w:p w14:paraId="00318618" w14:textId="097C0C37" w:rsidR="00D21891" w:rsidRPr="00D21891" w:rsidRDefault="00D21891" w:rsidP="00CE3A4A">
      <w:pPr>
        <w:tabs>
          <w:tab w:val="left" w:pos="2772"/>
        </w:tabs>
        <w:jc w:val="both"/>
        <w:rPr>
          <w:bCs/>
          <w:lang w:eastAsia="ru-RU"/>
        </w:rPr>
      </w:pPr>
      <w:r w:rsidRPr="00D21891">
        <w:rPr>
          <w:lang w:eastAsia="ru-RU"/>
        </w:rPr>
        <w:t>19. Primary morbidity of the female population with malignant neoplasms of the ovaries for 2000-2019. Materials of the Bryansk regional Oncological dispensary. Bryansk, 2021. (in Russian).</w:t>
      </w:r>
    </w:p>
    <w:p w14:paraId="34747162" w14:textId="3EEFBA70" w:rsidR="00ED12B1" w:rsidRPr="005E386E" w:rsidRDefault="00D21891" w:rsidP="00CE3A4A">
      <w:pPr>
        <w:tabs>
          <w:tab w:val="left" w:pos="2772"/>
        </w:tabs>
        <w:jc w:val="both"/>
        <w:rPr>
          <w:b/>
          <w:lang w:val="ru-RU"/>
        </w:rPr>
      </w:pPr>
      <w:r>
        <w:rPr>
          <w:bCs/>
          <w:lang w:eastAsia="ru-RU"/>
        </w:rPr>
        <w:t>20</w:t>
      </w:r>
      <w:r w:rsidR="002E691C" w:rsidRPr="002E691C">
        <w:rPr>
          <w:bCs/>
          <w:lang w:eastAsia="ru-RU"/>
        </w:rPr>
        <w:t xml:space="preserve">. </w:t>
      </w:r>
      <w:r w:rsidR="002E691C" w:rsidRPr="002E691C">
        <w:rPr>
          <w:i/>
          <w:iCs/>
          <w:lang w:eastAsia="ru-RU"/>
        </w:rPr>
        <w:t>Trapeznikova L.N.,</w:t>
      </w:r>
      <w:r w:rsidR="002E691C" w:rsidRPr="002E691C">
        <w:rPr>
          <w:lang w:eastAsia="ru-RU"/>
        </w:rPr>
        <w:t xml:space="preserve"> 2020. Doses for the population of the Bryansk region from various sources of ionizing radiation in 2019 (information guide). Bryansk</w:t>
      </w:r>
      <w:r w:rsidR="002E691C" w:rsidRPr="005E386E">
        <w:rPr>
          <w:lang w:val="ru-RU" w:eastAsia="ru-RU"/>
        </w:rPr>
        <w:t xml:space="preserve"> (</w:t>
      </w:r>
      <w:r w:rsidR="002E691C" w:rsidRPr="002E691C">
        <w:rPr>
          <w:lang w:eastAsia="ru-RU"/>
        </w:rPr>
        <w:t>in</w:t>
      </w:r>
      <w:r w:rsidR="002E691C" w:rsidRPr="005E386E">
        <w:rPr>
          <w:lang w:val="ru-RU" w:eastAsia="ru-RU"/>
        </w:rPr>
        <w:t xml:space="preserve"> </w:t>
      </w:r>
      <w:r w:rsidR="002E691C" w:rsidRPr="002E691C">
        <w:rPr>
          <w:lang w:eastAsia="ru-RU"/>
        </w:rPr>
        <w:t>Russian</w:t>
      </w:r>
      <w:r w:rsidR="002E691C" w:rsidRPr="005E386E">
        <w:rPr>
          <w:lang w:val="ru-RU" w:eastAsia="ru-RU"/>
        </w:rPr>
        <w:t>).</w:t>
      </w:r>
    </w:p>
    <w:p w14:paraId="722E879A" w14:textId="42AF0C7E" w:rsidR="00803F23" w:rsidRPr="005E386E" w:rsidRDefault="00803F23">
      <w:pPr>
        <w:rPr>
          <w:lang w:val="ru-RU"/>
        </w:rPr>
      </w:pPr>
    </w:p>
    <w:p w14:paraId="7A8256C1" w14:textId="77777777" w:rsidR="005C5AB3" w:rsidRPr="00A329D2" w:rsidRDefault="005C5AB3" w:rsidP="005C5AB3">
      <w:pPr>
        <w:tabs>
          <w:tab w:val="left" w:pos="2772"/>
        </w:tabs>
        <w:spacing w:line="300" w:lineRule="exact"/>
        <w:ind w:firstLine="567"/>
        <w:jc w:val="center"/>
        <w:rPr>
          <w:b/>
          <w:bCs/>
          <w:iCs/>
          <w:lang w:val="ru-RU"/>
        </w:rPr>
      </w:pPr>
      <w:r w:rsidRPr="00A329D2">
        <w:rPr>
          <w:b/>
          <w:bCs/>
          <w:iCs/>
          <w:lang w:val="ru-RU"/>
        </w:rPr>
        <w:t>ИССЛЕДОВАНИЕ ЗАБОЛЕВАЕМОСТИ ЗЛОКАЧЕСТВЕННЫМИ НОВООБРАЗОВАНИЯМИ ЯИЧНИКОВ У ЖЕНЩИН В ЗАВИСИМОСТИ ОТ ЭКОЛОГИЧЕСКИХ УСЛОВИЙ ПРОЖИВАНИЯ</w:t>
      </w:r>
    </w:p>
    <w:p w14:paraId="75472285" w14:textId="1F1CFA4F" w:rsidR="005C5AB3" w:rsidRDefault="005C5AB3" w:rsidP="005C5AB3">
      <w:pPr>
        <w:tabs>
          <w:tab w:val="left" w:pos="2772"/>
        </w:tabs>
        <w:spacing w:line="300" w:lineRule="exact"/>
        <w:ind w:firstLine="567"/>
        <w:jc w:val="center"/>
        <w:rPr>
          <w:iCs/>
          <w:lang w:val="ru-RU"/>
        </w:rPr>
      </w:pPr>
      <w:r w:rsidRPr="00B22DA6">
        <w:rPr>
          <w:iCs/>
          <w:u w:val="single"/>
          <w:lang w:val="ru-RU"/>
        </w:rPr>
        <w:t>А.А. Головлева</w:t>
      </w:r>
      <w:r>
        <w:rPr>
          <w:i/>
          <w:vertAlign w:val="superscript"/>
          <w:lang w:val="ru-RU"/>
        </w:rPr>
        <w:t>1</w:t>
      </w:r>
      <w:r>
        <w:rPr>
          <w:iCs/>
          <w:lang w:val="ru-RU"/>
        </w:rPr>
        <w:t>, А.В. Корсаков</w:t>
      </w:r>
      <w:r>
        <w:rPr>
          <w:i/>
          <w:vertAlign w:val="superscript"/>
          <w:lang w:val="ru-RU"/>
        </w:rPr>
        <w:t>1</w:t>
      </w:r>
      <w:r>
        <w:rPr>
          <w:iCs/>
          <w:lang w:val="ru-RU"/>
        </w:rPr>
        <w:t>, В.П. Трошин</w:t>
      </w:r>
      <w:r>
        <w:rPr>
          <w:i/>
          <w:vertAlign w:val="superscript"/>
          <w:lang w:val="ru-RU"/>
        </w:rPr>
        <w:t>1</w:t>
      </w:r>
      <w:r>
        <w:rPr>
          <w:iCs/>
          <w:lang w:val="ru-RU"/>
        </w:rPr>
        <w:t>, Д.Г. Лагерев</w:t>
      </w:r>
      <w:r>
        <w:rPr>
          <w:i/>
          <w:vertAlign w:val="superscript"/>
          <w:lang w:val="ru-RU"/>
        </w:rPr>
        <w:t>1</w:t>
      </w:r>
      <w:r>
        <w:rPr>
          <w:iCs/>
          <w:lang w:val="ru-RU"/>
        </w:rPr>
        <w:t>, Л.И. Пугач</w:t>
      </w:r>
      <w:r>
        <w:rPr>
          <w:i/>
          <w:vertAlign w:val="superscript"/>
          <w:lang w:val="ru-RU"/>
        </w:rPr>
        <w:t>1</w:t>
      </w:r>
    </w:p>
    <w:p w14:paraId="4504449F" w14:textId="77777777" w:rsidR="005C5AB3" w:rsidRPr="00DE7B74" w:rsidRDefault="005C5AB3" w:rsidP="005C5AB3">
      <w:pPr>
        <w:tabs>
          <w:tab w:val="right" w:pos="9921"/>
        </w:tabs>
        <w:spacing w:line="300" w:lineRule="exact"/>
        <w:jc w:val="center"/>
        <w:rPr>
          <w:lang w:val="ru-RU"/>
        </w:rPr>
      </w:pPr>
      <w:r>
        <w:rPr>
          <w:i/>
          <w:vertAlign w:val="superscript"/>
          <w:lang w:val="ru-RU"/>
        </w:rPr>
        <w:t>1</w:t>
      </w:r>
      <w:r w:rsidRPr="006B20BF">
        <w:rPr>
          <w:lang w:val="ru-RU"/>
        </w:rPr>
        <w:t>ФГБОУ ВО</w:t>
      </w:r>
      <w:r w:rsidRPr="006B20BF">
        <w:rPr>
          <w:i/>
          <w:lang w:val="ru-RU"/>
        </w:rPr>
        <w:t xml:space="preserve"> </w:t>
      </w:r>
      <w:r w:rsidRPr="006B20BF">
        <w:rPr>
          <w:lang w:val="ru-RU"/>
        </w:rPr>
        <w:t>«Брянский государственный технический университет»</w:t>
      </w:r>
      <w:r>
        <w:rPr>
          <w:lang w:val="ru-RU"/>
        </w:rPr>
        <w:t>, Брянск, Россия</w:t>
      </w:r>
    </w:p>
    <w:p w14:paraId="4FC96ECA" w14:textId="77777777" w:rsidR="005C5AB3" w:rsidRPr="006B20BF" w:rsidRDefault="005C5AB3" w:rsidP="005C5AB3">
      <w:pPr>
        <w:tabs>
          <w:tab w:val="right" w:pos="9921"/>
        </w:tabs>
        <w:spacing w:line="300" w:lineRule="exact"/>
        <w:jc w:val="center"/>
        <w:rPr>
          <w:i/>
          <w:lang w:val="ru-RU"/>
        </w:rPr>
      </w:pPr>
      <w:r w:rsidRPr="006B20BF">
        <w:rPr>
          <w:lang w:val="ru-RU"/>
        </w:rPr>
        <w:t>(НИЛ «Экология человека и анализ данных в техносфере»)</w:t>
      </w:r>
    </w:p>
    <w:p w14:paraId="7DAC0BDA" w14:textId="77777777" w:rsidR="005C5AB3" w:rsidRPr="00B22DA6" w:rsidRDefault="005C5AB3" w:rsidP="005C5AB3">
      <w:pPr>
        <w:spacing w:line="300" w:lineRule="exact"/>
        <w:jc w:val="both"/>
        <w:rPr>
          <w:b/>
          <w:lang w:val="ru-RU"/>
        </w:rPr>
      </w:pPr>
    </w:p>
    <w:p w14:paraId="4C4FAD8B" w14:textId="18A5AA05" w:rsidR="005C5AB3" w:rsidRDefault="005C5AB3" w:rsidP="005C5AB3">
      <w:pPr>
        <w:tabs>
          <w:tab w:val="left" w:pos="2772"/>
        </w:tabs>
        <w:spacing w:line="300" w:lineRule="exact"/>
        <w:ind w:firstLine="567"/>
        <w:jc w:val="both"/>
        <w:rPr>
          <w:iCs/>
          <w:lang w:val="ru-RU"/>
        </w:rPr>
      </w:pPr>
      <w:r w:rsidRPr="00A329D2">
        <w:rPr>
          <w:iCs/>
          <w:lang w:val="ru-RU"/>
        </w:rPr>
        <w:t>Нами использова</w:t>
      </w:r>
      <w:r>
        <w:rPr>
          <w:iCs/>
          <w:lang w:val="ru-RU"/>
        </w:rPr>
        <w:t>ны</w:t>
      </w:r>
      <w:r w:rsidRPr="00A329D2">
        <w:rPr>
          <w:iCs/>
          <w:lang w:val="ru-RU"/>
        </w:rPr>
        <w:t xml:space="preserve"> данные официальной государственной статистики за 2000–2020 гг. </w:t>
      </w:r>
      <w:r>
        <w:rPr>
          <w:iCs/>
          <w:lang w:val="ru-RU"/>
        </w:rPr>
        <w:t>д</w:t>
      </w:r>
      <w:r w:rsidRPr="00A329D2">
        <w:rPr>
          <w:iCs/>
          <w:lang w:val="ru-RU"/>
        </w:rPr>
        <w:t xml:space="preserve">ля проверки гипотезы о влиянии </w:t>
      </w:r>
      <w:r>
        <w:rPr>
          <w:iCs/>
          <w:lang w:val="ru-RU"/>
        </w:rPr>
        <w:t xml:space="preserve">экологических </w:t>
      </w:r>
      <w:r w:rsidRPr="00A329D2">
        <w:rPr>
          <w:iCs/>
          <w:lang w:val="ru-RU"/>
        </w:rPr>
        <w:t xml:space="preserve">условий окружающей среды </w:t>
      </w:r>
      <w:r>
        <w:rPr>
          <w:iCs/>
          <w:lang w:val="ru-RU"/>
        </w:rPr>
        <w:t>–</w:t>
      </w:r>
      <w:r w:rsidRPr="00A329D2">
        <w:rPr>
          <w:iCs/>
          <w:lang w:val="ru-RU"/>
        </w:rPr>
        <w:t xml:space="preserve"> радиоактивных (после Чернобыльской катастрофы) и химических загрязнителей на заболеваемость злокачественными новообразованиями яичников у женского населения Брянской области. Для оценки частоты злокачественных новообразований яичников использовались различные статистические подходы, включая тест Шапиро-Уилка, </w:t>
      </w:r>
      <w:r w:rsidRPr="00A329D2">
        <w:rPr>
          <w:iCs/>
        </w:rPr>
        <w:t>U</w:t>
      </w:r>
      <w:r w:rsidRPr="00A329D2">
        <w:rPr>
          <w:iCs/>
          <w:lang w:val="ru-RU"/>
        </w:rPr>
        <w:t xml:space="preserve">-критерий Манна-Уитни, тест ранговой корреляции Спирмена и линейную регрессию. </w:t>
      </w:r>
      <w:r>
        <w:rPr>
          <w:iCs/>
          <w:lang w:val="ru-RU"/>
        </w:rPr>
        <w:t>Н</w:t>
      </w:r>
      <w:r w:rsidRPr="00A329D2">
        <w:rPr>
          <w:iCs/>
          <w:lang w:val="ru-RU"/>
        </w:rPr>
        <w:t>е установ</w:t>
      </w:r>
      <w:r>
        <w:rPr>
          <w:iCs/>
          <w:lang w:val="ru-RU"/>
        </w:rPr>
        <w:t xml:space="preserve">лено </w:t>
      </w:r>
      <w:r w:rsidRPr="00A329D2">
        <w:rPr>
          <w:iCs/>
          <w:lang w:val="ru-RU"/>
        </w:rPr>
        <w:t>статистически значимых различий в частоте первичной заболеваемости женщин злокачественными новообразованиями яичников вне зависимости от экологических условий проживания.</w:t>
      </w:r>
      <w:r w:rsidR="00BA1E20" w:rsidRPr="00BA1E20">
        <w:rPr>
          <w:iCs/>
          <w:lang w:val="ru-RU"/>
        </w:rPr>
        <w:t xml:space="preserve"> </w:t>
      </w:r>
      <w:r w:rsidRPr="00A329D2">
        <w:rPr>
          <w:iCs/>
          <w:lang w:val="ru-RU"/>
        </w:rPr>
        <w:t>Прогноз частоты впервые выявленных злокачественных новообразований яичников в среднем по Брянской области показывает рост на 12,4% в 2020 году по сравнению с реальными данными на 2020 год, при этом наибольший рост прогнозируемых значений зафиксирован на территориях радиоактивн</w:t>
      </w:r>
      <w:r>
        <w:rPr>
          <w:iCs/>
          <w:lang w:val="ru-RU"/>
        </w:rPr>
        <w:t xml:space="preserve">ого </w:t>
      </w:r>
      <w:r w:rsidRPr="00A329D2">
        <w:rPr>
          <w:iCs/>
          <w:lang w:val="ru-RU"/>
        </w:rPr>
        <w:t>загрязнени</w:t>
      </w:r>
      <w:r>
        <w:rPr>
          <w:iCs/>
          <w:lang w:val="ru-RU"/>
        </w:rPr>
        <w:t>я</w:t>
      </w:r>
      <w:r w:rsidRPr="00A329D2">
        <w:rPr>
          <w:iCs/>
          <w:lang w:val="ru-RU"/>
        </w:rPr>
        <w:t xml:space="preserve"> (на 79,6%), </w:t>
      </w:r>
      <w:r>
        <w:rPr>
          <w:iCs/>
          <w:lang w:val="ru-RU"/>
        </w:rPr>
        <w:t>а наименьший –</w:t>
      </w:r>
      <w:r w:rsidRPr="00A329D2">
        <w:rPr>
          <w:iCs/>
          <w:lang w:val="ru-RU"/>
        </w:rPr>
        <w:t xml:space="preserve"> на территориях </w:t>
      </w:r>
      <w:r>
        <w:rPr>
          <w:iCs/>
          <w:lang w:val="ru-RU"/>
        </w:rPr>
        <w:t xml:space="preserve">сочетанного загрязнения </w:t>
      </w:r>
      <w:r w:rsidRPr="00A329D2">
        <w:rPr>
          <w:iCs/>
          <w:lang w:val="ru-RU"/>
        </w:rPr>
        <w:t>(на 6,9%).</w:t>
      </w:r>
    </w:p>
    <w:p w14:paraId="27C1975F" w14:textId="77777777" w:rsidR="005C5AB3" w:rsidRPr="00B22DA6" w:rsidRDefault="005C5AB3" w:rsidP="005C5AB3">
      <w:pPr>
        <w:tabs>
          <w:tab w:val="left" w:pos="2772"/>
        </w:tabs>
        <w:spacing w:line="300" w:lineRule="exact"/>
        <w:ind w:firstLine="567"/>
        <w:jc w:val="both"/>
        <w:rPr>
          <w:iCs/>
          <w:lang w:val="ru-RU"/>
        </w:rPr>
      </w:pPr>
      <w:r w:rsidRPr="00B22DA6">
        <w:rPr>
          <w:bCs/>
          <w:lang w:val="ru-RU"/>
        </w:rPr>
        <w:t>Для корреспонденции:</w:t>
      </w:r>
      <w:r>
        <w:rPr>
          <w:bCs/>
          <w:lang w:val="ru-RU"/>
        </w:rPr>
        <w:t xml:space="preserve"> Александра Андреевна Головлева</w:t>
      </w:r>
      <w:r w:rsidRPr="00B22DA6">
        <w:rPr>
          <w:bCs/>
          <w:lang w:val="ru-RU"/>
        </w:rPr>
        <w:t xml:space="preserve"> </w:t>
      </w:r>
      <w:hyperlink r:id="rId26" w:history="1">
        <w:r w:rsidRPr="002476BB">
          <w:rPr>
            <w:rStyle w:val="a5"/>
          </w:rPr>
          <w:t>aleksgolovleva</w:t>
        </w:r>
        <w:r w:rsidRPr="002476BB">
          <w:rPr>
            <w:rStyle w:val="a5"/>
            <w:lang w:val="ru-RU"/>
          </w:rPr>
          <w:t>@</w:t>
        </w:r>
        <w:r w:rsidRPr="002476BB">
          <w:rPr>
            <w:rStyle w:val="a5"/>
          </w:rPr>
          <w:t>yandex</w:t>
        </w:r>
        <w:r w:rsidRPr="002476BB">
          <w:rPr>
            <w:rStyle w:val="a5"/>
            <w:lang w:val="ru-RU"/>
          </w:rPr>
          <w:t>.</w:t>
        </w:r>
        <w:r w:rsidRPr="002476BB">
          <w:rPr>
            <w:rStyle w:val="a5"/>
          </w:rPr>
          <w:t>ru</w:t>
        </w:r>
      </w:hyperlink>
      <w:r w:rsidRPr="00B22DA6">
        <w:rPr>
          <w:lang w:val="ru-RU"/>
        </w:rPr>
        <w:t xml:space="preserve"> </w:t>
      </w:r>
    </w:p>
    <w:p w14:paraId="507F0601" w14:textId="77777777" w:rsidR="005C5AB3" w:rsidRPr="005C5AB3" w:rsidRDefault="005C5AB3">
      <w:pPr>
        <w:rPr>
          <w:lang w:val="ru-RU"/>
        </w:rPr>
      </w:pPr>
    </w:p>
    <w:sectPr w:rsidR="005C5AB3" w:rsidRPr="005C5AB3" w:rsidSect="004D32DC">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D0731" w14:textId="77777777" w:rsidR="00560B3A" w:rsidRDefault="00560B3A" w:rsidP="009D3AE9">
      <w:r>
        <w:separator/>
      </w:r>
    </w:p>
  </w:endnote>
  <w:endnote w:type="continuationSeparator" w:id="0">
    <w:p w14:paraId="6E9188D7" w14:textId="77777777" w:rsidR="00560B3A" w:rsidRDefault="00560B3A" w:rsidP="009D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dvTTe692faf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133901"/>
      <w:docPartObj>
        <w:docPartGallery w:val="Page Numbers (Bottom of Page)"/>
        <w:docPartUnique/>
      </w:docPartObj>
    </w:sdtPr>
    <w:sdtEndPr/>
    <w:sdtContent>
      <w:p w14:paraId="718D4588" w14:textId="433C4505" w:rsidR="00D21891" w:rsidRDefault="00D21891">
        <w:pPr>
          <w:pStyle w:val="a8"/>
          <w:jc w:val="right"/>
        </w:pPr>
        <w:r>
          <w:fldChar w:fldCharType="begin"/>
        </w:r>
        <w:r>
          <w:instrText>PAGE   \* MERGEFORMAT</w:instrText>
        </w:r>
        <w:r>
          <w:fldChar w:fldCharType="separate"/>
        </w:r>
        <w:r w:rsidR="005E386E" w:rsidRPr="005E386E">
          <w:rPr>
            <w:noProof/>
            <w:lang w:val="ru-RU"/>
          </w:rPr>
          <w:t>1</w:t>
        </w:r>
        <w:r>
          <w:rPr>
            <w:noProof/>
            <w:lang w:val="ru-RU"/>
          </w:rPr>
          <w:fldChar w:fldCharType="end"/>
        </w:r>
      </w:p>
    </w:sdtContent>
  </w:sdt>
  <w:p w14:paraId="53B15456" w14:textId="77777777" w:rsidR="00D21891" w:rsidRDefault="00D218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9DBD3" w14:textId="77777777" w:rsidR="00560B3A" w:rsidRDefault="00560B3A" w:rsidP="009D3AE9">
      <w:r>
        <w:separator/>
      </w:r>
    </w:p>
  </w:footnote>
  <w:footnote w:type="continuationSeparator" w:id="0">
    <w:p w14:paraId="5AEC0DE4" w14:textId="77777777" w:rsidR="00560B3A" w:rsidRDefault="00560B3A" w:rsidP="009D3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796"/>
    <w:rsid w:val="00013557"/>
    <w:rsid w:val="00015302"/>
    <w:rsid w:val="000407B2"/>
    <w:rsid w:val="000775A9"/>
    <w:rsid w:val="000C4C0F"/>
    <w:rsid w:val="00182507"/>
    <w:rsid w:val="00186505"/>
    <w:rsid w:val="001C6E8B"/>
    <w:rsid w:val="001D1CEC"/>
    <w:rsid w:val="001E5FEA"/>
    <w:rsid w:val="001F6634"/>
    <w:rsid w:val="00200E73"/>
    <w:rsid w:val="00216806"/>
    <w:rsid w:val="0022490D"/>
    <w:rsid w:val="00244ED6"/>
    <w:rsid w:val="00245195"/>
    <w:rsid w:val="002861ED"/>
    <w:rsid w:val="002C4C17"/>
    <w:rsid w:val="002E3D64"/>
    <w:rsid w:val="002E691C"/>
    <w:rsid w:val="002F2865"/>
    <w:rsid w:val="002F3A88"/>
    <w:rsid w:val="00326D4C"/>
    <w:rsid w:val="003757AA"/>
    <w:rsid w:val="00376353"/>
    <w:rsid w:val="0038013A"/>
    <w:rsid w:val="004073A2"/>
    <w:rsid w:val="00413E89"/>
    <w:rsid w:val="0046079C"/>
    <w:rsid w:val="004666A2"/>
    <w:rsid w:val="004D32DC"/>
    <w:rsid w:val="00517EDA"/>
    <w:rsid w:val="00560B3A"/>
    <w:rsid w:val="00566A47"/>
    <w:rsid w:val="00585107"/>
    <w:rsid w:val="005A57A5"/>
    <w:rsid w:val="005B42B2"/>
    <w:rsid w:val="005C5AB3"/>
    <w:rsid w:val="005D1F80"/>
    <w:rsid w:val="005E386E"/>
    <w:rsid w:val="006A2234"/>
    <w:rsid w:val="006A5A31"/>
    <w:rsid w:val="006B20BF"/>
    <w:rsid w:val="006C0C2B"/>
    <w:rsid w:val="006C56D2"/>
    <w:rsid w:val="00705A98"/>
    <w:rsid w:val="00724D00"/>
    <w:rsid w:val="00803F23"/>
    <w:rsid w:val="0081367A"/>
    <w:rsid w:val="008438E4"/>
    <w:rsid w:val="00844568"/>
    <w:rsid w:val="008A75CF"/>
    <w:rsid w:val="008D2616"/>
    <w:rsid w:val="00923D53"/>
    <w:rsid w:val="00972E5C"/>
    <w:rsid w:val="009B489B"/>
    <w:rsid w:val="009B7711"/>
    <w:rsid w:val="009C0572"/>
    <w:rsid w:val="009C4E2D"/>
    <w:rsid w:val="009D3AE9"/>
    <w:rsid w:val="00A13B49"/>
    <w:rsid w:val="00A24E86"/>
    <w:rsid w:val="00A329D2"/>
    <w:rsid w:val="00A81D33"/>
    <w:rsid w:val="00AB69E0"/>
    <w:rsid w:val="00AE7529"/>
    <w:rsid w:val="00B22DA6"/>
    <w:rsid w:val="00B41EEE"/>
    <w:rsid w:val="00B65951"/>
    <w:rsid w:val="00BA1E20"/>
    <w:rsid w:val="00C043BE"/>
    <w:rsid w:val="00C96C78"/>
    <w:rsid w:val="00CE3A4A"/>
    <w:rsid w:val="00D14C4E"/>
    <w:rsid w:val="00D21891"/>
    <w:rsid w:val="00D65850"/>
    <w:rsid w:val="00D67E42"/>
    <w:rsid w:val="00D76187"/>
    <w:rsid w:val="00D7651B"/>
    <w:rsid w:val="00D77FCF"/>
    <w:rsid w:val="00D807CC"/>
    <w:rsid w:val="00DC74D5"/>
    <w:rsid w:val="00DC7796"/>
    <w:rsid w:val="00DE7B74"/>
    <w:rsid w:val="00E73B56"/>
    <w:rsid w:val="00ED12B1"/>
    <w:rsid w:val="00F0285A"/>
    <w:rsid w:val="00F662A8"/>
    <w:rsid w:val="00F8624B"/>
    <w:rsid w:val="00F97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1330"/>
  <w15:docId w15:val="{45603208-AD0C-4B7D-94B0-FB8F2E0D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2B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ямой"/>
    <w:rsid w:val="00D807CC"/>
  </w:style>
  <w:style w:type="character" w:customStyle="1" w:styleId="extended-textshort">
    <w:name w:val="extended-text__short"/>
    <w:basedOn w:val="a0"/>
    <w:rsid w:val="00D807CC"/>
  </w:style>
  <w:style w:type="character" w:customStyle="1" w:styleId="jlqj4b">
    <w:name w:val="jlqj4b"/>
    <w:basedOn w:val="a0"/>
    <w:rsid w:val="00D807CC"/>
  </w:style>
  <w:style w:type="paragraph" w:styleId="a4">
    <w:name w:val="Normal (Web)"/>
    <w:basedOn w:val="a"/>
    <w:rsid w:val="00D65850"/>
    <w:rPr>
      <w:lang w:val="ru-RU" w:eastAsia="ru-RU"/>
    </w:rPr>
  </w:style>
  <w:style w:type="character" w:styleId="a5">
    <w:name w:val="Hyperlink"/>
    <w:uiPriority w:val="99"/>
    <w:rsid w:val="002E3D64"/>
    <w:rPr>
      <w:color w:val="0000FF"/>
      <w:u w:val="single"/>
    </w:rPr>
  </w:style>
  <w:style w:type="character" w:customStyle="1" w:styleId="cit">
    <w:name w:val="cit"/>
    <w:basedOn w:val="a0"/>
    <w:rsid w:val="002E3D64"/>
  </w:style>
  <w:style w:type="character" w:customStyle="1" w:styleId="authors-list-item">
    <w:name w:val="authors-list-item"/>
    <w:basedOn w:val="a0"/>
    <w:rsid w:val="002E3D64"/>
  </w:style>
  <w:style w:type="character" w:customStyle="1" w:styleId="author-sup-separator">
    <w:name w:val="author-sup-separator"/>
    <w:basedOn w:val="a0"/>
    <w:rsid w:val="002E3D64"/>
  </w:style>
  <w:style w:type="character" w:customStyle="1" w:styleId="comma">
    <w:name w:val="comma"/>
    <w:basedOn w:val="a0"/>
    <w:rsid w:val="002E3D64"/>
  </w:style>
  <w:style w:type="character" w:customStyle="1" w:styleId="wmi-callto">
    <w:name w:val="wmi-callto"/>
    <w:basedOn w:val="a0"/>
    <w:rsid w:val="002E3D64"/>
  </w:style>
  <w:style w:type="character" w:customStyle="1" w:styleId="citation-doi">
    <w:name w:val="citation-doi"/>
    <w:basedOn w:val="a0"/>
    <w:rsid w:val="002E3D64"/>
  </w:style>
  <w:style w:type="character" w:customStyle="1" w:styleId="secondary-date">
    <w:name w:val="secondary-date"/>
    <w:basedOn w:val="a0"/>
    <w:rsid w:val="002E3D64"/>
  </w:style>
  <w:style w:type="character" w:customStyle="1" w:styleId="period">
    <w:name w:val="period"/>
    <w:basedOn w:val="a0"/>
    <w:rsid w:val="002E3D64"/>
  </w:style>
  <w:style w:type="paragraph" w:styleId="a6">
    <w:name w:val="header"/>
    <w:basedOn w:val="a"/>
    <w:link w:val="a7"/>
    <w:uiPriority w:val="99"/>
    <w:unhideWhenUsed/>
    <w:rsid w:val="009D3AE9"/>
    <w:pPr>
      <w:tabs>
        <w:tab w:val="center" w:pos="4677"/>
        <w:tab w:val="right" w:pos="9355"/>
      </w:tabs>
    </w:pPr>
  </w:style>
  <w:style w:type="character" w:customStyle="1" w:styleId="a7">
    <w:name w:val="Верхний колонтитул Знак"/>
    <w:basedOn w:val="a0"/>
    <w:link w:val="a6"/>
    <w:uiPriority w:val="99"/>
    <w:rsid w:val="009D3AE9"/>
    <w:rPr>
      <w:rFonts w:ascii="Times New Roman" w:eastAsia="Times New Roman" w:hAnsi="Times New Roman" w:cs="Times New Roman"/>
      <w:sz w:val="24"/>
      <w:szCs w:val="24"/>
      <w:lang w:val="en-US"/>
    </w:rPr>
  </w:style>
  <w:style w:type="paragraph" w:styleId="a8">
    <w:name w:val="footer"/>
    <w:basedOn w:val="a"/>
    <w:link w:val="a9"/>
    <w:uiPriority w:val="99"/>
    <w:unhideWhenUsed/>
    <w:rsid w:val="009D3AE9"/>
    <w:pPr>
      <w:tabs>
        <w:tab w:val="center" w:pos="4677"/>
        <w:tab w:val="right" w:pos="9355"/>
      </w:tabs>
    </w:pPr>
  </w:style>
  <w:style w:type="character" w:customStyle="1" w:styleId="a9">
    <w:name w:val="Нижний колонтитул Знак"/>
    <w:basedOn w:val="a0"/>
    <w:link w:val="a8"/>
    <w:uiPriority w:val="99"/>
    <w:rsid w:val="009D3AE9"/>
    <w:rPr>
      <w:rFonts w:ascii="Times New Roman" w:eastAsia="Times New Roman" w:hAnsi="Times New Roman" w:cs="Times New Roman"/>
      <w:sz w:val="24"/>
      <w:szCs w:val="24"/>
      <w:lang w:val="en-US"/>
    </w:rPr>
  </w:style>
  <w:style w:type="paragraph" w:customStyle="1" w:styleId="MDPI31text">
    <w:name w:val="MDPI_3.1_text"/>
    <w:qFormat/>
    <w:rsid w:val="002E691C"/>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styleId="aa">
    <w:name w:val="Balloon Text"/>
    <w:basedOn w:val="a"/>
    <w:link w:val="ab"/>
    <w:uiPriority w:val="99"/>
    <w:semiHidden/>
    <w:unhideWhenUsed/>
    <w:rsid w:val="000775A9"/>
    <w:rPr>
      <w:rFonts w:ascii="Tahoma" w:hAnsi="Tahoma" w:cs="Tahoma"/>
      <w:sz w:val="16"/>
      <w:szCs w:val="16"/>
    </w:rPr>
  </w:style>
  <w:style w:type="character" w:customStyle="1" w:styleId="ab">
    <w:name w:val="Текст выноски Знак"/>
    <w:basedOn w:val="a0"/>
    <w:link w:val="aa"/>
    <w:uiPriority w:val="99"/>
    <w:semiHidden/>
    <w:rsid w:val="000775A9"/>
    <w:rPr>
      <w:rFonts w:ascii="Tahoma" w:eastAsia="Times New Roman" w:hAnsi="Tahoma" w:cs="Tahoma"/>
      <w:sz w:val="16"/>
      <w:szCs w:val="16"/>
      <w:lang w:val="en-US"/>
    </w:rPr>
  </w:style>
  <w:style w:type="character" w:customStyle="1" w:styleId="UnresolvedMention">
    <w:name w:val="Unresolved Mention"/>
    <w:basedOn w:val="a0"/>
    <w:uiPriority w:val="99"/>
    <w:semiHidden/>
    <w:unhideWhenUsed/>
    <w:rsid w:val="00B22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ubmed.ncbi.nlm.nih.gov/?term=Guenthoer+J&amp;cauthor_id=31628796" TargetMode="External"/><Relationship Id="rId18" Type="http://schemas.openxmlformats.org/officeDocument/2006/relationships/hyperlink" Target="https://pubmed.ncbi.nlm.nih.gov/?term=Zupunski+L&amp;cauthor_id=33064313" TargetMode="External"/><Relationship Id="rId26" Type="http://schemas.openxmlformats.org/officeDocument/2006/relationships/hyperlink" Target="mailto:aleksgolovleva@yandex.ru" TargetMode="External"/><Relationship Id="rId3" Type="http://schemas.openxmlformats.org/officeDocument/2006/relationships/settings" Target="settings.xml"/><Relationship Id="rId21" Type="http://schemas.openxmlformats.org/officeDocument/2006/relationships/hyperlink" Target="https://pubmed.ncbi.nlm.nih.gov/?term=Veyalkin+I&amp;cauthor_id=33064313" TargetMode="External"/><Relationship Id="rId7" Type="http://schemas.openxmlformats.org/officeDocument/2006/relationships/hyperlink" Target="mailto:aleksgolovleva@yandex.ru" TargetMode="External"/><Relationship Id="rId12" Type="http://schemas.openxmlformats.org/officeDocument/2006/relationships/hyperlink" Target="https://pubmed.ncbi.nlm.nih.gov/?term=Belukha+I&amp;cauthor_id=31628796" TargetMode="External"/><Relationship Id="rId17" Type="http://schemas.openxmlformats.org/officeDocument/2006/relationships/hyperlink" Target="https://www.yabloko.ru/files/chern_8_vsya_kniga_25_marta.pdf" TargetMode="External"/><Relationship Id="rId25" Type="http://schemas.openxmlformats.org/officeDocument/2006/relationships/hyperlink" Target="http://legalacts.ru/doc/postanovlenie-pravitelstva-rf-ot-08102015-n-1074/" TargetMode="External"/><Relationship Id="rId2" Type="http://schemas.openxmlformats.org/officeDocument/2006/relationships/styles" Target="styles.xml"/><Relationship Id="rId16" Type="http://schemas.openxmlformats.org/officeDocument/2006/relationships/hyperlink" Target="https://checklink.mail.ru/proxy?es=L7DOMIuXICs4j%2F68PkG9SiYK9pA%2Fk114TdqmyY3nJGw%3D&amp;egid=vqGcZiitloLcsWnjYQoD%2FaOe2Rpqhncu7PDC2lHawc8%3D&amp;url=https%3A%2F%2Fclick.mail.ru%2Fredir%3Fu%3Dhttp%253A%252F%252Fwww.wua-wien.at%252Fimages%252Fstories%252Fpublikationen%252Fstudie-the-other-tschernobyl-report.pdf%26c%3Dswm%26r%3Dhttp%26o%3Dmail%26v%3D2%26s%3Db42eb9a252f82b5d&amp;uidl=15804097220472074122&amp;from=korsakov_anton%40mail.ru&amp;to=" TargetMode="External"/><Relationship Id="rId20" Type="http://schemas.openxmlformats.org/officeDocument/2006/relationships/hyperlink" Target="https://pubmed.ncbi.nlm.nih.gov/?term=Ryzhov+A&amp;cauthor_id=330643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ubmed.ncbi.nlm.nih.gov/?term=Stepanenko+V&amp;cauthor_id=31628796" TargetMode="External"/><Relationship Id="rId24" Type="http://schemas.openxmlformats.org/officeDocument/2006/relationships/hyperlink" Target="https://pubmed.ncbi.nlm.nih.gov/?term=Sahmoun+AE&amp;cauthor_id=24407581" TargetMode="External"/><Relationship Id="rId5" Type="http://schemas.openxmlformats.org/officeDocument/2006/relationships/footnotes" Target="footnotes.xml"/><Relationship Id="rId15" Type="http://schemas.openxmlformats.org/officeDocument/2006/relationships/hyperlink" Target="https://doi.org/10.1093/ije/dyz214" TargetMode="External"/><Relationship Id="rId23" Type="http://schemas.openxmlformats.org/officeDocument/2006/relationships/hyperlink" Target="https://pubmed.ncbi.nlm.nih.gov/?term=Schwartz+GG&amp;cauthor_id=24407581" TargetMode="External"/><Relationship Id="rId28" Type="http://schemas.openxmlformats.org/officeDocument/2006/relationships/fontTable" Target="fontTable.xml"/><Relationship Id="rId10" Type="http://schemas.openxmlformats.org/officeDocument/2006/relationships/hyperlink" Target="https://pubmed.ncbi.nlm.nih.gov/?term=Rivkind+N&amp;cauthor_id=31628796" TargetMode="External"/><Relationship Id="rId19" Type="http://schemas.openxmlformats.org/officeDocument/2006/relationships/hyperlink" Target="https://pubmed.ncbi.nlm.nih.gov/?term=Yaumenenka+A&amp;cauthor_id=33064313" TargetMode="External"/><Relationship Id="rId4" Type="http://schemas.openxmlformats.org/officeDocument/2006/relationships/webSettings" Target="webSettings.xml"/><Relationship Id="rId9" Type="http://schemas.openxmlformats.org/officeDocument/2006/relationships/hyperlink" Target="http://dx.doi.org/10.1007/s10669-011-9381-2" TargetMode="External"/><Relationship Id="rId14" Type="http://schemas.openxmlformats.org/officeDocument/2006/relationships/hyperlink" Target="https://pubmed.ncbi.nlm.nih.gov/?term=Kopecky+KJ&amp;cauthor_id=31628796" TargetMode="External"/><Relationship Id="rId22" Type="http://schemas.openxmlformats.org/officeDocument/2006/relationships/hyperlink" Target="https://pubmed.ncbi.nlm.nih.gov/?term=Drozdovitch+V&amp;cauthor_id=33064313"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esktop\&#1056;&#1072;&#1089;&#1095;&#1077;&#1090;%20&#1079;&#1072;&#1073;&#1086;&#1083;&#1077;&#1074;&#1072;&#1077;&#1084;&#1086;&#1089;&#1090;&#1080;%20&#1047;&#1053;&#1071;%202000-20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204708198575939"/>
          <c:y val="3.5880272562307906E-2"/>
          <c:w val="0.8921032755366346"/>
          <c:h val="0.7642300322982698"/>
        </c:manualLayout>
      </c:layout>
      <c:lineChart>
        <c:grouping val="standard"/>
        <c:varyColors val="0"/>
        <c:ser>
          <c:idx val="0"/>
          <c:order val="0"/>
          <c:tx>
            <c:v>MNO</c:v>
          </c:tx>
          <c:spPr>
            <a:ln w="44450" cap="rnd">
              <a:solidFill>
                <a:schemeClr val="tx1"/>
              </a:solidFill>
              <a:round/>
            </a:ln>
            <a:effectLst/>
          </c:spPr>
          <c:marker>
            <c:symbol val="circle"/>
            <c:size val="10"/>
            <c:spPr>
              <a:solidFill>
                <a:schemeClr val="tx1"/>
              </a:solidFill>
              <a:ln w="38100">
                <a:solidFill>
                  <a:schemeClr val="tx1">
                    <a:alpha val="94000"/>
                  </a:schemeClr>
                </a:solidFill>
              </a:ln>
              <a:effectLst/>
            </c:spPr>
          </c:marker>
          <c:trendline>
            <c:spPr>
              <a:ln w="38100" cap="rnd">
                <a:noFill/>
                <a:prstDash val="sysDot"/>
              </a:ln>
              <a:effectLst/>
            </c:spPr>
            <c:trendlineType val="linear"/>
            <c:dispRSqr val="0"/>
            <c:dispEq val="0"/>
          </c:trendline>
          <c:cat>
            <c:strRef>
              <c:f>'[Расчет заболеваемости ЗНЯ 2000-2020.xlsx]Графики3'!$A$2:$A$9</c:f>
              <c:strCache>
                <c:ptCount val="8"/>
                <c:pt idx="0">
                  <c:v>2000-2002</c:v>
                </c:pt>
                <c:pt idx="1">
                  <c:v>2003-2005</c:v>
                </c:pt>
                <c:pt idx="2">
                  <c:v>2006-2008</c:v>
                </c:pt>
                <c:pt idx="3">
                  <c:v>2009-2011</c:v>
                </c:pt>
                <c:pt idx="4">
                  <c:v>2012-2014</c:v>
                </c:pt>
                <c:pt idx="5">
                  <c:v>2015-2017</c:v>
                </c:pt>
                <c:pt idx="6">
                  <c:v>2018-2019</c:v>
                </c:pt>
                <c:pt idx="7">
                  <c:v>2020</c:v>
                </c:pt>
              </c:strCache>
            </c:strRef>
          </c:cat>
          <c:val>
            <c:numRef>
              <c:f>'[Расчет заболеваемости ЗНЯ 2000-2020.xlsx]Графики3'!$D$2:$D$8</c:f>
              <c:numCache>
                <c:formatCode>General</c:formatCode>
                <c:ptCount val="7"/>
                <c:pt idx="0">
                  <c:v>19.7</c:v>
                </c:pt>
                <c:pt idx="1">
                  <c:v>15.5</c:v>
                </c:pt>
                <c:pt idx="2">
                  <c:v>18.899999999999999</c:v>
                </c:pt>
                <c:pt idx="3">
                  <c:v>25.7</c:v>
                </c:pt>
                <c:pt idx="4">
                  <c:v>26.7</c:v>
                </c:pt>
                <c:pt idx="5">
                  <c:v>27.5</c:v>
                </c:pt>
                <c:pt idx="6">
                  <c:v>26.3</c:v>
                </c:pt>
              </c:numCache>
            </c:numRef>
          </c:val>
          <c:smooth val="0"/>
          <c:extLst>
            <c:ext xmlns:c16="http://schemas.microsoft.com/office/drawing/2014/chart" uri="{C3380CC4-5D6E-409C-BE32-E72D297353CC}">
              <c16:uniqueId val="{00000001-EC82-4BF3-9AE3-01D6EF41C85F}"/>
            </c:ext>
          </c:extLst>
        </c:ser>
        <c:ser>
          <c:idx val="2"/>
          <c:order val="1"/>
          <c:tx>
            <c:v>Fact</c:v>
          </c:tx>
          <c:spPr>
            <a:ln>
              <a:solidFill>
                <a:schemeClr val="tx1"/>
              </a:solidFill>
            </a:ln>
          </c:spPr>
          <c:marker>
            <c:symbol val="diamond"/>
            <c:size val="17"/>
            <c:spPr>
              <a:solidFill>
                <a:schemeClr val="tx1"/>
              </a:solidFill>
              <a:ln w="47625">
                <a:solidFill>
                  <a:schemeClr val="tx1"/>
                </a:solidFill>
              </a:ln>
            </c:spPr>
          </c:marker>
          <c:cat>
            <c:strRef>
              <c:f>'[Расчет заболеваемости ЗНЯ 2000-2020.xlsx]Графики3'!$A$2:$A$9</c:f>
              <c:strCache>
                <c:ptCount val="8"/>
                <c:pt idx="0">
                  <c:v>2000-2002</c:v>
                </c:pt>
                <c:pt idx="1">
                  <c:v>2003-2005</c:v>
                </c:pt>
                <c:pt idx="2">
                  <c:v>2006-2008</c:v>
                </c:pt>
                <c:pt idx="3">
                  <c:v>2009-2011</c:v>
                </c:pt>
                <c:pt idx="4">
                  <c:v>2012-2014</c:v>
                </c:pt>
                <c:pt idx="5">
                  <c:v>2015-2017</c:v>
                </c:pt>
                <c:pt idx="6">
                  <c:v>2018-2019</c:v>
                </c:pt>
                <c:pt idx="7">
                  <c:v>2020</c:v>
                </c:pt>
              </c:strCache>
            </c:strRef>
          </c:cat>
          <c:val>
            <c:numRef>
              <c:f>'[Расчет заболеваемости ЗНЯ 2000-2020.xlsx]Графики3'!$L$2:$L$9</c:f>
              <c:numCache>
                <c:formatCode>General</c:formatCode>
                <c:ptCount val="8"/>
                <c:pt idx="7">
                  <c:v>27</c:v>
                </c:pt>
              </c:numCache>
            </c:numRef>
          </c:val>
          <c:smooth val="0"/>
          <c:extLst>
            <c:ext xmlns:c16="http://schemas.microsoft.com/office/drawing/2014/chart" uri="{C3380CC4-5D6E-409C-BE32-E72D297353CC}">
              <c16:uniqueId val="{00000002-EC82-4BF3-9AE3-01D6EF41C85F}"/>
            </c:ext>
          </c:extLst>
        </c:ser>
        <c:ser>
          <c:idx val="1"/>
          <c:order val="2"/>
          <c:tx>
            <c:v>Trend</c:v>
          </c:tx>
          <c:spPr>
            <a:ln w="38100">
              <a:solidFill>
                <a:schemeClr val="tx1"/>
              </a:solidFill>
              <a:prstDash val="sysDash"/>
            </a:ln>
          </c:spPr>
          <c:marker>
            <c:symbol val="square"/>
            <c:size val="13"/>
            <c:spPr>
              <a:solidFill>
                <a:schemeClr val="tx1"/>
              </a:solidFill>
              <a:ln w="34925">
                <a:solidFill>
                  <a:schemeClr val="tx1"/>
                </a:solidFill>
              </a:ln>
            </c:spPr>
          </c:marker>
          <c:cat>
            <c:strRef>
              <c:f>'[Расчет заболеваемости ЗНЯ 2000-2020.xlsx]Графики3'!$A$2:$A$9</c:f>
              <c:strCache>
                <c:ptCount val="8"/>
                <c:pt idx="0">
                  <c:v>2000-2002</c:v>
                </c:pt>
                <c:pt idx="1">
                  <c:v>2003-2005</c:v>
                </c:pt>
                <c:pt idx="2">
                  <c:v>2006-2008</c:v>
                </c:pt>
                <c:pt idx="3">
                  <c:v>2009-2011</c:v>
                </c:pt>
                <c:pt idx="4">
                  <c:v>2012-2014</c:v>
                </c:pt>
                <c:pt idx="5">
                  <c:v>2015-2017</c:v>
                </c:pt>
                <c:pt idx="6">
                  <c:v>2018-2019</c:v>
                </c:pt>
                <c:pt idx="7">
                  <c:v>2020</c:v>
                </c:pt>
              </c:strCache>
            </c:strRef>
          </c:cat>
          <c:val>
            <c:numRef>
              <c:f>'[Расчет заболеваемости ЗНЯ 2000-2020.xlsx]Графики3'!$D$12:$D$19</c:f>
              <c:numCache>
                <c:formatCode>0.0</c:formatCode>
                <c:ptCount val="8"/>
                <c:pt idx="0">
                  <c:v>17.384999999999991</c:v>
                </c:pt>
                <c:pt idx="1">
                  <c:v>19.218</c:v>
                </c:pt>
                <c:pt idx="2">
                  <c:v>21.050999999999991</c:v>
                </c:pt>
                <c:pt idx="3">
                  <c:v>22.884</c:v>
                </c:pt>
                <c:pt idx="4">
                  <c:v>24.716999999999999</c:v>
                </c:pt>
                <c:pt idx="5">
                  <c:v>26.54999999999999</c:v>
                </c:pt>
                <c:pt idx="6">
                  <c:v>28.382999999999992</c:v>
                </c:pt>
                <c:pt idx="7">
                  <c:v>30.216000000000001</c:v>
                </c:pt>
              </c:numCache>
            </c:numRef>
          </c:val>
          <c:smooth val="0"/>
          <c:extLst>
            <c:ext xmlns:c16="http://schemas.microsoft.com/office/drawing/2014/chart" uri="{C3380CC4-5D6E-409C-BE32-E72D297353CC}">
              <c16:uniqueId val="{00000003-EC82-4BF3-9AE3-01D6EF41C85F}"/>
            </c:ext>
          </c:extLst>
        </c:ser>
        <c:dLbls>
          <c:showLegendKey val="0"/>
          <c:showVal val="0"/>
          <c:showCatName val="0"/>
          <c:showSerName val="0"/>
          <c:showPercent val="0"/>
          <c:showBubbleSize val="0"/>
        </c:dLbls>
        <c:marker val="1"/>
        <c:smooth val="0"/>
        <c:axId val="94848896"/>
        <c:axId val="98256384"/>
      </c:lineChart>
      <c:catAx>
        <c:axId val="9484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sz="1100" b="1" i="0" u="none" strike="noStrike" baseline="0">
                <a:solidFill>
                  <a:srgbClr val="333333"/>
                </a:solidFill>
                <a:latin typeface="Calibri"/>
                <a:ea typeface="Calibri"/>
                <a:cs typeface="Calibri"/>
              </a:defRPr>
            </a:pPr>
            <a:endParaRPr lang="ru-RU"/>
          </a:p>
        </c:txPr>
        <c:crossAx val="98256384"/>
        <c:crosses val="autoZero"/>
        <c:auto val="1"/>
        <c:lblAlgn val="ctr"/>
        <c:lblOffset val="100"/>
        <c:noMultiLvlLbl val="0"/>
      </c:catAx>
      <c:valAx>
        <c:axId val="98256384"/>
        <c:scaling>
          <c:orientation val="minMax"/>
          <c:min val="1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1600" b="1" i="0" u="none" strike="noStrike" baseline="0">
                <a:solidFill>
                  <a:srgbClr val="333333"/>
                </a:solidFill>
                <a:latin typeface="Calibri"/>
                <a:ea typeface="Calibri"/>
                <a:cs typeface="Calibri"/>
              </a:defRPr>
            </a:pPr>
            <a:endParaRPr lang="ru-RU"/>
          </a:p>
        </c:txPr>
        <c:crossAx val="94848896"/>
        <c:crosses val="autoZero"/>
        <c:crossBetween val="between"/>
      </c:valAx>
      <c:dTable>
        <c:showHorzBorder val="1"/>
        <c:showVertBorder val="1"/>
        <c:showOutline val="1"/>
        <c:showKeys val="1"/>
        <c:spPr>
          <a:ln w="9525"/>
        </c:spPr>
        <c:txPr>
          <a:bodyPr/>
          <a:lstStyle/>
          <a:p>
            <a:pPr rtl="0">
              <a:defRPr sz="1100"/>
            </a:pPr>
            <a:endParaRPr lang="ru-RU"/>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4C264-B582-4900-9D4A-E05C86E4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2854</Words>
  <Characters>16269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Vctoriya</cp:lastModifiedBy>
  <cp:revision>42</cp:revision>
  <dcterms:created xsi:type="dcterms:W3CDTF">2021-11-14T15:28:00Z</dcterms:created>
  <dcterms:modified xsi:type="dcterms:W3CDTF">2021-11-15T13:35:00Z</dcterms:modified>
</cp:coreProperties>
</file>