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66" w:rsidRPr="003D2A2D" w:rsidRDefault="00DE25B0" w:rsidP="003D2A2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LABORATORY OF RADIATION BIOLOGY </w:t>
      </w:r>
    </w:p>
    <w:p w:rsidR="00030B66" w:rsidRDefault="00DE25B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Theme: 1112</w:t>
      </w:r>
    </w:p>
    <w:p w:rsidR="00030B66" w:rsidRDefault="00DE25B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Project: “</w:t>
      </w:r>
      <w:bookmarkStart w:id="0" w:name="_GoBack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Research on cosmic matter on Earth and in nearby space</w:t>
      </w:r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; research on the biological and geochemical specifics of the early Earth”</w:t>
      </w:r>
    </w:p>
    <w:p w:rsidR="00030B66" w:rsidRDefault="00DE25B0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Period: 2013-2022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030B66" w:rsidRDefault="00DE25B0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Year of last approval: 2019</w:t>
      </w:r>
    </w:p>
    <w:p w:rsidR="00030B66" w:rsidRDefault="00030B66">
      <w:pPr>
        <w:spacing w:after="120" w:line="240" w:lineRule="auto"/>
        <w:jc w:val="both"/>
        <w:rPr>
          <w:rFonts w:eastAsia="Times New Roman" w:cs="Arial"/>
          <w:color w:val="000000"/>
        </w:rPr>
      </w:pP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PART A: Achievements</w:t>
      </w:r>
      <w:bookmarkStart w:id="1" w:name="_GoBack1"/>
      <w:bookmarkEnd w:id="1"/>
    </w:p>
    <w:p w:rsidR="00030B66" w:rsidRDefault="00DE25B0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Contributions of the JINR group: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LRB: preparation and irradiation of meteorite matter and organic samples with hadron beams; clean room for prebiotic chemistry research, handling collection of meteorites and cosmic matter samples; study of microfossils with electron scanning microscopy; data analysis, systematization and interpretation;</w:t>
      </w:r>
    </w:p>
    <w:p w:rsidR="00030B66" w:rsidRDefault="00DE25B0">
      <w:pPr>
        <w:spacing w:after="12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FLNP:  determination of the elemental composition using multi-element neutron activation analysis at the IBR-2 reactor; evaluation of the proportion of heavy isotopes in cosmic matter samples using the IREN pulsed neutron source; identification of heavy isotopes with the IREN neutron spectrograph; determination of the structure of samples by X-ray and neutron tomography methods.</w:t>
      </w:r>
    </w:p>
    <w:p w:rsidR="00030B66" w:rsidRDefault="00DE25B0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Publications: 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1) Bizzarri B.M.,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Šponer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J.E.,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Šponer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J., Cassone G.,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Kapralov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M.K., Timoshenko G.N.,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Krasavin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E.A., Fanelli G., Timperio A.M., Di Mauro E.,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Saladino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R.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,  Meteorite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assisted phosphorylation of adenosine under proton irradiation conditions //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Chem.Systems.Chem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2020, V.2, No.3, P. e1900039.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>: 10.1002/syst.201900039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  <w:t>Performing the experiment, irradiation, data acquisition and interpretation.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2) Bizzarri B.M., Manini P., Lino V., Ischia M.,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Kapralov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M.I.,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Krasavin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E.A.,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Mrazikova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K.,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Sponer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J.,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Sponer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E., Di Mauro E.,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Saladino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S., High-Energy Proton Beam-Induced Polymerization/Oxygenation of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Hydroxynaphthalenes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on Meteorites and Nitrogen Transfer from Urea: Modeling Insoluble Organic Matter? // Chem. Eur. J., 2020. V.26, P.14919 – 14928.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>: 10.1002/chem.202002318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  <w:t xml:space="preserve"> Performing the experiment, irradiation, data acquisition and interpretation.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Rozanov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A.Yu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., Hoover R.,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Ryumin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A.K.,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Saprykin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E.A.,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Kapralov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M.I.,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Afanasyeva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A.N. New finds of microfossils in the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Orgueil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meteorite. //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Paleontologicheskiy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zhurnal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(Paleontological Journal), 2021, No. 1, pp. 1–3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>: 10.31857/S0031031X21010116 (in Russian).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  <w:t xml:space="preserve">Key equipment, data analysis, systematization and interpretation. 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Rozanov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A.Yu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., Hoover R.B.,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Krasavin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E.A.,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Samylina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O.S.,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Ryumin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A.K.,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Kapralov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M.I.,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Saprykin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E.A.,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Afanasyeva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 A.N. An atlas of microfossils in the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Orgueil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meteorite. //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Rozanov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A.Yu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>., ed. in chief. Moscow: Paleontological Institute, Russian Academy of Sciences, 2020. 130 pp., 5 figs., 40 photo tables. In Russian and English. ISBN 978-5-903825-42-4.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  <w:t xml:space="preserve">Key equipment, data analysis, systematization and interpretation, book publishing. First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  <w:t>world systematization of microfossils data.</w:t>
      </w:r>
    </w:p>
    <w:p w:rsidR="00030B66" w:rsidRDefault="00DE25B0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PhD theses: </w:t>
      </w:r>
    </w:p>
    <w:p w:rsidR="00030B66" w:rsidRDefault="00030B66">
      <w:pPr>
        <w:spacing w:after="120" w:line="240" w:lineRule="auto"/>
        <w:ind w:left="720"/>
        <w:jc w:val="both"/>
        <w:rPr>
          <w:rFonts w:eastAsia="Times New Roman" w:cs="Arial"/>
          <w:color w:val="000000"/>
        </w:rPr>
      </w:pPr>
    </w:p>
    <w:p w:rsidR="00030B66" w:rsidRDefault="00DE25B0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Talks: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Hoover R.B.,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>Rozanov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>A.Yu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Evidence for indigenous microfossils in carbonaceous chondrites // The Tenth Moscow Solar System Symposium. (Space Research Institute. October 7-11, 2019).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Ryumin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A.K.,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>Kapralov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 M.I.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Astrobiological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studies in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Dubna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// The Tenth Moscow Solar System Symposium. (Space Research Institute. October 7-11, 2019).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PART B: Plans and requests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030B66" w:rsidRDefault="00DE25B0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Plans </w:t>
      </w:r>
    </w:p>
    <w:p w:rsidR="00030B66" w:rsidRDefault="00DE25B0">
      <w:pPr>
        <w:pStyle w:val="a6"/>
        <w:numPr>
          <w:ilvl w:val="0"/>
          <w:numId w:val="1"/>
        </w:numPr>
        <w:shd w:val="clear" w:color="auto" w:fill="FFFFFF"/>
        <w:tabs>
          <w:tab w:val="clear" w:pos="707"/>
          <w:tab w:val="left" w:pos="0"/>
        </w:tabs>
        <w:spacing w:after="120" w:line="240" w:lineRule="auto"/>
        <w:jc w:val="both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eastAsia="Times New Roman" w:hAnsi="Times New Roman;serif" w:cs="Arial"/>
          <w:color w:val="000000"/>
          <w:sz w:val="24"/>
          <w:szCs w:val="24"/>
        </w:rPr>
        <w:t>Obtaining new data on the amount of cosmic matter falling on the whole Earth's surface. Obtaining data on the dynamics of cosmic dust fallout on large territories.</w:t>
      </w:r>
    </w:p>
    <w:p w:rsidR="00030B66" w:rsidRDefault="00DE25B0">
      <w:pPr>
        <w:pStyle w:val="a6"/>
        <w:numPr>
          <w:ilvl w:val="0"/>
          <w:numId w:val="1"/>
        </w:numPr>
        <w:shd w:val="clear" w:color="auto" w:fill="FFFFFF"/>
        <w:tabs>
          <w:tab w:val="clear" w:pos="707"/>
          <w:tab w:val="left" w:pos="0"/>
        </w:tabs>
        <w:spacing w:after="115" w:line="274" w:lineRule="atLeast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Evaluation of the following parameters of particles of extraterrestrial origin: morphology, structure, size distribution, and elemental, isotopic, and mineralogical composition. Assessment of changes in these characteristics in different plates in different time intervals.</w:t>
      </w:r>
    </w:p>
    <w:p w:rsidR="00030B66" w:rsidRDefault="00DE25B0">
      <w:pPr>
        <w:pStyle w:val="a6"/>
        <w:numPr>
          <w:ilvl w:val="0"/>
          <w:numId w:val="1"/>
        </w:numPr>
        <w:shd w:val="clear" w:color="auto" w:fill="FFFFFF"/>
        <w:tabs>
          <w:tab w:val="clear" w:pos="707"/>
          <w:tab w:val="left" w:pos="0"/>
        </w:tabs>
        <w:spacing w:after="115" w:line="274" w:lineRule="atLeast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Creation of a cosmic dust collection, where dust microparticles will be characterized by quantity (concentration) and the size distribution.</w:t>
      </w:r>
    </w:p>
    <w:p w:rsidR="00030B66" w:rsidRDefault="00DE25B0">
      <w:pPr>
        <w:pStyle w:val="a6"/>
        <w:numPr>
          <w:ilvl w:val="0"/>
          <w:numId w:val="1"/>
        </w:numPr>
        <w:shd w:val="clear" w:color="auto" w:fill="FFFFFF"/>
        <w:tabs>
          <w:tab w:val="clear" w:pos="707"/>
          <w:tab w:val="left" w:pos="0"/>
        </w:tabs>
        <w:spacing w:after="115" w:line="274" w:lineRule="atLeast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Obtaining new information on the role of microorganisms in the formation and evolution of life on Earth and processes of weathering, precipitation growth, etc.</w:t>
      </w:r>
    </w:p>
    <w:p w:rsidR="00030B66" w:rsidRDefault="00DE25B0">
      <w:pPr>
        <w:pStyle w:val="a6"/>
        <w:numPr>
          <w:ilvl w:val="0"/>
          <w:numId w:val="1"/>
        </w:numPr>
        <w:shd w:val="clear" w:color="auto" w:fill="FFFFFF"/>
        <w:tabs>
          <w:tab w:val="clear" w:pos="707"/>
          <w:tab w:val="left" w:pos="0"/>
        </w:tabs>
        <w:spacing w:after="115" w:line="274" w:lineRule="atLeast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Research on the synthesis of complex prebiotic compounds from formamide under exposure to ionizing radiations of different qualities with meteorite samples as catalysts.</w:t>
      </w:r>
    </w:p>
    <w:p w:rsidR="00030B66" w:rsidRDefault="00DE25B0">
      <w:pPr>
        <w:pStyle w:val="a6"/>
        <w:numPr>
          <w:ilvl w:val="0"/>
          <w:numId w:val="1"/>
        </w:numPr>
        <w:shd w:val="clear" w:color="auto" w:fill="FFFFFF"/>
        <w:tabs>
          <w:tab w:val="clear" w:pos="707"/>
          <w:tab w:val="left" w:pos="0"/>
        </w:tabs>
        <w:spacing w:after="115" w:line="274" w:lineRule="atLeast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Generalization of the obtained data on the forms of ancient terrestrial and, possibly, extraterrestrial life.</w:t>
      </w:r>
    </w:p>
    <w:p w:rsidR="00030B66" w:rsidRDefault="00DE25B0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Group size, composition and budget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Project leader: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  <w:t xml:space="preserve">E.A.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Krasavin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Researcher leaders: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A.Yu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Rozanov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>,  V.N.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Shvetsov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(FLNP), M.V.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Frontasyeva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(FLNP)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Researchers: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  <w:t xml:space="preserve">A.K.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Rymin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M.I.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Kapralov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E.А.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Saprykin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I.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Zinicovscaia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(FLNP)</w:t>
      </w:r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Engineers: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ab/>
        <w:t xml:space="preserve">А.N.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Afanasyeva</w:t>
      </w:r>
      <w:proofErr w:type="spellEnd"/>
    </w:p>
    <w:p w:rsidR="00030B66" w:rsidRDefault="00DE25B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FTE – 5.8</w:t>
      </w:r>
    </w:p>
    <w:tbl>
      <w:tblPr>
        <w:tblW w:w="9601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534"/>
        <w:gridCol w:w="4117"/>
        <w:gridCol w:w="1555"/>
        <w:gridCol w:w="1275"/>
        <w:gridCol w:w="1134"/>
        <w:gridCol w:w="986"/>
      </w:tblGrid>
      <w:tr w:rsidR="00030B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030B66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before="120" w:after="0"/>
            </w:pP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lang w:val="en-GB"/>
              </w:rPr>
              <w:t>Expenditure items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</w:pP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lang w:val="en-GB"/>
              </w:rPr>
              <w:t xml:space="preserve">Full cost, </w:t>
            </w:r>
            <w:r>
              <w:rPr>
                <w:rStyle w:val="a4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k$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jc w:val="center"/>
            </w:pP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lang w:val="en-GB"/>
              </w:rPr>
              <w:t>1</w:t>
            </w: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jc w:val="center"/>
            </w:pP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lang w:val="en-GB"/>
              </w:rPr>
              <w:t>2</w:t>
            </w: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lang w:val="en-GB"/>
              </w:rPr>
              <w:t xml:space="preserve"> year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6" w:rsidRDefault="00DE25B0">
            <w:pPr>
              <w:widowControl w:val="0"/>
              <w:jc w:val="center"/>
            </w:pP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lang w:val="en-GB"/>
              </w:rPr>
              <w:t>3</w:t>
            </w: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Style w:val="a4"/>
                <w:rFonts w:ascii="Times New Roman" w:eastAsia="Calibri" w:hAnsi="Times New Roman" w:cs="Arial"/>
                <w:i w:val="0"/>
                <w:color w:val="000000" w:themeColor="text1"/>
                <w:sz w:val="24"/>
                <w:szCs w:val="24"/>
                <w:lang w:val="en-GB"/>
              </w:rPr>
              <w:t xml:space="preserve"> year</w:t>
            </w:r>
          </w:p>
        </w:tc>
      </w:tr>
      <w:tr w:rsidR="00030B66">
        <w:trPr>
          <w:trHeight w:val="23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val="en-GB"/>
              </w:rPr>
              <w:t>Materials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val="en-GB"/>
              </w:rPr>
              <w:t>Equipment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val="en-GB"/>
              </w:rPr>
              <w:t>Payments for agreement-based research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val="en-GB"/>
              </w:rPr>
              <w:t>Travel allowance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0B6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030B66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before="120"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val="en-GB"/>
              </w:rPr>
              <w:t>Total direct expenses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66" w:rsidRDefault="00DE25B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30B66" w:rsidRDefault="00030B66">
      <w:pPr>
        <w:spacing w:after="120" w:line="360" w:lineRule="auto"/>
        <w:jc w:val="both"/>
        <w:rPr>
          <w:color w:val="000000" w:themeColor="text1"/>
        </w:rPr>
      </w:pPr>
    </w:p>
    <w:sectPr w:rsidR="00030B66">
      <w:pgSz w:w="12240" w:h="15840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52DB"/>
    <w:multiLevelType w:val="multilevel"/>
    <w:tmpl w:val="A0BA7C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AD630DD"/>
    <w:multiLevelType w:val="multilevel"/>
    <w:tmpl w:val="7BD074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6B7CCD"/>
    <w:multiLevelType w:val="multilevel"/>
    <w:tmpl w:val="2E085A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66"/>
    <w:rsid w:val="00030B66"/>
    <w:rsid w:val="003D2A2D"/>
    <w:rsid w:val="00D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E124"/>
  <w15:docId w15:val="{FD668514-B986-40D5-BA30-B05E513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C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styleId="a4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5E2C94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B31F-D52A-4D14-9820-0B67247B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Cheplakov</dc:creator>
  <dc:description/>
  <cp:lastModifiedBy>Oleg Belov</cp:lastModifiedBy>
  <cp:revision>2</cp:revision>
  <dcterms:created xsi:type="dcterms:W3CDTF">2021-04-18T17:39:00Z</dcterms:created>
  <dcterms:modified xsi:type="dcterms:W3CDTF">2021-04-18T17:39:00Z</dcterms:modified>
  <dc:language>ru-RU</dc:language>
</cp:coreProperties>
</file>