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10.png" ContentType="image/png"/>
  <Override PartName="/word/media/image6.png" ContentType="image/png"/>
  <Override PartName="/word/media/image11.png" ContentType="image/png"/>
  <Override PartName="/word/media/image7.png" ContentType="image/png"/>
  <Override PartName="/word/media/image12.png" ContentType="image/png"/>
  <Override PartName="/word/media/image8.png" ContentType="image/png"/>
  <Override PartName="/word/media/image9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sz w:val="28"/>
          <w:szCs w:val="28"/>
        </w:rPr>
        <w:t>О возможности использования MAPS "АЛТАЙ" в установке ВМ@N.</w:t>
      </w:r>
    </w:p>
    <w:p>
      <w:pPr>
        <w:pStyle w:val="Normal"/>
        <w:bidi w:val="0"/>
        <w:jc w:val="center"/>
        <w:rPr/>
      </w:pPr>
      <w:r>
        <w:rPr/>
        <w:t xml:space="preserve"> </w:t>
      </w:r>
      <w:r>
        <w:rPr/>
        <w:t>Топологические схемы трековых станций.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both"/>
        <w:rPr/>
      </w:pPr>
      <w:r>
        <w:rPr/>
        <w:tab/>
        <w:t>Состав и базовая конструкция Кремниевой трековой системы (STS) установки ВМ@N описана в разделе 4.1 [1]. В этой записке предложен вариант реализации станций STS с использаванием сенсоров выполненых по технологии "CMOS Monolithic Active Pixel Sensors" (CMOS MAPS).</w:t>
      </w:r>
    </w:p>
    <w:p>
      <w:pPr>
        <w:pStyle w:val="Normal"/>
        <w:bidi w:val="0"/>
        <w:jc w:val="left"/>
        <w:rPr/>
      </w:pPr>
      <w:r>
        <w:rPr/>
        <w:tab/>
        <w:t>Сравнение эффективных площадей одноименных станций показано на рис.1</w:t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64770</wp:posOffset>
            </wp:positionV>
            <wp:extent cx="6120130" cy="4758055"/>
            <wp:effectExtent l="0" t="0" r="0" b="0"/>
            <wp:wrapNone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758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114300</wp:posOffset>
                </wp:positionH>
                <wp:positionV relativeFrom="paragraph">
                  <wp:posOffset>156210</wp:posOffset>
                </wp:positionV>
                <wp:extent cx="5992495" cy="349885"/>
                <wp:effectExtent l="0" t="0" r="0" b="0"/>
                <wp:wrapNone/>
                <wp:docPr id="2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840" cy="34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overflowPunct w:val="true"/>
                              <w:bidi w:val="0"/>
                              <w:rPr/>
                            </w:pPr>
                            <w:r>
                              <w:rPr/>
                              <w:t>Рис.1 Наложенные активные слои станций BM@N STS выполненные на стриповых сенсорах и сенсорах «Алтай»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" stroked="f" style="position:absolute;margin-left:9pt;margin-top:12.3pt;width:471.75pt;height:27.4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0"/>
                        <w:overflowPunct w:val="true"/>
                        <w:bidi w:val="0"/>
                        <w:rPr/>
                      </w:pPr>
                      <w:r>
                        <w:rPr/>
                        <w:t>Рис.1 Наложенные активные слои станций BM@N STS выполненные на стриповых сенсорах и сенсорах «Алтай»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both"/>
        <w:rPr/>
      </w:pPr>
      <w:r>
        <w:rPr/>
        <w:tab/>
        <w:t>Чип "Алтай" представляет собой кремниевый прибор, большая часть которого является пиксельным сенсором, с размером сенсора 30х15 мм2 толщиной 100мкм, а меньшая - схемой содержащей усилители, дискриминаторы и регистры хранения.  Таким образом краевая область чипа размером 30х1,2 мм2 сенсором не является. До 6 ведомых чипов могут быть объеденены с одним ведущим чипом в модуль (Master\Slave).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ab/>
        <w:t>Существует конструкция модуля (Hic), содержащая 7 пар чипов. См рис.2. Чипы зафиксированы на гибкой плате FPC в один слой без перекрытия. Зазор между чипами 150 мкм.</w:t>
      </w:r>
    </w:p>
    <w:p>
      <w:pPr>
        <w:pStyle w:val="Normal"/>
        <w:bidi w:val="0"/>
        <w:jc w:val="both"/>
        <w:rPr/>
      </w:pPr>
      <w:r>
        <w:rPr/>
        <w:t>Для станций STS1 и STS4 предполагается создать модуль на 4 пары чипов.См.рис.3.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207010</wp:posOffset>
                </wp:positionH>
                <wp:positionV relativeFrom="paragraph">
                  <wp:posOffset>1757045</wp:posOffset>
                </wp:positionV>
                <wp:extent cx="5887720" cy="174625"/>
                <wp:effectExtent l="0" t="0" r="0" b="0"/>
                <wp:wrapNone/>
                <wp:docPr id="4" name="Фи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708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overflowPunct w:val="true"/>
                              <w:bidi w:val="0"/>
                              <w:rPr/>
                            </w:pPr>
                            <w:r>
                              <w:rPr/>
                              <w:t>Рис.2 Модуль из 7 пар чипов «Алтай»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2" stroked="f" style="position:absolute;margin-left:16.3pt;margin-top:138.35pt;width:463.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0"/>
                        <w:overflowPunct w:val="true"/>
                        <w:bidi w:val="0"/>
                        <w:rPr/>
                      </w:pPr>
                      <w:r>
                        <w:rPr/>
                        <w:t>Рис.2 Модуль из 7 пар чипов «Алтай»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0</wp:posOffset>
            </wp:positionH>
            <wp:positionV relativeFrom="paragraph">
              <wp:posOffset>17145</wp:posOffset>
            </wp:positionV>
            <wp:extent cx="6120130" cy="1740535"/>
            <wp:effectExtent l="0" t="0" r="0" b="0"/>
            <wp:wrapSquare wrapText="largest"/>
            <wp:docPr id="6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4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both"/>
        <w:rPr/>
      </w:pPr>
      <w:r>
        <w:rPr/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104775</wp:posOffset>
            </wp:positionH>
            <wp:positionV relativeFrom="paragraph">
              <wp:posOffset>76835</wp:posOffset>
            </wp:positionV>
            <wp:extent cx="3808095" cy="1191260"/>
            <wp:effectExtent l="0" t="0" r="0" b="0"/>
            <wp:wrapSquare wrapText="largest"/>
            <wp:docPr id="7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16510</wp:posOffset>
                </wp:positionH>
                <wp:positionV relativeFrom="paragraph">
                  <wp:posOffset>93980</wp:posOffset>
                </wp:positionV>
                <wp:extent cx="5887720" cy="174625"/>
                <wp:effectExtent l="0" t="0" r="0" b="0"/>
                <wp:wrapNone/>
                <wp:docPr id="8" name="Фигура2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708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overflowPunct w:val="true"/>
                              <w:bidi w:val="0"/>
                              <w:rPr/>
                            </w:pPr>
                            <w:r>
                              <w:rPr/>
                              <w:t>Рис.3 Модуль из 4 пар чипов «Алтай»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2_0" stroked="f" style="position:absolute;margin-left:1.3pt;margin-top:7.4pt;width:463.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0"/>
                        <w:overflowPunct w:val="true"/>
                        <w:bidi w:val="0"/>
                        <w:rPr/>
                      </w:pPr>
                      <w:r>
                        <w:rPr/>
                        <w:t>Рис.3 Модуль из 4 пар чипов «Алтай»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ab/>
        <w:t>Конструктивными элементами, составляющими станции являются супермодули (Stave). Каждый Stave состоит из нескольких Hic, модуля охлаждения и фермы с блоками позиционирования.</w:t>
      </w:r>
    </w:p>
    <w:p>
      <w:pPr>
        <w:pStyle w:val="Normal"/>
        <w:bidi w:val="0"/>
        <w:jc w:val="both"/>
        <w:rPr/>
      </w:pPr>
      <w:r>
        <w:rPr/>
        <w:t>Предполагается, что для станций STS будут доступны: Stave77 См. Рис.4, Stave44 См. Рис.5, 2Stave77 См. Рис.6, 2Stave77+Stave44 См. Рис.7. В каждом из них модули располагаются с перекрытием нечуствительных краевых областей. Перекрываемые поверхности разнесены на 0.5 мм</w:t>
      </w:r>
    </w:p>
    <w:p>
      <w:pPr>
        <w:pStyle w:val="Normal"/>
        <w:bidi w:val="0"/>
        <w:jc w:val="both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posOffset>45085</wp:posOffset>
                </wp:positionH>
                <wp:positionV relativeFrom="paragraph">
                  <wp:posOffset>2212975</wp:posOffset>
                </wp:positionV>
                <wp:extent cx="5887720" cy="174625"/>
                <wp:effectExtent l="0" t="0" r="0" b="0"/>
                <wp:wrapNone/>
                <wp:docPr id="10" name="Фигура2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708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overflowPunct w:val="true"/>
                              <w:bidi w:val="0"/>
                              <w:rPr/>
                            </w:pPr>
                            <w:r>
                              <w:rPr/>
                              <w:t>Рис.4 Cупермодуль из 2х модулей Hic77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2_1" stroked="f" style="position:absolute;margin-left:3.55pt;margin-top:174.25pt;width:463.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0"/>
                        <w:overflowPunct w:val="true"/>
                        <w:bidi w:val="0"/>
                        <w:rPr/>
                      </w:pPr>
                      <w:r>
                        <w:rPr/>
                        <w:t>Рис.4 Cупермодуль из 2х модулей Hic77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0" distR="0" simplePos="0" locked="0" layoutInCell="1" allowOverlap="1" relativeHeight="8">
            <wp:simplePos x="0" y="0"/>
            <wp:positionH relativeFrom="column">
              <wp:posOffset>45085</wp:posOffset>
            </wp:positionH>
            <wp:positionV relativeFrom="paragraph">
              <wp:posOffset>75565</wp:posOffset>
            </wp:positionV>
            <wp:extent cx="6120130" cy="2190750"/>
            <wp:effectExtent l="0" t="0" r="0" b="0"/>
            <wp:wrapSquare wrapText="largest"/>
            <wp:docPr id="12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10">
            <wp:simplePos x="0" y="0"/>
            <wp:positionH relativeFrom="column">
              <wp:posOffset>45085</wp:posOffset>
            </wp:positionH>
            <wp:positionV relativeFrom="paragraph">
              <wp:posOffset>2397760</wp:posOffset>
            </wp:positionV>
            <wp:extent cx="4592320" cy="1909445"/>
            <wp:effectExtent l="0" t="0" r="0" b="0"/>
            <wp:wrapSquare wrapText="largest"/>
            <wp:docPr id="13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320" cy="1909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posOffset>2188210</wp:posOffset>
                </wp:positionH>
                <wp:positionV relativeFrom="paragraph">
                  <wp:posOffset>379095</wp:posOffset>
                </wp:positionV>
                <wp:extent cx="1511300" cy="349885"/>
                <wp:effectExtent l="0" t="0" r="0" b="0"/>
                <wp:wrapNone/>
                <wp:docPr id="14" name="Фигура2_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560" cy="34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overflowPunct w:val="true"/>
                              <w:bidi w:val="0"/>
                              <w:rPr/>
                            </w:pPr>
                            <w:r>
                              <w:rPr/>
                              <w:t>Рис.5 Cупермодуль из 2х модулей Hic44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2_3" stroked="f" style="position:absolute;margin-left:172.3pt;margin-top:29.85pt;width:118.9pt;height:27.4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0"/>
                        <w:overflowPunct w:val="true"/>
                        <w:bidi w:val="0"/>
                        <w:rPr/>
                      </w:pPr>
                      <w:r>
                        <w:rPr/>
                        <w:t>Рис.5 Cупермодуль из 2х модулей Hic44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column">
                  <wp:posOffset>36195</wp:posOffset>
                </wp:positionH>
                <wp:positionV relativeFrom="paragraph">
                  <wp:posOffset>1388745</wp:posOffset>
                </wp:positionV>
                <wp:extent cx="4758690" cy="174625"/>
                <wp:effectExtent l="0" t="0" r="0" b="0"/>
                <wp:wrapNone/>
                <wp:docPr id="16" name="Фигура2_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812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overflowPunct w:val="true"/>
                              <w:bidi w:val="0"/>
                              <w:rPr/>
                            </w:pPr>
                            <w:r>
                              <w:rPr/>
                              <w:t>Рис.6 Cупермодуль из 4х модулей Hic77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2_2" stroked="f" style="position:absolute;margin-left:2.85pt;margin-top:109.35pt;width:374.6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0"/>
                        <w:overflowPunct w:val="true"/>
                        <w:bidi w:val="0"/>
                        <w:rPr/>
                      </w:pPr>
                      <w:r>
                        <w:rPr/>
                        <w:t>Рис.6 Cупермодуль из 4х модулей Hic77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0" distR="0" simplePos="0" locked="0" layoutInCell="1" allowOverlap="1" relativeHeight="12">
            <wp:simplePos x="0" y="0"/>
            <wp:positionH relativeFrom="column">
              <wp:posOffset>0</wp:posOffset>
            </wp:positionH>
            <wp:positionV relativeFrom="paragraph">
              <wp:posOffset>87630</wp:posOffset>
            </wp:positionV>
            <wp:extent cx="6120130" cy="1252855"/>
            <wp:effectExtent l="0" t="0" r="0" b="0"/>
            <wp:wrapSquare wrapText="largest"/>
            <wp:docPr id="18" name="Изображение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Изображение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52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both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column">
                  <wp:posOffset>7620</wp:posOffset>
                </wp:positionH>
                <wp:positionV relativeFrom="paragraph">
                  <wp:posOffset>1186815</wp:posOffset>
                </wp:positionV>
                <wp:extent cx="4758690" cy="174625"/>
                <wp:effectExtent l="0" t="0" r="0" b="0"/>
                <wp:wrapNone/>
                <wp:docPr id="19" name="Фигура2_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812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overflowPunct w:val="true"/>
                              <w:bidi w:val="0"/>
                              <w:rPr/>
                            </w:pPr>
                            <w:r>
                              <w:rPr/>
                              <w:t>Рис.7 Cупермодуль из 4х модулей Hic77 и 2х модулей Hic44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2_4" stroked="f" style="position:absolute;margin-left:0.6pt;margin-top:93.45pt;width:374.6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0"/>
                        <w:overflowPunct w:val="true"/>
                        <w:bidi w:val="0"/>
                        <w:rPr/>
                      </w:pPr>
                      <w:r>
                        <w:rPr/>
                        <w:t>Рис.7 Cупермодуль из 4х модулей Hic77 и 2х модулей Hic44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0" distR="0" simplePos="0" locked="0" layoutInCell="1" allowOverlap="1" relativeHeight="14">
            <wp:simplePos x="0" y="0"/>
            <wp:positionH relativeFrom="column">
              <wp:posOffset>0</wp:posOffset>
            </wp:positionH>
            <wp:positionV relativeFrom="paragraph">
              <wp:posOffset>161925</wp:posOffset>
            </wp:positionV>
            <wp:extent cx="6120130" cy="967740"/>
            <wp:effectExtent l="0" t="0" r="0" b="0"/>
            <wp:wrapSquare wrapText="largest"/>
            <wp:docPr id="21" name="Изображение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Изображение7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ab/>
        <w:t>Станция STS1 показана на Рис.8. Она состоит из 8 Stave77 и 2 Stave44 в центральной области. Отверстие для пучковой трубы, одинаковое для всех станций - квадрат 57.6 мм. Супермодули установлены с перекрытием краевых областей сенсоров. Количество чипов - всего 256 шт.</w:t>
      </w:r>
    </w:p>
    <w:p>
      <w:pPr>
        <w:pStyle w:val="Normal"/>
        <w:bidi w:val="0"/>
        <w:jc w:val="both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17">
                <wp:simplePos x="0" y="0"/>
                <wp:positionH relativeFrom="column">
                  <wp:posOffset>17145</wp:posOffset>
                </wp:positionH>
                <wp:positionV relativeFrom="paragraph">
                  <wp:posOffset>3566795</wp:posOffset>
                </wp:positionV>
                <wp:extent cx="4758690" cy="174625"/>
                <wp:effectExtent l="0" t="0" r="0" b="0"/>
                <wp:wrapNone/>
                <wp:docPr id="22" name="Фигура2_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812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overflowPunct w:val="true"/>
                              <w:bidi w:val="0"/>
                              <w:rPr/>
                            </w:pPr>
                            <w:r>
                              <w:rPr/>
                              <w:t>Рис.8 Cтанция STS1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2_5" stroked="f" style="position:absolute;margin-left:1.35pt;margin-top:280.85pt;width:374.6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0"/>
                        <w:overflowPunct w:val="true"/>
                        <w:bidi w:val="0"/>
                        <w:rPr/>
                      </w:pPr>
                      <w:r>
                        <w:rPr/>
                        <w:t>Рис.8 Cтанция STS1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0" distR="0" simplePos="0" locked="0" layoutInCell="1" allowOverlap="1" relativeHeight="16">
            <wp:simplePos x="0" y="0"/>
            <wp:positionH relativeFrom="column">
              <wp:posOffset>57150</wp:posOffset>
            </wp:positionH>
            <wp:positionV relativeFrom="paragraph">
              <wp:posOffset>53340</wp:posOffset>
            </wp:positionV>
            <wp:extent cx="6120130" cy="3578225"/>
            <wp:effectExtent l="0" t="0" r="0" b="0"/>
            <wp:wrapSquare wrapText="largest"/>
            <wp:docPr id="24" name="Изображение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Изображение8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7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both"/>
        <w:rPr/>
      </w:pPr>
      <w:r>
        <w:rPr/>
        <w:tab/>
        <w:t>STS2 показана на Рис.9. Она состоит из 10 2Stave77 и 2 Stave77 в центральной области. Количество чипов - всего 616 шт.</w:t>
      </w:r>
    </w:p>
    <w:p>
      <w:pPr>
        <w:pStyle w:val="Normal"/>
        <w:bidi w:val="0"/>
        <w:jc w:val="both"/>
        <w:rPr/>
      </w:pPr>
      <w:r>
        <w:rPr/>
        <w:tab/>
        <w:t>STS3 показана на Рис.10. Она по конструкции одинакова с STS2 но содержит 12 2Stave77 и 2 Stave77. Количество чипов - всего 728 шт.</w:t>
      </w:r>
    </w:p>
    <w:p>
      <w:pPr>
        <w:pStyle w:val="Normal"/>
        <w:bidi w:val="0"/>
        <w:jc w:val="both"/>
        <w:rPr/>
      </w:pPr>
      <w:r>
        <w:rPr/>
        <w:tab/>
        <w:t>STS4 содержит 1064 чипа в 14 2Stave77+Stave44 и 2 Stave77.</w:t>
      </w:r>
    </w:p>
    <w:p>
      <w:pPr>
        <w:pStyle w:val="Normal"/>
        <w:bidi w:val="0"/>
        <w:jc w:val="both"/>
        <w:rPr/>
      </w:pPr>
      <w:r>
        <w:rPr/>
        <w:tab/>
        <w:t>Таким образом общее количество необходимых, для BM@N STS, чипов составляет 2664 шт.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19">
                <wp:simplePos x="0" y="0"/>
                <wp:positionH relativeFrom="column">
                  <wp:posOffset>-9525</wp:posOffset>
                </wp:positionH>
                <wp:positionV relativeFrom="paragraph">
                  <wp:posOffset>4926965</wp:posOffset>
                </wp:positionV>
                <wp:extent cx="4758690" cy="174625"/>
                <wp:effectExtent l="0" t="0" r="0" b="0"/>
                <wp:wrapNone/>
                <wp:docPr id="25" name="Фигура2_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812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overflowPunct w:val="true"/>
                              <w:bidi w:val="0"/>
                              <w:rPr/>
                            </w:pPr>
                            <w:r>
                              <w:rPr/>
                              <w:t>Рис.9 Cтанция STS2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2_7" stroked="f" style="position:absolute;margin-left:-0.75pt;margin-top:387.95pt;width:374.6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0"/>
                        <w:overflowPunct w:val="true"/>
                        <w:bidi w:val="0"/>
                        <w:rPr/>
                      </w:pPr>
                      <w:r>
                        <w:rPr/>
                        <w:t>Рис.9 Cтанция STS2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0" distR="0" simplePos="0" locked="0" layoutInCell="1" allowOverlap="1" relativeHeight="18">
            <wp:simplePos x="0" y="0"/>
            <wp:positionH relativeFrom="column">
              <wp:posOffset>123825</wp:posOffset>
            </wp:positionH>
            <wp:positionV relativeFrom="paragraph">
              <wp:posOffset>42545</wp:posOffset>
            </wp:positionV>
            <wp:extent cx="6120130" cy="4826000"/>
            <wp:effectExtent l="0" t="0" r="0" b="0"/>
            <wp:wrapSquare wrapText="largest"/>
            <wp:docPr id="27" name="Изображение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Изображение9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82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both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1">
                <wp:simplePos x="0" y="0"/>
                <wp:positionH relativeFrom="column">
                  <wp:posOffset>38100</wp:posOffset>
                </wp:positionH>
                <wp:positionV relativeFrom="paragraph">
                  <wp:posOffset>4384675</wp:posOffset>
                </wp:positionV>
                <wp:extent cx="4758690" cy="174625"/>
                <wp:effectExtent l="0" t="0" r="0" b="0"/>
                <wp:wrapNone/>
                <wp:docPr id="28" name="Фигура2_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812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overflowPunct w:val="true"/>
                              <w:bidi w:val="0"/>
                              <w:rPr/>
                            </w:pPr>
                            <w:r>
                              <w:rPr/>
                              <w:t>Рис.10 Cтанция STS3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2_6" stroked="f" style="position:absolute;margin-left:3pt;margin-top:345.25pt;width:374.6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0"/>
                        <w:overflowPunct w:val="true"/>
                        <w:bidi w:val="0"/>
                        <w:rPr/>
                      </w:pPr>
                      <w:r>
                        <w:rPr/>
                        <w:t>Рис.10 Cтанция STS3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0" distR="0" simplePos="0" locked="0" layoutInCell="1" allowOverlap="1" relativeHeight="20">
            <wp:simplePos x="0" y="0"/>
            <wp:positionH relativeFrom="column">
              <wp:posOffset>-9525</wp:posOffset>
            </wp:positionH>
            <wp:positionV relativeFrom="paragraph">
              <wp:posOffset>109855</wp:posOffset>
            </wp:positionV>
            <wp:extent cx="6120130" cy="4049395"/>
            <wp:effectExtent l="0" t="0" r="0" b="0"/>
            <wp:wrapSquare wrapText="largest"/>
            <wp:docPr id="30" name="Изображение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Изображение10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49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both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3">
                <wp:simplePos x="0" y="0"/>
                <wp:positionH relativeFrom="column">
                  <wp:posOffset>0</wp:posOffset>
                </wp:positionH>
                <wp:positionV relativeFrom="paragraph">
                  <wp:posOffset>4154170</wp:posOffset>
                </wp:positionV>
                <wp:extent cx="4758690" cy="174625"/>
                <wp:effectExtent l="0" t="0" r="0" b="0"/>
                <wp:wrapNone/>
                <wp:docPr id="31" name="Фигура2_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812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overflowPunct w:val="true"/>
                              <w:bidi w:val="0"/>
                              <w:rPr/>
                            </w:pPr>
                            <w:r>
                              <w:rPr/>
                              <w:t>Рис.11 Cтанция STS4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2_8" stroked="f" style="position:absolute;margin-left:0pt;margin-top:327.1pt;width:374.6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0"/>
                        <w:overflowPunct w:val="true"/>
                        <w:bidi w:val="0"/>
                        <w:rPr/>
                      </w:pPr>
                      <w:r>
                        <w:rPr/>
                        <w:t>Рис.11 Cтанция STS4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0" distR="0" simplePos="0" locked="0" layoutInCell="1" allowOverlap="1" relativeHeight="2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4154805"/>
            <wp:effectExtent l="0" t="0" r="0" b="0"/>
            <wp:wrapSquare wrapText="largest"/>
            <wp:docPr id="33" name="Изображение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Изображение1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154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drawing>
          <wp:anchor behindDoc="0" distT="0" distB="0" distL="0" distR="0" simplePos="0" locked="0" layoutInCell="1" allowOverlap="1" relativeHeight="3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2489200"/>
            <wp:effectExtent l="0" t="0" r="0" b="0"/>
            <wp:wrapSquare wrapText="largest"/>
            <wp:docPr id="34" name="Изображение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Изображение12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both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6">
                <wp:simplePos x="0" y="0"/>
                <wp:positionH relativeFrom="column">
                  <wp:posOffset>193040</wp:posOffset>
                </wp:positionH>
                <wp:positionV relativeFrom="paragraph">
                  <wp:posOffset>93345</wp:posOffset>
                </wp:positionV>
                <wp:extent cx="5829935" cy="305435"/>
                <wp:effectExtent l="0" t="0" r="0" b="0"/>
                <wp:wrapNone/>
                <wp:docPr id="35" name="Фигура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480" cy="30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/>
                              <w:t>Рис.12 Частичное перекрытие нечувствительных зон между модулями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Фигура12" stroked="f" style="position:absolute;margin-left:15.2pt;margin-top:7.35pt;width:458.95pt;height:23.95pt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/>
                        <w:t>Рис.12 Частичное перекрытие нечувствительных зон между модулями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Литература</w:t>
      </w:r>
    </w:p>
    <w:p>
      <w:pPr>
        <w:pStyle w:val="Normal"/>
        <w:bidi w:val="0"/>
        <w:jc w:val="both"/>
        <w:rPr/>
      </w:pPr>
      <w:r>
        <w:rPr/>
        <w:tab/>
        <w:t>1. The Silicon Tracking System as part of the BM@N experiment. Technical Design Report. 4.1 Layout of the Silicon detector stations and system components.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DejaVu Sans" w:cs="FreeSans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DejaVu Sans" w:cs="FreeSans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Arial" w:hAnsi="Arial" w:eastAsia="DejaVu Sans" w:cs="Free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Arial" w:hAnsi="Arial"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Arial" w:hAnsi="Arial"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Arial" w:hAnsi="Arial" w:cs="FreeSans"/>
    </w:rPr>
  </w:style>
  <w:style w:type="paragraph" w:styleId="Style20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LibreOffice/6.4.7.2$Linux_X86_64 LibreOffice_project/40$Build-2</Application>
  <Pages>5</Pages>
  <Words>404</Words>
  <Characters>2355</Characters>
  <CharactersWithSpaces>2745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2022-07-21T15:05:22Z</dcterms:created>
  <dc:creator/>
  <dc:description/>
  <dc:language>ru-RU</dc:language>
  <cp:lastModifiedBy/>
  <dcterms:modified xsi:type="dcterms:W3CDTF">2022-07-22T11:46:35Z</dcterms:modified>
  <cp:revision>4</cp:revision>
  <dc:subject/>
  <dc:title/>
</cp:coreProperties>
</file>