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1E" w:rsidRDefault="00E757F6" w:rsidP="00E757F6">
      <w:pPr>
        <w:pStyle w:val="a4"/>
        <w:spacing w:before="65" w:line="276" w:lineRule="auto"/>
      </w:pPr>
      <w:bookmarkStart w:id="0" w:name="_GoBack"/>
      <w:bookmarkEnd w:id="0"/>
      <w:r>
        <w:t>Statement of the Committee of Plenipotentiaries of the Governments of the Member States of the Joint Institute for Nuclear Research on preserving the unity</w:t>
      </w:r>
    </w:p>
    <w:p w:rsidR="00170F1E" w:rsidRDefault="00E757F6" w:rsidP="00E757F6">
      <w:pPr>
        <w:pStyle w:val="a4"/>
        <w:spacing w:line="276" w:lineRule="auto"/>
        <w:ind w:left="1275" w:right="1281"/>
      </w:pPr>
      <w:r>
        <w:t>of the Institute, its scientific mission and international partnerships within a peaceful environment</w:t>
      </w:r>
    </w:p>
    <w:p w:rsidR="00170F1E" w:rsidRDefault="00E757F6" w:rsidP="00E757F6">
      <w:pPr>
        <w:pStyle w:val="a3"/>
        <w:spacing w:before="130" w:line="276" w:lineRule="auto"/>
        <w:ind w:right="114" w:firstLine="0"/>
      </w:pPr>
      <w:r>
        <w:rPr>
          <w:spacing w:val="-4"/>
        </w:rPr>
        <w:t>In</w:t>
      </w:r>
      <w:r>
        <w:rPr>
          <w:spacing w:val="-7"/>
        </w:rPr>
        <w:t xml:space="preserve"> </w:t>
      </w:r>
      <w:r>
        <w:t>our</w:t>
      </w:r>
      <w:r>
        <w:rPr>
          <w:spacing w:val="-8"/>
        </w:rPr>
        <w:t xml:space="preserve"> </w:t>
      </w:r>
      <w:r>
        <w:t>joint</w:t>
      </w:r>
      <w:r>
        <w:rPr>
          <w:spacing w:val="-10"/>
        </w:rPr>
        <w:t xml:space="preserve"> </w:t>
      </w:r>
      <w:r>
        <w:t>efforts</w:t>
      </w:r>
      <w:r>
        <w:rPr>
          <w:spacing w:val="-8"/>
        </w:rPr>
        <w:t xml:space="preserve"> </w:t>
      </w:r>
      <w:r>
        <w:t>to</w:t>
      </w:r>
      <w:r>
        <w:rPr>
          <w:spacing w:val="-7"/>
        </w:rPr>
        <w:t xml:space="preserve"> </w:t>
      </w:r>
      <w:r>
        <w:t>maintain</w:t>
      </w:r>
      <w:r>
        <w:rPr>
          <w:spacing w:val="-6"/>
        </w:rPr>
        <w:t xml:space="preserve"> </w:t>
      </w:r>
      <w:r>
        <w:t>the</w:t>
      </w:r>
      <w:r>
        <w:rPr>
          <w:spacing w:val="-7"/>
        </w:rPr>
        <w:t xml:space="preserve"> </w:t>
      </w:r>
      <w:r>
        <w:t>unity</w:t>
      </w:r>
      <w:r>
        <w:rPr>
          <w:spacing w:val="-13"/>
        </w:rPr>
        <w:t xml:space="preserve"> </w:t>
      </w:r>
      <w:r>
        <w:t>of</w:t>
      </w:r>
      <w:r>
        <w:rPr>
          <w:spacing w:val="-9"/>
        </w:rPr>
        <w:t xml:space="preserve"> </w:t>
      </w:r>
      <w:r>
        <w:t>the</w:t>
      </w:r>
      <w:r>
        <w:rPr>
          <w:spacing w:val="-3"/>
        </w:rPr>
        <w:t xml:space="preserve"> </w:t>
      </w:r>
      <w:r>
        <w:t>Institute,</w:t>
      </w:r>
      <w:r>
        <w:rPr>
          <w:spacing w:val="-6"/>
        </w:rPr>
        <w:t xml:space="preserve"> </w:t>
      </w:r>
      <w:r>
        <w:t>we,</w:t>
      </w:r>
      <w:r>
        <w:rPr>
          <w:spacing w:val="-9"/>
        </w:rPr>
        <w:t xml:space="preserve"> </w:t>
      </w:r>
      <w:r>
        <w:t>the</w:t>
      </w:r>
      <w:r>
        <w:rPr>
          <w:spacing w:val="-6"/>
        </w:rPr>
        <w:t xml:space="preserve"> </w:t>
      </w:r>
      <w:r>
        <w:t>Plenipotentiaries</w:t>
      </w:r>
      <w:r>
        <w:rPr>
          <w:spacing w:val="-9"/>
        </w:rPr>
        <w:t xml:space="preserve"> </w:t>
      </w:r>
      <w:r>
        <w:t>of</w:t>
      </w:r>
      <w:r>
        <w:rPr>
          <w:spacing w:val="-9"/>
        </w:rPr>
        <w:t xml:space="preserve"> </w:t>
      </w:r>
      <w:r>
        <w:t>the</w:t>
      </w:r>
      <w:r>
        <w:rPr>
          <w:spacing w:val="-7"/>
        </w:rPr>
        <w:t xml:space="preserve"> </w:t>
      </w:r>
      <w:r>
        <w:t>Governments of the JINR Members States, are deeply concerned and regret the current events in Ukraine with widespread</w:t>
      </w:r>
      <w:r>
        <w:rPr>
          <w:spacing w:val="-17"/>
        </w:rPr>
        <w:t xml:space="preserve"> </w:t>
      </w:r>
      <w:r>
        <w:t>and</w:t>
      </w:r>
      <w:r>
        <w:rPr>
          <w:spacing w:val="-17"/>
        </w:rPr>
        <w:t xml:space="preserve"> </w:t>
      </w:r>
      <w:r>
        <w:t>tragic</w:t>
      </w:r>
      <w:r>
        <w:rPr>
          <w:spacing w:val="-18"/>
        </w:rPr>
        <w:t xml:space="preserve"> </w:t>
      </w:r>
      <w:r>
        <w:t>consequences</w:t>
      </w:r>
      <w:r>
        <w:rPr>
          <w:spacing w:val="-18"/>
        </w:rPr>
        <w:t xml:space="preserve"> </w:t>
      </w:r>
      <w:r>
        <w:t>leading</w:t>
      </w:r>
      <w:r>
        <w:rPr>
          <w:spacing w:val="-12"/>
        </w:rPr>
        <w:t xml:space="preserve"> </w:t>
      </w:r>
      <w:r>
        <w:t>to</w:t>
      </w:r>
      <w:r>
        <w:rPr>
          <w:spacing w:val="-22"/>
        </w:rPr>
        <w:t xml:space="preserve"> </w:t>
      </w:r>
      <w:r>
        <w:t>dramatic</w:t>
      </w:r>
      <w:r>
        <w:rPr>
          <w:spacing w:val="-18"/>
        </w:rPr>
        <w:t xml:space="preserve"> </w:t>
      </w:r>
      <w:r>
        <w:t>loss</w:t>
      </w:r>
      <w:r>
        <w:rPr>
          <w:spacing w:val="-18"/>
        </w:rPr>
        <w:t xml:space="preserve"> </w:t>
      </w:r>
      <w:r>
        <w:t>of</w:t>
      </w:r>
      <w:r>
        <w:rPr>
          <w:spacing w:val="-19"/>
        </w:rPr>
        <w:t xml:space="preserve"> </w:t>
      </w:r>
      <w:r>
        <w:t>life</w:t>
      </w:r>
      <w:r>
        <w:rPr>
          <w:spacing w:val="-17"/>
        </w:rPr>
        <w:t xml:space="preserve"> </w:t>
      </w:r>
      <w:r>
        <w:t>and</w:t>
      </w:r>
      <w:r>
        <w:rPr>
          <w:spacing w:val="-17"/>
        </w:rPr>
        <w:t xml:space="preserve"> </w:t>
      </w:r>
      <w:r>
        <w:t>critical</w:t>
      </w:r>
      <w:r>
        <w:rPr>
          <w:spacing w:val="-17"/>
        </w:rPr>
        <w:t xml:space="preserve"> </w:t>
      </w:r>
      <w:r>
        <w:t>international</w:t>
      </w:r>
      <w:r>
        <w:rPr>
          <w:spacing w:val="-22"/>
        </w:rPr>
        <w:t xml:space="preserve"> </w:t>
      </w:r>
      <w:r>
        <w:t xml:space="preserve">security challenges. Therefore, </w:t>
      </w:r>
      <w:r>
        <w:rPr>
          <w:spacing w:val="-4"/>
        </w:rPr>
        <w:t xml:space="preserve">we </w:t>
      </w:r>
      <w:r>
        <w:t>call for peace and immediate and concerted actions to find an urgent resolution to this extraordinary situation through dialogue and</w:t>
      </w:r>
      <w:r>
        <w:rPr>
          <w:spacing w:val="-17"/>
        </w:rPr>
        <w:t xml:space="preserve"> </w:t>
      </w:r>
      <w:r>
        <w:rPr>
          <w:spacing w:val="-3"/>
        </w:rPr>
        <w:t>diplomacy.</w:t>
      </w:r>
    </w:p>
    <w:p w:rsidR="00170F1E" w:rsidRDefault="00E757F6" w:rsidP="00E757F6">
      <w:pPr>
        <w:pStyle w:val="a3"/>
        <w:spacing w:line="276" w:lineRule="auto"/>
        <w:ind w:right="109" w:firstLine="0"/>
      </w:pPr>
      <w:r>
        <w:t>Science transcends borders. We urge all Member States of the Institute to stand together and act by joining forces to preserve the stability and unity of JINR. More than ever, reinforcing JINR's mission</w:t>
      </w:r>
      <w:r>
        <w:rPr>
          <w:spacing w:val="-10"/>
        </w:rPr>
        <w:t xml:space="preserve"> </w:t>
      </w:r>
      <w:r>
        <w:t>in</w:t>
      </w:r>
      <w:r>
        <w:rPr>
          <w:spacing w:val="-15"/>
        </w:rPr>
        <w:t xml:space="preserve"> </w:t>
      </w:r>
      <w:r>
        <w:t>the</w:t>
      </w:r>
      <w:r>
        <w:rPr>
          <w:spacing w:val="-13"/>
        </w:rPr>
        <w:t xml:space="preserve"> </w:t>
      </w:r>
      <w:r>
        <w:t>peaceful</w:t>
      </w:r>
      <w:r>
        <w:rPr>
          <w:spacing w:val="-20"/>
        </w:rPr>
        <w:t xml:space="preserve"> </w:t>
      </w:r>
      <w:r>
        <w:t>pursuit</w:t>
      </w:r>
      <w:r>
        <w:rPr>
          <w:spacing w:val="-12"/>
        </w:rPr>
        <w:t xml:space="preserve"> </w:t>
      </w:r>
      <w:r>
        <w:t>of</w:t>
      </w:r>
      <w:r>
        <w:rPr>
          <w:spacing w:val="-18"/>
        </w:rPr>
        <w:t xml:space="preserve"> </w:t>
      </w:r>
      <w:r>
        <w:t>science,</w:t>
      </w:r>
      <w:r>
        <w:rPr>
          <w:spacing w:val="-13"/>
        </w:rPr>
        <w:t xml:space="preserve"> </w:t>
      </w:r>
      <w:r>
        <w:t>it</w:t>
      </w:r>
      <w:r>
        <w:rPr>
          <w:spacing w:val="-12"/>
        </w:rPr>
        <w:t xml:space="preserve"> </w:t>
      </w:r>
      <w:r>
        <w:t>is</w:t>
      </w:r>
      <w:r>
        <w:rPr>
          <w:spacing w:val="-12"/>
        </w:rPr>
        <w:t xml:space="preserve"> </w:t>
      </w:r>
      <w:r>
        <w:t>of</w:t>
      </w:r>
      <w:r>
        <w:rPr>
          <w:spacing w:val="-8"/>
        </w:rPr>
        <w:t xml:space="preserve"> </w:t>
      </w:r>
      <w:r>
        <w:t>utmost</w:t>
      </w:r>
      <w:r>
        <w:rPr>
          <w:spacing w:val="-18"/>
        </w:rPr>
        <w:t xml:space="preserve"> </w:t>
      </w:r>
      <w:r>
        <w:t>importance</w:t>
      </w:r>
      <w:r>
        <w:rPr>
          <w:spacing w:val="-14"/>
        </w:rPr>
        <w:t xml:space="preserve"> </w:t>
      </w:r>
      <w:r>
        <w:t>to</w:t>
      </w:r>
      <w:r>
        <w:rPr>
          <w:spacing w:val="-15"/>
        </w:rPr>
        <w:t xml:space="preserve"> </w:t>
      </w:r>
      <w:r>
        <w:t>continue</w:t>
      </w:r>
      <w:r>
        <w:rPr>
          <w:spacing w:val="-15"/>
        </w:rPr>
        <w:t xml:space="preserve"> </w:t>
      </w:r>
      <w:r>
        <w:t>the</w:t>
      </w:r>
      <w:r>
        <w:rPr>
          <w:spacing w:val="-14"/>
        </w:rPr>
        <w:t xml:space="preserve"> </w:t>
      </w:r>
      <w:r>
        <w:t>support</w:t>
      </w:r>
      <w:r>
        <w:rPr>
          <w:spacing w:val="-18"/>
        </w:rPr>
        <w:t xml:space="preserve"> </w:t>
      </w:r>
      <w:r>
        <w:t>provided for</w:t>
      </w:r>
      <w:r>
        <w:rPr>
          <w:spacing w:val="-10"/>
        </w:rPr>
        <w:t xml:space="preserve"> </w:t>
      </w:r>
      <w:r>
        <w:t>the</w:t>
      </w:r>
      <w:r>
        <w:rPr>
          <w:spacing w:val="-7"/>
        </w:rPr>
        <w:t xml:space="preserve"> </w:t>
      </w:r>
      <w:r>
        <w:t>research</w:t>
      </w:r>
      <w:r>
        <w:rPr>
          <w:spacing w:val="-12"/>
        </w:rPr>
        <w:t xml:space="preserve"> </w:t>
      </w:r>
      <w:r>
        <w:t>and</w:t>
      </w:r>
      <w:r>
        <w:rPr>
          <w:spacing w:val="-7"/>
        </w:rPr>
        <w:t xml:space="preserve"> </w:t>
      </w:r>
      <w:r>
        <w:t>educational</w:t>
      </w:r>
      <w:r>
        <w:rPr>
          <w:spacing w:val="-12"/>
        </w:rPr>
        <w:t xml:space="preserve"> </w:t>
      </w:r>
      <w:r>
        <w:t>activities</w:t>
      </w:r>
      <w:r>
        <w:rPr>
          <w:spacing w:val="-9"/>
        </w:rPr>
        <w:t xml:space="preserve"> </w:t>
      </w:r>
      <w:r>
        <w:t>of</w:t>
      </w:r>
      <w:r>
        <w:rPr>
          <w:spacing w:val="-10"/>
        </w:rPr>
        <w:t xml:space="preserve"> </w:t>
      </w:r>
      <w:r>
        <w:t>the</w:t>
      </w:r>
      <w:r>
        <w:rPr>
          <w:spacing w:val="-12"/>
        </w:rPr>
        <w:t xml:space="preserve"> </w:t>
      </w:r>
      <w:r>
        <w:t>Institute</w:t>
      </w:r>
      <w:r>
        <w:rPr>
          <w:spacing w:val="-7"/>
        </w:rPr>
        <w:t xml:space="preserve"> </w:t>
      </w:r>
      <w:r>
        <w:t>aimed</w:t>
      </w:r>
      <w:r>
        <w:rPr>
          <w:spacing w:val="-7"/>
        </w:rPr>
        <w:t xml:space="preserve"> </w:t>
      </w:r>
      <w:r>
        <w:t>at</w:t>
      </w:r>
      <w:r>
        <w:rPr>
          <w:spacing w:val="-10"/>
        </w:rPr>
        <w:t xml:space="preserve"> </w:t>
      </w:r>
      <w:r>
        <w:t>the</w:t>
      </w:r>
      <w:r>
        <w:rPr>
          <w:spacing w:val="-7"/>
        </w:rPr>
        <w:t xml:space="preserve"> </w:t>
      </w:r>
      <w:r>
        <w:t>benefit</w:t>
      </w:r>
      <w:r>
        <w:rPr>
          <w:spacing w:val="-10"/>
        </w:rPr>
        <w:t xml:space="preserve"> </w:t>
      </w:r>
      <w:r>
        <w:t>of</w:t>
      </w:r>
      <w:r>
        <w:rPr>
          <w:spacing w:val="-3"/>
        </w:rPr>
        <w:t xml:space="preserve"> </w:t>
      </w:r>
      <w:r>
        <w:t>the</w:t>
      </w:r>
      <w:r>
        <w:rPr>
          <w:spacing w:val="-7"/>
        </w:rPr>
        <w:t xml:space="preserve"> </w:t>
      </w:r>
      <w:r>
        <w:t>whole</w:t>
      </w:r>
      <w:r>
        <w:rPr>
          <w:spacing w:val="-7"/>
        </w:rPr>
        <w:t xml:space="preserve"> </w:t>
      </w:r>
      <w:r>
        <w:t>mankind.</w:t>
      </w:r>
    </w:p>
    <w:p w:rsidR="00170F1E" w:rsidRDefault="00E757F6" w:rsidP="00E757F6">
      <w:pPr>
        <w:pStyle w:val="a3"/>
        <w:spacing w:before="60" w:line="276" w:lineRule="auto"/>
        <w:ind w:firstLine="0"/>
      </w:pPr>
      <w:r>
        <w:t>The members of the JINR Committee of Plenipotentiaries, reunited in an extraordinary meeting   on 17 and 21 March 2022, declare the</w:t>
      </w:r>
      <w:r>
        <w:rPr>
          <w:spacing w:val="-12"/>
        </w:rPr>
        <w:t xml:space="preserve"> </w:t>
      </w:r>
      <w:r>
        <w:t>following:</w:t>
      </w:r>
    </w:p>
    <w:p w:rsidR="00170F1E" w:rsidRDefault="00E757F6" w:rsidP="00E757F6">
      <w:pPr>
        <w:pStyle w:val="a5"/>
        <w:numPr>
          <w:ilvl w:val="0"/>
          <w:numId w:val="1"/>
        </w:numPr>
        <w:tabs>
          <w:tab w:val="left" w:pos="833"/>
        </w:tabs>
        <w:spacing w:line="276" w:lineRule="auto"/>
        <w:jc w:val="both"/>
        <w:rPr>
          <w:sz w:val="23"/>
        </w:rPr>
      </w:pPr>
      <w:r>
        <w:rPr>
          <w:sz w:val="23"/>
        </w:rPr>
        <w:t xml:space="preserve">We reconfirm our full commitment to the Charter of the Institute, reasserting that all our common resources are used solely for peaceful purposes and </w:t>
      </w:r>
      <w:r>
        <w:rPr>
          <w:spacing w:val="-2"/>
          <w:sz w:val="23"/>
        </w:rPr>
        <w:t xml:space="preserve">the </w:t>
      </w:r>
      <w:r>
        <w:rPr>
          <w:sz w:val="23"/>
        </w:rPr>
        <w:t xml:space="preserve">benefit of humankind. Along </w:t>
      </w:r>
      <w:r>
        <w:rPr>
          <w:spacing w:val="-3"/>
          <w:sz w:val="23"/>
        </w:rPr>
        <w:t xml:space="preserve">with </w:t>
      </w:r>
      <w:r>
        <w:rPr>
          <w:sz w:val="23"/>
        </w:rPr>
        <w:t xml:space="preserve">implementing </w:t>
      </w:r>
      <w:r>
        <w:rPr>
          <w:spacing w:val="-2"/>
          <w:sz w:val="23"/>
        </w:rPr>
        <w:t xml:space="preserve">its </w:t>
      </w:r>
      <w:r>
        <w:rPr>
          <w:sz w:val="23"/>
        </w:rPr>
        <w:t xml:space="preserve">major objective –– studies of the fundamental laws of </w:t>
      </w:r>
      <w:r>
        <w:rPr>
          <w:spacing w:val="-3"/>
          <w:sz w:val="23"/>
        </w:rPr>
        <w:t xml:space="preserve">matter, </w:t>
      </w:r>
      <w:r>
        <w:rPr>
          <w:sz w:val="23"/>
        </w:rPr>
        <w:t xml:space="preserve">JINR has created and sustains a unique environment for </w:t>
      </w:r>
      <w:r>
        <w:rPr>
          <w:spacing w:val="-2"/>
          <w:sz w:val="23"/>
        </w:rPr>
        <w:t xml:space="preserve">its </w:t>
      </w:r>
      <w:r>
        <w:rPr>
          <w:sz w:val="23"/>
        </w:rPr>
        <w:t>Member States and partner countries, facilitating scientific cooperation and mutual cultural</w:t>
      </w:r>
      <w:r>
        <w:rPr>
          <w:spacing w:val="-24"/>
          <w:sz w:val="23"/>
        </w:rPr>
        <w:t xml:space="preserve"> </w:t>
      </w:r>
      <w:r>
        <w:rPr>
          <w:sz w:val="23"/>
        </w:rPr>
        <w:t>enrichment.</w:t>
      </w:r>
    </w:p>
    <w:p w:rsidR="00170F1E" w:rsidRDefault="00E757F6" w:rsidP="00E757F6">
      <w:pPr>
        <w:pStyle w:val="a5"/>
        <w:numPr>
          <w:ilvl w:val="0"/>
          <w:numId w:val="1"/>
        </w:numPr>
        <w:tabs>
          <w:tab w:val="left" w:pos="833"/>
        </w:tabs>
        <w:spacing w:before="119" w:line="276" w:lineRule="auto"/>
        <w:ind w:right="113"/>
        <w:jc w:val="both"/>
        <w:rPr>
          <w:sz w:val="23"/>
        </w:rPr>
      </w:pPr>
      <w:r>
        <w:rPr>
          <w:sz w:val="23"/>
        </w:rPr>
        <w:t>We reiterate our commitment to ensure the unity of the Institute and to support further development</w:t>
      </w:r>
      <w:r>
        <w:rPr>
          <w:spacing w:val="-7"/>
          <w:sz w:val="23"/>
        </w:rPr>
        <w:t xml:space="preserve"> </w:t>
      </w:r>
      <w:r>
        <w:rPr>
          <w:sz w:val="23"/>
        </w:rPr>
        <w:t>of</w:t>
      </w:r>
      <w:r>
        <w:rPr>
          <w:spacing w:val="-7"/>
          <w:sz w:val="23"/>
        </w:rPr>
        <w:t xml:space="preserve"> </w:t>
      </w:r>
      <w:r>
        <w:rPr>
          <w:sz w:val="23"/>
        </w:rPr>
        <w:t>JINR</w:t>
      </w:r>
      <w:r>
        <w:rPr>
          <w:spacing w:val="-4"/>
          <w:sz w:val="23"/>
        </w:rPr>
        <w:t xml:space="preserve"> </w:t>
      </w:r>
      <w:r>
        <w:rPr>
          <w:sz w:val="23"/>
        </w:rPr>
        <w:t>as</w:t>
      </w:r>
      <w:r>
        <w:rPr>
          <w:spacing w:val="-9"/>
          <w:sz w:val="23"/>
        </w:rPr>
        <w:t xml:space="preserve"> </w:t>
      </w:r>
      <w:r>
        <w:rPr>
          <w:sz w:val="23"/>
        </w:rPr>
        <w:t>an</w:t>
      </w:r>
      <w:r>
        <w:rPr>
          <w:spacing w:val="-4"/>
          <w:sz w:val="23"/>
        </w:rPr>
        <w:t xml:space="preserve"> </w:t>
      </w:r>
      <w:r>
        <w:rPr>
          <w:sz w:val="23"/>
        </w:rPr>
        <w:t>international</w:t>
      </w:r>
      <w:r>
        <w:rPr>
          <w:spacing w:val="-7"/>
          <w:sz w:val="23"/>
        </w:rPr>
        <w:t xml:space="preserve"> </w:t>
      </w:r>
      <w:r>
        <w:rPr>
          <w:sz w:val="23"/>
        </w:rPr>
        <w:t>intergovernmental</w:t>
      </w:r>
      <w:r>
        <w:rPr>
          <w:spacing w:val="-8"/>
          <w:sz w:val="23"/>
        </w:rPr>
        <w:t xml:space="preserve"> </w:t>
      </w:r>
      <w:r>
        <w:rPr>
          <w:sz w:val="23"/>
        </w:rPr>
        <w:t>research</w:t>
      </w:r>
      <w:r>
        <w:rPr>
          <w:spacing w:val="-4"/>
          <w:sz w:val="23"/>
        </w:rPr>
        <w:t xml:space="preserve"> </w:t>
      </w:r>
      <w:r>
        <w:rPr>
          <w:sz w:val="23"/>
        </w:rPr>
        <w:t>organization,</w:t>
      </w:r>
      <w:r>
        <w:rPr>
          <w:spacing w:val="-6"/>
          <w:sz w:val="23"/>
        </w:rPr>
        <w:t xml:space="preserve"> </w:t>
      </w:r>
      <w:r>
        <w:rPr>
          <w:sz w:val="23"/>
        </w:rPr>
        <w:t>providing a valuable platform for multilateral scientific communication and collaborations. JINR</w:t>
      </w:r>
      <w:r>
        <w:rPr>
          <w:spacing w:val="-38"/>
          <w:sz w:val="23"/>
        </w:rPr>
        <w:t xml:space="preserve"> </w:t>
      </w:r>
      <w:r>
        <w:rPr>
          <w:sz w:val="23"/>
        </w:rPr>
        <w:t xml:space="preserve">should remain a distinctive scientific bridge between nations for resolution of global challenges confronting humanity –– according to </w:t>
      </w:r>
      <w:r>
        <w:rPr>
          <w:spacing w:val="-2"/>
          <w:sz w:val="23"/>
        </w:rPr>
        <w:t xml:space="preserve">the </w:t>
      </w:r>
      <w:r>
        <w:rPr>
          <w:sz w:val="23"/>
        </w:rPr>
        <w:t xml:space="preserve">Institute’s Charter and in alignment </w:t>
      </w:r>
      <w:r>
        <w:rPr>
          <w:spacing w:val="-3"/>
          <w:sz w:val="23"/>
        </w:rPr>
        <w:t xml:space="preserve">with </w:t>
      </w:r>
      <w:r>
        <w:rPr>
          <w:sz w:val="23"/>
        </w:rPr>
        <w:t xml:space="preserve">the Sofia Declaration of the Committee of Plenipotentiaries on the value of international integration in science and </w:t>
      </w:r>
      <w:r>
        <w:rPr>
          <w:spacing w:val="-3"/>
          <w:sz w:val="23"/>
        </w:rPr>
        <w:t xml:space="preserve">technology, </w:t>
      </w:r>
      <w:r>
        <w:rPr>
          <w:sz w:val="23"/>
        </w:rPr>
        <w:t xml:space="preserve">which </w:t>
      </w:r>
      <w:r>
        <w:rPr>
          <w:spacing w:val="-4"/>
          <w:sz w:val="23"/>
        </w:rPr>
        <w:t xml:space="preserve">we </w:t>
      </w:r>
      <w:r>
        <w:rPr>
          <w:sz w:val="23"/>
        </w:rPr>
        <w:t>adopted in Bulgaria in November</w:t>
      </w:r>
      <w:r>
        <w:rPr>
          <w:spacing w:val="3"/>
          <w:sz w:val="23"/>
        </w:rPr>
        <w:t xml:space="preserve"> </w:t>
      </w:r>
      <w:r>
        <w:rPr>
          <w:sz w:val="23"/>
        </w:rPr>
        <w:t>2021.</w:t>
      </w:r>
    </w:p>
    <w:p w:rsidR="00170F1E" w:rsidRPr="00E757F6" w:rsidRDefault="00E757F6" w:rsidP="00E757F6">
      <w:pPr>
        <w:pStyle w:val="a5"/>
        <w:numPr>
          <w:ilvl w:val="0"/>
          <w:numId w:val="1"/>
        </w:numPr>
        <w:tabs>
          <w:tab w:val="left" w:pos="833"/>
        </w:tabs>
        <w:spacing w:before="124" w:line="276" w:lineRule="auto"/>
        <w:ind w:right="111"/>
        <w:jc w:val="both"/>
        <w:rPr>
          <w:sz w:val="23"/>
        </w:rPr>
      </w:pPr>
      <w:r>
        <w:rPr>
          <w:sz w:val="23"/>
        </w:rPr>
        <w:t xml:space="preserve">We underline the importance for JINR to continue </w:t>
      </w:r>
      <w:r>
        <w:rPr>
          <w:spacing w:val="-2"/>
          <w:sz w:val="23"/>
        </w:rPr>
        <w:t xml:space="preserve">its </w:t>
      </w:r>
      <w:r>
        <w:rPr>
          <w:sz w:val="23"/>
        </w:rPr>
        <w:t xml:space="preserve">close cooperation </w:t>
      </w:r>
      <w:r>
        <w:rPr>
          <w:spacing w:val="-3"/>
          <w:sz w:val="23"/>
        </w:rPr>
        <w:t xml:space="preserve">with </w:t>
      </w:r>
      <w:r>
        <w:rPr>
          <w:sz w:val="23"/>
        </w:rPr>
        <w:t xml:space="preserve">international research organizations and in particular </w:t>
      </w:r>
      <w:r>
        <w:rPr>
          <w:spacing w:val="-3"/>
          <w:sz w:val="23"/>
        </w:rPr>
        <w:t xml:space="preserve">with </w:t>
      </w:r>
      <w:r>
        <w:rPr>
          <w:sz w:val="23"/>
        </w:rPr>
        <w:t xml:space="preserve">CERN. We emphasize the special role and mission resting </w:t>
      </w:r>
      <w:r>
        <w:rPr>
          <w:spacing w:val="-3"/>
          <w:sz w:val="23"/>
        </w:rPr>
        <w:t xml:space="preserve">with </w:t>
      </w:r>
      <w:r>
        <w:rPr>
          <w:sz w:val="23"/>
        </w:rPr>
        <w:t>two largest international research organizations in the field of Particle and Nuclear Physics –– CERN and JINR, which over the last 65 years have proved their commitment towards strengthening peace and</w:t>
      </w:r>
      <w:r>
        <w:rPr>
          <w:spacing w:val="-10"/>
          <w:sz w:val="23"/>
        </w:rPr>
        <w:t xml:space="preserve"> </w:t>
      </w:r>
      <w:r>
        <w:rPr>
          <w:spacing w:val="-3"/>
          <w:sz w:val="23"/>
        </w:rPr>
        <w:t>stability.</w:t>
      </w:r>
    </w:p>
    <w:p w:rsidR="00E757F6" w:rsidRDefault="00E757F6" w:rsidP="00E757F6">
      <w:pPr>
        <w:spacing w:line="276" w:lineRule="auto"/>
        <w:jc w:val="both"/>
        <w:rPr>
          <w:b/>
        </w:rPr>
      </w:pPr>
    </w:p>
    <w:p w:rsidR="00E757F6" w:rsidRDefault="00E757F6" w:rsidP="00E757F6">
      <w:pPr>
        <w:spacing w:line="276" w:lineRule="auto"/>
        <w:jc w:val="both"/>
        <w:rPr>
          <w:b/>
        </w:rPr>
      </w:pPr>
    </w:p>
    <w:p w:rsidR="00E757F6" w:rsidRPr="00E757F6" w:rsidRDefault="00E757F6" w:rsidP="00E757F6">
      <w:pPr>
        <w:spacing w:line="276" w:lineRule="auto"/>
        <w:ind w:left="4111"/>
        <w:jc w:val="both"/>
        <w:rPr>
          <w:b/>
        </w:rPr>
      </w:pPr>
      <w:r w:rsidRPr="00E757F6">
        <w:rPr>
          <w:b/>
        </w:rPr>
        <w:t>Agreed and adopted by the Committee of Plenipotentiaries</w:t>
      </w:r>
    </w:p>
    <w:p w:rsidR="00E757F6" w:rsidRDefault="00E757F6" w:rsidP="00E757F6">
      <w:pPr>
        <w:spacing w:line="276" w:lineRule="auto"/>
        <w:ind w:left="4111"/>
        <w:jc w:val="both"/>
        <w:rPr>
          <w:b/>
        </w:rPr>
      </w:pPr>
      <w:r w:rsidRPr="00E757F6">
        <w:rPr>
          <w:b/>
        </w:rPr>
        <w:t>of the Governments of the Member States</w:t>
      </w:r>
      <w:r>
        <w:rPr>
          <w:b/>
        </w:rPr>
        <w:t xml:space="preserve"> </w:t>
      </w:r>
      <w:r w:rsidRPr="00E757F6">
        <w:rPr>
          <w:b/>
        </w:rPr>
        <w:t xml:space="preserve">of the Joint Institute for Nuclear Research </w:t>
      </w:r>
    </w:p>
    <w:p w:rsidR="00E757F6" w:rsidRPr="00E757F6" w:rsidRDefault="00E757F6" w:rsidP="00E757F6">
      <w:pPr>
        <w:spacing w:line="276" w:lineRule="auto"/>
        <w:ind w:left="4111"/>
        <w:jc w:val="both"/>
        <w:rPr>
          <w:b/>
        </w:rPr>
      </w:pPr>
      <w:r w:rsidRPr="00E757F6">
        <w:rPr>
          <w:b/>
        </w:rPr>
        <w:t>on 21 March 2022</w:t>
      </w:r>
    </w:p>
    <w:sectPr w:rsidR="00E757F6" w:rsidRPr="00E757F6">
      <w:type w:val="continuous"/>
      <w:pgSz w:w="12240" w:h="15840"/>
      <w:pgMar w:top="920" w:right="6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5004"/>
    <w:multiLevelType w:val="hybridMultilevel"/>
    <w:tmpl w:val="C3B45E08"/>
    <w:lvl w:ilvl="0" w:tplc="B4A8095E">
      <w:start w:val="1"/>
      <w:numFmt w:val="decimal"/>
      <w:lvlText w:val="%1."/>
      <w:lvlJc w:val="left"/>
      <w:pPr>
        <w:ind w:left="832" w:hanging="361"/>
        <w:jc w:val="left"/>
      </w:pPr>
      <w:rPr>
        <w:rFonts w:ascii="Arial" w:eastAsia="Arial" w:hAnsi="Arial" w:cs="Arial" w:hint="default"/>
        <w:spacing w:val="0"/>
        <w:w w:val="100"/>
        <w:sz w:val="23"/>
        <w:szCs w:val="23"/>
        <w:lang w:val="en-US" w:eastAsia="en-US" w:bidi="ar-SA"/>
      </w:rPr>
    </w:lvl>
    <w:lvl w:ilvl="1" w:tplc="BB8C838A">
      <w:numFmt w:val="bullet"/>
      <w:lvlText w:val="•"/>
      <w:lvlJc w:val="left"/>
      <w:pPr>
        <w:ind w:left="1782" w:hanging="361"/>
      </w:pPr>
      <w:rPr>
        <w:rFonts w:hint="default"/>
        <w:lang w:val="en-US" w:eastAsia="en-US" w:bidi="ar-SA"/>
      </w:rPr>
    </w:lvl>
    <w:lvl w:ilvl="2" w:tplc="A80A2C7A">
      <w:numFmt w:val="bullet"/>
      <w:lvlText w:val="•"/>
      <w:lvlJc w:val="left"/>
      <w:pPr>
        <w:ind w:left="2724" w:hanging="361"/>
      </w:pPr>
      <w:rPr>
        <w:rFonts w:hint="default"/>
        <w:lang w:val="en-US" w:eastAsia="en-US" w:bidi="ar-SA"/>
      </w:rPr>
    </w:lvl>
    <w:lvl w:ilvl="3" w:tplc="CA162DE8">
      <w:numFmt w:val="bullet"/>
      <w:lvlText w:val="•"/>
      <w:lvlJc w:val="left"/>
      <w:pPr>
        <w:ind w:left="3666" w:hanging="361"/>
      </w:pPr>
      <w:rPr>
        <w:rFonts w:hint="default"/>
        <w:lang w:val="en-US" w:eastAsia="en-US" w:bidi="ar-SA"/>
      </w:rPr>
    </w:lvl>
    <w:lvl w:ilvl="4" w:tplc="64E2AC82">
      <w:numFmt w:val="bullet"/>
      <w:lvlText w:val="•"/>
      <w:lvlJc w:val="left"/>
      <w:pPr>
        <w:ind w:left="4608" w:hanging="361"/>
      </w:pPr>
      <w:rPr>
        <w:rFonts w:hint="default"/>
        <w:lang w:val="en-US" w:eastAsia="en-US" w:bidi="ar-SA"/>
      </w:rPr>
    </w:lvl>
    <w:lvl w:ilvl="5" w:tplc="6E4861A0">
      <w:numFmt w:val="bullet"/>
      <w:lvlText w:val="•"/>
      <w:lvlJc w:val="left"/>
      <w:pPr>
        <w:ind w:left="5550" w:hanging="361"/>
      </w:pPr>
      <w:rPr>
        <w:rFonts w:hint="default"/>
        <w:lang w:val="en-US" w:eastAsia="en-US" w:bidi="ar-SA"/>
      </w:rPr>
    </w:lvl>
    <w:lvl w:ilvl="6" w:tplc="BBAAE192">
      <w:numFmt w:val="bullet"/>
      <w:lvlText w:val="•"/>
      <w:lvlJc w:val="left"/>
      <w:pPr>
        <w:ind w:left="6492" w:hanging="361"/>
      </w:pPr>
      <w:rPr>
        <w:rFonts w:hint="default"/>
        <w:lang w:val="en-US" w:eastAsia="en-US" w:bidi="ar-SA"/>
      </w:rPr>
    </w:lvl>
    <w:lvl w:ilvl="7" w:tplc="505AF62A">
      <w:numFmt w:val="bullet"/>
      <w:lvlText w:val="•"/>
      <w:lvlJc w:val="left"/>
      <w:pPr>
        <w:ind w:left="7434" w:hanging="361"/>
      </w:pPr>
      <w:rPr>
        <w:rFonts w:hint="default"/>
        <w:lang w:val="en-US" w:eastAsia="en-US" w:bidi="ar-SA"/>
      </w:rPr>
    </w:lvl>
    <w:lvl w:ilvl="8" w:tplc="345C32A8">
      <w:numFmt w:val="bullet"/>
      <w:lvlText w:val="•"/>
      <w:lvlJc w:val="left"/>
      <w:pPr>
        <w:ind w:left="837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1E"/>
    <w:rsid w:val="00170F1E"/>
    <w:rsid w:val="00972D01"/>
    <w:rsid w:val="00E7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91443-E5F9-4B04-9656-17527A57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7"/>
      <w:ind w:left="116" w:right="111" w:hanging="361"/>
      <w:jc w:val="both"/>
    </w:pPr>
    <w:rPr>
      <w:sz w:val="23"/>
      <w:szCs w:val="23"/>
    </w:rPr>
  </w:style>
  <w:style w:type="paragraph" w:styleId="a4">
    <w:name w:val="Title"/>
    <w:basedOn w:val="a"/>
    <w:uiPriority w:val="1"/>
    <w:qFormat/>
    <w:pPr>
      <w:ind w:left="348" w:right="354"/>
      <w:jc w:val="center"/>
    </w:pPr>
    <w:rPr>
      <w:b/>
      <w:bCs/>
      <w:sz w:val="24"/>
      <w:szCs w:val="24"/>
    </w:rPr>
  </w:style>
  <w:style w:type="paragraph" w:styleId="a5">
    <w:name w:val="List Paragraph"/>
    <w:basedOn w:val="a"/>
    <w:uiPriority w:val="1"/>
    <w:qFormat/>
    <w:pPr>
      <w:spacing w:before="118"/>
      <w:ind w:left="832" w:right="108" w:hanging="36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2</cp:revision>
  <dcterms:created xsi:type="dcterms:W3CDTF">2022-04-22T08:30:00Z</dcterms:created>
  <dcterms:modified xsi:type="dcterms:W3CDTF">2022-04-22T08:30:00Z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2022-04-22T00:00:00Z</vt:filetime>
  </property>
</Properties>
</file>