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0093" w14:textId="77777777" w:rsidR="00B63C72" w:rsidRPr="00864AA7" w:rsidRDefault="00864AA7" w:rsidP="00FF3ED6">
      <w:pPr>
        <w:spacing w:line="240" w:lineRule="auto"/>
        <w:jc w:val="center"/>
        <w:rPr>
          <w:rFonts w:cs="Times New Roman"/>
          <w:b/>
          <w:sz w:val="28"/>
        </w:rPr>
      </w:pPr>
      <w:r w:rsidRPr="00864AA7">
        <w:rPr>
          <w:rFonts w:cs="Times New Roman"/>
          <w:b/>
          <w:sz w:val="28"/>
        </w:rPr>
        <w:t>КОМПЛЕКСНОЕ ИССЛЕДОВАНИЕ УТРАЧЕННЫХ РОСПИСЕЙ ЦЕРКВИ ИОАННА НА ОПОКАХ (ВЕЛИКИЙ НОВГОРОД, РОССИЯ).</w:t>
      </w:r>
    </w:p>
    <w:p w14:paraId="420FE6DC" w14:textId="77777777" w:rsidR="00CD2AE3" w:rsidRPr="00864AA7" w:rsidRDefault="00CD2AE3" w:rsidP="00FF3ED6">
      <w:pPr>
        <w:spacing w:line="240" w:lineRule="auto"/>
        <w:jc w:val="center"/>
        <w:rPr>
          <w:rFonts w:cs="Times New Roman"/>
          <w:b/>
          <w:sz w:val="28"/>
        </w:rPr>
      </w:pPr>
    </w:p>
    <w:p w14:paraId="03E7726A" w14:textId="77777777" w:rsidR="002B343F" w:rsidRDefault="002B343F" w:rsidP="002B343F">
      <w:pPr>
        <w:pStyle w:val="a4"/>
        <w:spacing w:before="0" w:beforeAutospacing="0" w:after="0" w:afterAutospacing="0"/>
        <w:jc w:val="center"/>
      </w:pPr>
      <w:r w:rsidRPr="00913EFE">
        <w:rPr>
          <w:u w:val="single"/>
        </w:rPr>
        <w:t>О.С. Филиппова</w:t>
      </w:r>
      <w:r w:rsidRPr="00913EFE">
        <w:rPr>
          <w:u w:val="single"/>
          <w:vertAlign w:val="superscript"/>
        </w:rPr>
        <w:t>1</w:t>
      </w:r>
      <w:r w:rsidRPr="00864AA7">
        <w:t>, А.Ю. Дмитриев</w:t>
      </w:r>
      <w:r w:rsidRPr="00864AA7">
        <w:rPr>
          <w:vertAlign w:val="superscript"/>
        </w:rPr>
        <w:t>1*</w:t>
      </w:r>
      <w:r w:rsidRPr="00864AA7">
        <w:t>, Т.Ю. Царевская</w:t>
      </w:r>
      <w:r w:rsidRPr="00864AA7">
        <w:rPr>
          <w:vertAlign w:val="superscript"/>
        </w:rPr>
        <w:t>2</w:t>
      </w:r>
      <w:r w:rsidRPr="00411067">
        <w:t>, С.Г. Ленник</w:t>
      </w:r>
      <w:r w:rsidRPr="00411067">
        <w:rPr>
          <w:vertAlign w:val="superscript"/>
        </w:rPr>
        <w:t>3</w:t>
      </w:r>
      <w:r w:rsidRPr="00411067">
        <w:t>.</w:t>
      </w:r>
    </w:p>
    <w:p w14:paraId="7D0DB3AB" w14:textId="77777777" w:rsidR="002B343F" w:rsidRPr="00913EFE" w:rsidRDefault="002B343F" w:rsidP="002B343F">
      <w:pPr>
        <w:spacing w:line="240" w:lineRule="auto"/>
        <w:jc w:val="center"/>
        <w:rPr>
          <w:rStyle w:val="a6"/>
          <w:rFonts w:cs="Times New Roman"/>
          <w:szCs w:val="24"/>
          <w:lang w:val="en-US"/>
        </w:rPr>
      </w:pPr>
      <w:r w:rsidRPr="00913EFE">
        <w:rPr>
          <w:rFonts w:cs="Times New Roman"/>
          <w:szCs w:val="24"/>
          <w:lang w:val="en-US"/>
        </w:rPr>
        <w:t xml:space="preserve">* </w:t>
      </w:r>
      <w:hyperlink r:id="rId6" w:history="1">
        <w:r w:rsidRPr="005E0D4C">
          <w:rPr>
            <w:rStyle w:val="a6"/>
            <w:rFonts w:cs="Times New Roman"/>
            <w:szCs w:val="24"/>
            <w:lang w:val="en-US"/>
          </w:rPr>
          <w:t>andmitriev</w:t>
        </w:r>
        <w:r w:rsidRPr="00913EFE">
          <w:rPr>
            <w:rStyle w:val="a6"/>
            <w:rFonts w:cs="Times New Roman"/>
            <w:szCs w:val="24"/>
            <w:lang w:val="en-US"/>
          </w:rPr>
          <w:t>@</w:t>
        </w:r>
        <w:r w:rsidRPr="005E0D4C">
          <w:rPr>
            <w:rStyle w:val="a6"/>
            <w:rFonts w:cs="Times New Roman"/>
            <w:szCs w:val="24"/>
            <w:lang w:val="en-US"/>
          </w:rPr>
          <w:t>jinr</w:t>
        </w:r>
        <w:r w:rsidRPr="00913EFE">
          <w:rPr>
            <w:rStyle w:val="a6"/>
            <w:rFonts w:cs="Times New Roman"/>
            <w:szCs w:val="24"/>
            <w:lang w:val="en-US"/>
          </w:rPr>
          <w:t>.</w:t>
        </w:r>
        <w:r w:rsidRPr="005E0D4C">
          <w:rPr>
            <w:rStyle w:val="a6"/>
            <w:rFonts w:cs="Times New Roman"/>
            <w:szCs w:val="24"/>
            <w:lang w:val="en-US"/>
          </w:rPr>
          <w:t>ru</w:t>
        </w:r>
      </w:hyperlink>
    </w:p>
    <w:p w14:paraId="3B957D42" w14:textId="77777777" w:rsidR="00864AA7" w:rsidRPr="00913EFE" w:rsidRDefault="00864AA7" w:rsidP="00FF3ED6">
      <w:pPr>
        <w:pStyle w:val="a4"/>
        <w:spacing w:before="0" w:beforeAutospacing="0" w:after="0" w:afterAutospacing="0"/>
        <w:jc w:val="center"/>
        <w:rPr>
          <w:lang w:val="en-US"/>
        </w:rPr>
      </w:pPr>
    </w:p>
    <w:p w14:paraId="70F31CEC" w14:textId="3ED52DB1" w:rsidR="00B63C72" w:rsidRPr="002B343F" w:rsidRDefault="00B63C72" w:rsidP="002B343F">
      <w:pPr>
        <w:pStyle w:val="a4"/>
        <w:spacing w:before="0" w:beforeAutospacing="0" w:after="0" w:afterAutospacing="0"/>
        <w:jc w:val="center"/>
        <w:rPr>
          <w:rStyle w:val="a5"/>
          <w:lang w:val="en-US"/>
        </w:rPr>
      </w:pPr>
      <w:r w:rsidRPr="002B343F">
        <w:rPr>
          <w:rStyle w:val="a5"/>
          <w:lang w:val="en-US"/>
        </w:rPr>
        <w:t xml:space="preserve">1 – </w:t>
      </w:r>
      <w:r w:rsidR="002B343F" w:rsidRPr="002B343F">
        <w:rPr>
          <w:rStyle w:val="a5"/>
          <w:lang w:val="en-US"/>
        </w:rPr>
        <w:t>Joint Institute for Nuclear Research, Dubna, Moscow region, Russia</w:t>
      </w:r>
    </w:p>
    <w:p w14:paraId="39A982AB" w14:textId="77777777" w:rsidR="00B63C72" w:rsidRPr="00411067" w:rsidRDefault="00B63C72" w:rsidP="00FF3ED6">
      <w:pPr>
        <w:pStyle w:val="a4"/>
        <w:spacing w:before="0" w:beforeAutospacing="0" w:after="0" w:afterAutospacing="0"/>
        <w:jc w:val="center"/>
        <w:rPr>
          <w:i/>
        </w:rPr>
      </w:pPr>
      <w:r w:rsidRPr="00411067">
        <w:rPr>
          <w:i/>
        </w:rPr>
        <w:t xml:space="preserve">2 </w:t>
      </w:r>
      <w:r w:rsidR="00887466" w:rsidRPr="00411067">
        <w:rPr>
          <w:i/>
        </w:rPr>
        <w:t>–</w:t>
      </w:r>
      <w:r w:rsidR="00DB3096" w:rsidRPr="00411067">
        <w:rPr>
          <w:i/>
        </w:rPr>
        <w:t xml:space="preserve"> </w:t>
      </w:r>
      <w:r w:rsidR="00887466" w:rsidRPr="00411067">
        <w:rPr>
          <w:i/>
        </w:rPr>
        <w:t>Государственный институт искусствознания</w:t>
      </w:r>
      <w:r w:rsidR="00B53101" w:rsidRPr="00411067">
        <w:rPr>
          <w:i/>
        </w:rPr>
        <w:t>,</w:t>
      </w:r>
      <w:r w:rsidR="00DB3096" w:rsidRPr="00411067">
        <w:rPr>
          <w:i/>
        </w:rPr>
        <w:t xml:space="preserve"> Москва, Россия</w:t>
      </w:r>
    </w:p>
    <w:p w14:paraId="3706BA8E" w14:textId="77777777" w:rsidR="00B53101" w:rsidRPr="00B53101" w:rsidRDefault="00B53101" w:rsidP="00FF3ED6">
      <w:pPr>
        <w:pStyle w:val="a4"/>
        <w:spacing w:before="0" w:beforeAutospacing="0" w:after="0" w:afterAutospacing="0"/>
        <w:jc w:val="center"/>
        <w:rPr>
          <w:i/>
        </w:rPr>
      </w:pPr>
      <w:r w:rsidRPr="00411067">
        <w:rPr>
          <w:i/>
        </w:rPr>
        <w:t>3 – Институт ядерной физики, Алматы, Казахстан</w:t>
      </w:r>
    </w:p>
    <w:p w14:paraId="182FAAA9" w14:textId="77777777" w:rsidR="00864AA7" w:rsidRPr="00864AA7" w:rsidRDefault="00864AA7" w:rsidP="00FF3ED6">
      <w:pPr>
        <w:pStyle w:val="a4"/>
        <w:spacing w:before="0" w:beforeAutospacing="0" w:after="0" w:afterAutospacing="0"/>
        <w:jc w:val="center"/>
      </w:pPr>
    </w:p>
    <w:p w14:paraId="77B2DD66" w14:textId="48AD1860" w:rsidR="00887466" w:rsidRPr="004F3191" w:rsidRDefault="00864AA7" w:rsidP="00FF3ED6">
      <w:pPr>
        <w:spacing w:line="240" w:lineRule="auto"/>
        <w:ind w:firstLine="709"/>
        <w:jc w:val="both"/>
        <w:rPr>
          <w:szCs w:val="24"/>
        </w:rPr>
      </w:pPr>
      <w:r w:rsidRPr="004F3191">
        <w:rPr>
          <w:szCs w:val="24"/>
        </w:rPr>
        <w:t>Храм</w:t>
      </w:r>
      <w:r w:rsidR="00887466" w:rsidRPr="004F3191">
        <w:rPr>
          <w:szCs w:val="24"/>
        </w:rPr>
        <w:t xml:space="preserve"> Иоанна на Опоках датируется 1127-1130 годом, однако в 1453 году древняя церковь была разобрана, и на старых фундаментах «повелением» архиепископа Евфимия возведена новая. Таким образом, авторская живопись смогла сохраниться до наших дней только в виде археологических образцов. Раскопки, проведенные в 2021 году экспедицией Санкт-Петербургского университета, выявили некоторое количество фрагментов древней росписи.</w:t>
      </w:r>
    </w:p>
    <w:p w14:paraId="0987C53B" w14:textId="54EA4367" w:rsidR="00F5102A" w:rsidRPr="004F3191" w:rsidRDefault="0039453B" w:rsidP="00F5102A">
      <w:pPr>
        <w:spacing w:line="240" w:lineRule="auto"/>
        <w:ind w:firstLine="709"/>
        <w:jc w:val="both"/>
        <w:rPr>
          <w:szCs w:val="24"/>
        </w:rPr>
      </w:pPr>
      <w:r w:rsidRPr="004F3191">
        <w:rPr>
          <w:szCs w:val="24"/>
        </w:rPr>
        <w:t>В Лаборатории нейтронной физики им. И.М. Франка Объединённого института ядерных исследований изучены красочные слои</w:t>
      </w:r>
      <w:r w:rsidR="006B6244" w:rsidRPr="004F3191">
        <w:rPr>
          <w:szCs w:val="24"/>
        </w:rPr>
        <w:t>, связующие</w:t>
      </w:r>
      <w:r w:rsidRPr="004F3191">
        <w:rPr>
          <w:szCs w:val="24"/>
        </w:rPr>
        <w:t xml:space="preserve"> и штукатурные основания </w:t>
      </w:r>
      <w:r w:rsidR="00411067" w:rsidRPr="004F3191">
        <w:rPr>
          <w:szCs w:val="24"/>
        </w:rPr>
        <w:t xml:space="preserve">уникальных </w:t>
      </w:r>
      <w:r w:rsidRPr="004F3191">
        <w:rPr>
          <w:szCs w:val="24"/>
        </w:rPr>
        <w:t>археологических образцов</w:t>
      </w:r>
      <w:r w:rsidR="004F3191" w:rsidRPr="004F3191">
        <w:rPr>
          <w:szCs w:val="24"/>
        </w:rPr>
        <w:t xml:space="preserve"> (</w:t>
      </w:r>
      <w:r w:rsidR="004F3191" w:rsidRPr="004F3191">
        <w:rPr>
          <w:szCs w:val="24"/>
        </w:rPr>
        <w:fldChar w:fldCharType="begin"/>
      </w:r>
      <w:r w:rsidR="004F3191" w:rsidRPr="004F3191">
        <w:rPr>
          <w:szCs w:val="24"/>
        </w:rPr>
        <w:instrText xml:space="preserve"> REF _Ref141285150 \h  \* MERGEFORMAT </w:instrText>
      </w:r>
      <w:r w:rsidR="004F3191" w:rsidRPr="004F3191">
        <w:rPr>
          <w:szCs w:val="24"/>
        </w:rPr>
      </w:r>
      <w:r w:rsidR="004F3191" w:rsidRPr="004F3191">
        <w:rPr>
          <w:szCs w:val="24"/>
        </w:rPr>
        <w:fldChar w:fldCharType="separate"/>
      </w:r>
      <w:r w:rsidR="004F3191" w:rsidRPr="004F3191">
        <w:rPr>
          <w:color w:val="000000" w:themeColor="text1"/>
          <w:szCs w:val="24"/>
        </w:rPr>
        <w:t xml:space="preserve">Рис. </w:t>
      </w:r>
      <w:r w:rsidR="004F3191" w:rsidRPr="004F3191">
        <w:rPr>
          <w:noProof/>
          <w:color w:val="000000" w:themeColor="text1"/>
          <w:szCs w:val="24"/>
        </w:rPr>
        <w:t>1</w:t>
      </w:r>
      <w:r w:rsidR="004F3191" w:rsidRPr="004F3191">
        <w:rPr>
          <w:szCs w:val="24"/>
        </w:rPr>
        <w:fldChar w:fldCharType="end"/>
      </w:r>
      <w:r w:rsidR="004F3191" w:rsidRPr="004F3191">
        <w:rPr>
          <w:szCs w:val="24"/>
        </w:rPr>
        <w:t>)</w:t>
      </w:r>
      <w:r w:rsidRPr="004F3191">
        <w:rPr>
          <w:szCs w:val="24"/>
        </w:rPr>
        <w:t xml:space="preserve">. </w:t>
      </w:r>
      <w:r w:rsidRPr="004F3191">
        <w:t xml:space="preserve">Для определения </w:t>
      </w:r>
      <w:r w:rsidRPr="004F3191">
        <w:rPr>
          <w:szCs w:val="24"/>
        </w:rPr>
        <w:t>элементного</w:t>
      </w:r>
      <w:r w:rsidRPr="004F3191">
        <w:t xml:space="preserve"> состава и выявления рецептур древних штукатурных оснований проведен нейтронный активационный анализ (НАА). </w:t>
      </w:r>
      <w:r w:rsidRPr="004F3191">
        <w:rPr>
          <w:szCs w:val="24"/>
        </w:rPr>
        <w:t xml:space="preserve">Образцы облучали на реакторе ВВР-К в казахстанском Институте ядерной физики. </w:t>
      </w:r>
      <w:r w:rsidR="00411067" w:rsidRPr="004F3191">
        <w:rPr>
          <w:szCs w:val="24"/>
        </w:rPr>
        <w:t xml:space="preserve">Для определения массовых долей элементов по короткоживущим изотопам проводили облучение в «сухом» канале с использованием пневмотранспортной системы. Для облучения на средне- и долгоживущим изотопам использовали один из «мокрых» каналов. Вместе с исследуемыми образцами облучали следующие стандарты NIST: 1515, 1633с, 1944, 2586, 2709а, 2710а, 278, 50с. </w:t>
      </w:r>
      <w:r w:rsidR="00F5102A" w:rsidRPr="004F3191">
        <w:rPr>
          <w:szCs w:val="24"/>
        </w:rPr>
        <w:t xml:space="preserve">Стандартные образцы использовали для вычислений массовых долей элементов относительным </w:t>
      </w:r>
      <w:r w:rsidR="004F3191" w:rsidRPr="004F3191">
        <w:rPr>
          <w:szCs w:val="24"/>
        </w:rPr>
        <w:t>метод</w:t>
      </w:r>
      <w:r w:rsidR="00F5102A" w:rsidRPr="004F3191">
        <w:rPr>
          <w:szCs w:val="24"/>
        </w:rPr>
        <w:t>ом НАА и для контроля качества</w:t>
      </w:r>
      <w:r w:rsidR="004F3191" w:rsidRPr="004F3191">
        <w:rPr>
          <w:szCs w:val="24"/>
        </w:rPr>
        <w:t>.</w:t>
      </w:r>
    </w:p>
    <w:p w14:paraId="4BD101D3" w14:textId="65561CB4" w:rsidR="0039453B" w:rsidRDefault="0039453B" w:rsidP="00FF3ED6">
      <w:pPr>
        <w:spacing w:line="240" w:lineRule="auto"/>
        <w:ind w:firstLine="709"/>
        <w:jc w:val="both"/>
        <w:rPr>
          <w:szCs w:val="24"/>
        </w:rPr>
      </w:pPr>
      <w:r w:rsidRPr="004F3191">
        <w:t>В результате НАА определены массовые доли 43 элементов</w:t>
      </w:r>
      <w:r w:rsidR="00FF3ED6" w:rsidRPr="00F22F6A">
        <w:t xml:space="preserve"> </w:t>
      </w:r>
      <w:r w:rsidR="00FF3ED6" w:rsidRPr="004F3191">
        <w:t>для 19 фрагментов штукатурных оснований</w:t>
      </w:r>
      <w:r w:rsidRPr="004F3191">
        <w:t xml:space="preserve">. </w:t>
      </w:r>
      <w:r w:rsidR="00411067" w:rsidRPr="004F3191">
        <w:rPr>
          <w:szCs w:val="24"/>
        </w:rPr>
        <w:t xml:space="preserve">Данные </w:t>
      </w:r>
      <w:proofErr w:type="gramStart"/>
      <w:r w:rsidR="00411067" w:rsidRPr="004F3191">
        <w:rPr>
          <w:szCs w:val="24"/>
        </w:rPr>
        <w:t>рассчитывали</w:t>
      </w:r>
      <w:proofErr w:type="gramEnd"/>
      <w:r w:rsidR="00411067" w:rsidRPr="004F3191">
        <w:rPr>
          <w:szCs w:val="24"/>
        </w:rPr>
        <w:t xml:space="preserve"> как средневзвешенное значение по трём навескам. </w:t>
      </w:r>
      <w:r w:rsidR="00FF3ED6" w:rsidRPr="004F3191">
        <w:t>Проведена с</w:t>
      </w:r>
      <w:r w:rsidRPr="004F3191">
        <w:t xml:space="preserve">татистическая обработка данных НАА. </w:t>
      </w:r>
      <w:r w:rsidRPr="004F3191">
        <w:rPr>
          <w:szCs w:val="24"/>
        </w:rPr>
        <w:t xml:space="preserve">Методами рентгенофлуоресцентного анализа, поляризационной микроскопии и </w:t>
      </w:r>
      <w:proofErr w:type="spellStart"/>
      <w:r w:rsidRPr="004F3191">
        <w:rPr>
          <w:szCs w:val="24"/>
        </w:rPr>
        <w:t>Рамановской</w:t>
      </w:r>
      <w:proofErr w:type="spellEnd"/>
      <w:r w:rsidRPr="004F3191">
        <w:rPr>
          <w:szCs w:val="24"/>
        </w:rPr>
        <w:t xml:space="preserve"> спектроскопии определен основной набор пигментов, использованных в росписи собора: жёлтая и красная охры, киноварь, зелёная земля, лазурит, </w:t>
      </w:r>
      <w:proofErr w:type="spellStart"/>
      <w:r w:rsidRPr="004F3191">
        <w:rPr>
          <w:szCs w:val="24"/>
        </w:rPr>
        <w:t>рефть</w:t>
      </w:r>
      <w:proofErr w:type="spellEnd"/>
      <w:r w:rsidRPr="004F3191">
        <w:rPr>
          <w:szCs w:val="24"/>
        </w:rPr>
        <w:t xml:space="preserve">, известковые белила. Для определения особенностей техник росписи провели оптические исследования </w:t>
      </w:r>
      <w:proofErr w:type="spellStart"/>
      <w:r w:rsidRPr="004F3191">
        <w:rPr>
          <w:szCs w:val="24"/>
        </w:rPr>
        <w:t>микрошрифов</w:t>
      </w:r>
      <w:proofErr w:type="spellEnd"/>
      <w:r w:rsidRPr="004F3191">
        <w:rPr>
          <w:szCs w:val="24"/>
        </w:rPr>
        <w:t xml:space="preserve"> красочных слоев и анализ связующего методом инфракрасной спектроскопии. Сделан</w:t>
      </w:r>
      <w:r w:rsidR="004F3191">
        <w:rPr>
          <w:szCs w:val="24"/>
        </w:rPr>
        <w:t>о</w:t>
      </w:r>
      <w:r w:rsidRPr="004F3191">
        <w:rPr>
          <w:szCs w:val="24"/>
        </w:rPr>
        <w:t xml:space="preserve"> предположени</w:t>
      </w:r>
      <w:r w:rsidR="004F3191">
        <w:rPr>
          <w:szCs w:val="24"/>
        </w:rPr>
        <w:t>е</w:t>
      </w:r>
      <w:r w:rsidRPr="004F3191">
        <w:rPr>
          <w:szCs w:val="24"/>
        </w:rPr>
        <w:t xml:space="preserve">, что роспись выполнена в смешанной </w:t>
      </w:r>
      <w:proofErr w:type="spellStart"/>
      <w:r w:rsidRPr="004F3191">
        <w:rPr>
          <w:szCs w:val="24"/>
        </w:rPr>
        <w:t>fresc</w:t>
      </w:r>
      <w:proofErr w:type="spellEnd"/>
      <w:r w:rsidR="006B6244" w:rsidRPr="004F3191">
        <w:rPr>
          <w:szCs w:val="24"/>
          <w:lang w:val="en-US"/>
        </w:rPr>
        <w:t>o</w:t>
      </w:r>
      <w:r w:rsidR="00FF3ED6" w:rsidRPr="004F3191">
        <w:rPr>
          <w:szCs w:val="24"/>
        </w:rPr>
        <w:t>-</w:t>
      </w:r>
      <w:proofErr w:type="spellStart"/>
      <w:r w:rsidR="00FF3ED6" w:rsidRPr="004F3191">
        <w:rPr>
          <w:szCs w:val="24"/>
        </w:rPr>
        <w:t>secco</w:t>
      </w:r>
      <w:proofErr w:type="spellEnd"/>
      <w:r w:rsidR="00FF3ED6" w:rsidRPr="004F3191">
        <w:rPr>
          <w:szCs w:val="24"/>
        </w:rPr>
        <w:t xml:space="preserve"> технике</w:t>
      </w:r>
      <w:r w:rsidRPr="004F3191">
        <w:rPr>
          <w:szCs w:val="24"/>
        </w:rPr>
        <w:t>.</w:t>
      </w:r>
    </w:p>
    <w:p w14:paraId="3271A35F" w14:textId="0B86CFDA" w:rsidR="00411067" w:rsidRDefault="004F3191" w:rsidP="004F3191">
      <w:pPr>
        <w:keepNext/>
        <w:spacing w:line="240" w:lineRule="auto"/>
        <w:jc w:val="center"/>
        <w:rPr>
          <w:szCs w:val="24"/>
        </w:rPr>
      </w:pPr>
      <w:r w:rsidRPr="004F3191">
        <w:rPr>
          <w:noProof/>
          <w:szCs w:val="24"/>
          <w:lang w:eastAsia="ru-RU"/>
        </w:rPr>
        <w:lastRenderedPageBreak/>
        <w:drawing>
          <wp:inline distT="0" distB="0" distL="0" distR="0" wp14:anchorId="4C13DB7A" wp14:editId="32B47BC8">
            <wp:extent cx="4961614" cy="3007404"/>
            <wp:effectExtent l="0" t="0" r="0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0" b="5198"/>
                    <a:stretch/>
                  </pic:blipFill>
                  <pic:spPr bwMode="auto">
                    <a:xfrm>
                      <a:off x="0" y="0"/>
                      <a:ext cx="4979491" cy="301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23DF9" w14:textId="77777777" w:rsidR="00F901D6" w:rsidRDefault="004F3191" w:rsidP="004F3191">
      <w:pPr>
        <w:pStyle w:val="ae"/>
        <w:jc w:val="center"/>
        <w:rPr>
          <w:i w:val="0"/>
          <w:color w:val="auto"/>
          <w:sz w:val="24"/>
          <w:szCs w:val="24"/>
        </w:rPr>
      </w:pPr>
      <w:bookmarkStart w:id="0" w:name="_Ref141285150"/>
      <w:r w:rsidRPr="004F3191">
        <w:rPr>
          <w:i w:val="0"/>
          <w:color w:val="000000" w:themeColor="text1"/>
          <w:sz w:val="24"/>
          <w:szCs w:val="24"/>
        </w:rPr>
        <w:t xml:space="preserve">Рис. </w:t>
      </w:r>
      <w:r w:rsidRPr="004F3191">
        <w:rPr>
          <w:i w:val="0"/>
          <w:color w:val="000000" w:themeColor="text1"/>
          <w:sz w:val="24"/>
          <w:szCs w:val="24"/>
        </w:rPr>
        <w:fldChar w:fldCharType="begin"/>
      </w:r>
      <w:r w:rsidRPr="004F3191">
        <w:rPr>
          <w:i w:val="0"/>
          <w:color w:val="000000" w:themeColor="text1"/>
          <w:sz w:val="24"/>
          <w:szCs w:val="24"/>
        </w:rPr>
        <w:instrText xml:space="preserve"> SEQ Рис. \* ARABIC </w:instrText>
      </w:r>
      <w:r w:rsidRPr="004F3191">
        <w:rPr>
          <w:i w:val="0"/>
          <w:color w:val="000000" w:themeColor="text1"/>
          <w:sz w:val="24"/>
          <w:szCs w:val="24"/>
        </w:rPr>
        <w:fldChar w:fldCharType="separate"/>
      </w:r>
      <w:r w:rsidRPr="004F3191">
        <w:rPr>
          <w:i w:val="0"/>
          <w:noProof/>
          <w:color w:val="000000" w:themeColor="text1"/>
          <w:sz w:val="24"/>
          <w:szCs w:val="24"/>
        </w:rPr>
        <w:t>1</w:t>
      </w:r>
      <w:r w:rsidRPr="004F3191">
        <w:rPr>
          <w:i w:val="0"/>
          <w:color w:val="000000" w:themeColor="text1"/>
          <w:sz w:val="24"/>
          <w:szCs w:val="24"/>
        </w:rPr>
        <w:fldChar w:fldCharType="end"/>
      </w:r>
      <w:bookmarkEnd w:id="0"/>
      <w:r w:rsidRPr="004F3191">
        <w:rPr>
          <w:i w:val="0"/>
          <w:color w:val="000000" w:themeColor="text1"/>
          <w:sz w:val="24"/>
          <w:szCs w:val="24"/>
        </w:rPr>
        <w:t xml:space="preserve">. </w:t>
      </w:r>
      <w:r w:rsidR="00F22F6A">
        <w:rPr>
          <w:i w:val="0"/>
          <w:color w:val="000000" w:themeColor="text1"/>
          <w:sz w:val="24"/>
          <w:szCs w:val="24"/>
        </w:rPr>
        <w:t>Археологические</w:t>
      </w:r>
      <w:r w:rsidRPr="004F3191">
        <w:rPr>
          <w:i w:val="0"/>
          <w:color w:val="000000" w:themeColor="text1"/>
          <w:sz w:val="24"/>
          <w:szCs w:val="24"/>
        </w:rPr>
        <w:t xml:space="preserve"> фрагмент</w:t>
      </w:r>
      <w:r w:rsidR="00F22F6A">
        <w:rPr>
          <w:i w:val="0"/>
          <w:color w:val="000000" w:themeColor="text1"/>
          <w:sz w:val="24"/>
          <w:szCs w:val="24"/>
        </w:rPr>
        <w:t>ы</w:t>
      </w:r>
      <w:r w:rsidRPr="004F3191">
        <w:rPr>
          <w:i w:val="0"/>
          <w:color w:val="000000" w:themeColor="text1"/>
          <w:sz w:val="24"/>
          <w:szCs w:val="24"/>
        </w:rPr>
        <w:t xml:space="preserve"> </w:t>
      </w:r>
      <w:r w:rsidR="00F22F6A">
        <w:rPr>
          <w:i w:val="0"/>
          <w:color w:val="000000" w:themeColor="text1"/>
          <w:sz w:val="24"/>
          <w:szCs w:val="24"/>
        </w:rPr>
        <w:t xml:space="preserve">росписи </w:t>
      </w:r>
      <w:r w:rsidRPr="004F3191">
        <w:rPr>
          <w:i w:val="0"/>
          <w:color w:val="000000" w:themeColor="text1"/>
          <w:sz w:val="24"/>
          <w:szCs w:val="24"/>
        </w:rPr>
        <w:t>храма Иоанна на Опоках</w:t>
      </w:r>
      <w:r w:rsidRPr="00F22F6A">
        <w:rPr>
          <w:i w:val="0"/>
          <w:color w:val="auto"/>
          <w:sz w:val="24"/>
          <w:szCs w:val="24"/>
        </w:rPr>
        <w:t>.</w:t>
      </w:r>
    </w:p>
    <w:p w14:paraId="2C4013B1" w14:textId="77777777" w:rsidR="00F901D6" w:rsidRDefault="00F901D6">
      <w:pPr>
        <w:spacing w:after="160" w:line="259" w:lineRule="auto"/>
        <w:rPr>
          <w:iCs/>
          <w:szCs w:val="24"/>
        </w:rPr>
      </w:pPr>
      <w:r>
        <w:rPr>
          <w:i/>
          <w:szCs w:val="24"/>
        </w:rPr>
        <w:br w:type="page"/>
      </w:r>
    </w:p>
    <w:p w14:paraId="26C7A398" w14:textId="1F0D3009" w:rsidR="00D30BAA" w:rsidRPr="00D30BAA" w:rsidRDefault="00D30BAA" w:rsidP="00F901D6">
      <w:pPr>
        <w:spacing w:line="240" w:lineRule="auto"/>
        <w:jc w:val="center"/>
        <w:rPr>
          <w:rFonts w:cs="Times New Roman"/>
          <w:b/>
          <w:sz w:val="28"/>
          <w:lang w:val="en-US"/>
        </w:rPr>
      </w:pPr>
      <w:r w:rsidRPr="00D30BAA">
        <w:rPr>
          <w:rFonts w:cs="Times New Roman"/>
          <w:b/>
          <w:sz w:val="28"/>
          <w:lang w:val="en-US"/>
        </w:rPr>
        <w:lastRenderedPageBreak/>
        <w:t xml:space="preserve">COMPREHENSIVE STUDY OF LOST PAINTINGS </w:t>
      </w:r>
      <w:r w:rsidR="0031177D">
        <w:rPr>
          <w:rFonts w:cs="Times New Roman"/>
          <w:b/>
          <w:sz w:val="28"/>
          <w:lang w:val="en-US"/>
        </w:rPr>
        <w:t>FROM</w:t>
      </w:r>
      <w:r w:rsidRPr="00D30BAA">
        <w:rPr>
          <w:rFonts w:cs="Times New Roman"/>
          <w:b/>
          <w:sz w:val="28"/>
          <w:lang w:val="en-US"/>
        </w:rPr>
        <w:t xml:space="preserve"> THE CHURCH OF </w:t>
      </w:r>
      <w:r w:rsidR="00DC6039">
        <w:rPr>
          <w:rFonts w:cs="Times New Roman"/>
          <w:b/>
          <w:sz w:val="28"/>
          <w:lang w:val="en-US"/>
        </w:rPr>
        <w:t xml:space="preserve">ST. </w:t>
      </w:r>
      <w:r w:rsidRPr="00D30BAA">
        <w:rPr>
          <w:rFonts w:cs="Times New Roman"/>
          <w:b/>
          <w:sz w:val="28"/>
          <w:lang w:val="en-US"/>
        </w:rPr>
        <w:t>JOHN ON OPOKI (</w:t>
      </w:r>
      <w:r w:rsidR="009872AB" w:rsidRPr="009872AB">
        <w:rPr>
          <w:rFonts w:cs="Times New Roman"/>
          <w:b/>
          <w:sz w:val="28"/>
          <w:lang w:val="en-US"/>
        </w:rPr>
        <w:t>VELIKY</w:t>
      </w:r>
      <w:r w:rsidRPr="00D30BAA">
        <w:rPr>
          <w:rFonts w:cs="Times New Roman"/>
          <w:b/>
          <w:sz w:val="28"/>
          <w:lang w:val="en-US"/>
        </w:rPr>
        <w:t xml:space="preserve"> NOVGOROD, RUSSIA).</w:t>
      </w:r>
    </w:p>
    <w:p w14:paraId="60D46213" w14:textId="77777777" w:rsidR="00F901D6" w:rsidRPr="00D30BAA" w:rsidRDefault="00F901D6" w:rsidP="00F901D6">
      <w:pPr>
        <w:spacing w:line="240" w:lineRule="auto"/>
        <w:jc w:val="center"/>
        <w:rPr>
          <w:rFonts w:cs="Times New Roman"/>
          <w:b/>
          <w:sz w:val="28"/>
          <w:lang w:val="en-US"/>
        </w:rPr>
      </w:pPr>
    </w:p>
    <w:p w14:paraId="039CA4D8" w14:textId="59A83106" w:rsidR="002B343F" w:rsidRPr="00913EFE" w:rsidRDefault="002B343F" w:rsidP="002B343F">
      <w:pPr>
        <w:pStyle w:val="a4"/>
        <w:spacing w:before="0" w:beforeAutospacing="0" w:after="0" w:afterAutospacing="0"/>
        <w:jc w:val="center"/>
        <w:rPr>
          <w:lang w:val="en-US"/>
        </w:rPr>
      </w:pPr>
      <w:r w:rsidRPr="00913EFE">
        <w:rPr>
          <w:lang w:val="en-US"/>
        </w:rPr>
        <w:t>O.S. Philippova</w:t>
      </w:r>
      <w:r w:rsidRPr="00913EFE">
        <w:rPr>
          <w:vertAlign w:val="superscript"/>
          <w:lang w:val="en-US"/>
        </w:rPr>
        <w:t>1</w:t>
      </w:r>
      <w:r w:rsidRPr="00913EFE">
        <w:rPr>
          <w:lang w:val="en-US"/>
        </w:rPr>
        <w:t xml:space="preserve">, </w:t>
      </w:r>
      <w:proofErr w:type="spellStart"/>
      <w:r w:rsidRPr="00913EFE">
        <w:rPr>
          <w:lang w:val="en-US"/>
        </w:rPr>
        <w:t>A.Yu</w:t>
      </w:r>
      <w:proofErr w:type="spellEnd"/>
      <w:r w:rsidRPr="00913EFE">
        <w:rPr>
          <w:lang w:val="en-US"/>
        </w:rPr>
        <w:t>. Dmitriev</w:t>
      </w:r>
      <w:r w:rsidRPr="00913EFE">
        <w:rPr>
          <w:vertAlign w:val="superscript"/>
          <w:lang w:val="en-US"/>
        </w:rPr>
        <w:t>1</w:t>
      </w:r>
      <w:r w:rsidRPr="00913EFE">
        <w:rPr>
          <w:lang w:val="en-US"/>
        </w:rPr>
        <w:t xml:space="preserve">*, </w:t>
      </w:r>
      <w:r w:rsidR="00A2699C" w:rsidRPr="00913EFE">
        <w:rPr>
          <w:color w:val="000000"/>
          <w:lang w:val="en-US"/>
        </w:rPr>
        <w:t>T.J. Tsarevskaya</w:t>
      </w:r>
      <w:r w:rsidRPr="00913EFE">
        <w:rPr>
          <w:vertAlign w:val="superscript"/>
          <w:lang w:val="en-US"/>
        </w:rPr>
        <w:t>2</w:t>
      </w:r>
      <w:r w:rsidRPr="00913EFE">
        <w:rPr>
          <w:lang w:val="en-US"/>
        </w:rPr>
        <w:t xml:space="preserve">, </w:t>
      </w:r>
      <w:r>
        <w:rPr>
          <w:lang w:val="en-US"/>
        </w:rPr>
        <w:t>S</w:t>
      </w:r>
      <w:r w:rsidRPr="00913EFE">
        <w:rPr>
          <w:lang w:val="en-US"/>
        </w:rPr>
        <w:t>.</w:t>
      </w:r>
      <w:r>
        <w:rPr>
          <w:lang w:val="en-US"/>
        </w:rPr>
        <w:t>G</w:t>
      </w:r>
      <w:r w:rsidRPr="00913EFE">
        <w:rPr>
          <w:lang w:val="en-US"/>
        </w:rPr>
        <w:t>. Le</w:t>
      </w:r>
      <w:r>
        <w:rPr>
          <w:lang w:val="en-US"/>
        </w:rPr>
        <w:t>nnik</w:t>
      </w:r>
      <w:r w:rsidRPr="00913EFE">
        <w:rPr>
          <w:vertAlign w:val="superscript"/>
          <w:lang w:val="en-US"/>
        </w:rPr>
        <w:t>3</w:t>
      </w:r>
      <w:r w:rsidRPr="00913EFE">
        <w:rPr>
          <w:lang w:val="en-US"/>
        </w:rPr>
        <w:t>.</w:t>
      </w:r>
    </w:p>
    <w:p w14:paraId="11B29678" w14:textId="77777777" w:rsidR="002B343F" w:rsidRPr="00913EFE" w:rsidRDefault="002B343F" w:rsidP="002B343F">
      <w:pPr>
        <w:spacing w:line="240" w:lineRule="auto"/>
        <w:jc w:val="center"/>
        <w:rPr>
          <w:rStyle w:val="a6"/>
          <w:rFonts w:cs="Times New Roman"/>
          <w:szCs w:val="24"/>
          <w:lang w:val="en-US"/>
        </w:rPr>
      </w:pPr>
      <w:r w:rsidRPr="00913EFE">
        <w:rPr>
          <w:rFonts w:cs="Times New Roman"/>
          <w:szCs w:val="24"/>
          <w:lang w:val="en-US"/>
        </w:rPr>
        <w:t xml:space="preserve">* </w:t>
      </w:r>
      <w:hyperlink r:id="rId8" w:history="1">
        <w:r w:rsidRPr="005E0D4C">
          <w:rPr>
            <w:rStyle w:val="a6"/>
            <w:rFonts w:cs="Times New Roman"/>
            <w:szCs w:val="24"/>
            <w:lang w:val="en-US"/>
          </w:rPr>
          <w:t>andmitriev</w:t>
        </w:r>
        <w:r w:rsidRPr="00913EFE">
          <w:rPr>
            <w:rStyle w:val="a6"/>
            <w:rFonts w:cs="Times New Roman"/>
            <w:szCs w:val="24"/>
            <w:lang w:val="en-US"/>
          </w:rPr>
          <w:t>@</w:t>
        </w:r>
        <w:r w:rsidRPr="005E0D4C">
          <w:rPr>
            <w:rStyle w:val="a6"/>
            <w:rFonts w:cs="Times New Roman"/>
            <w:szCs w:val="24"/>
            <w:lang w:val="en-US"/>
          </w:rPr>
          <w:t>jinr</w:t>
        </w:r>
        <w:r w:rsidRPr="00913EFE">
          <w:rPr>
            <w:rStyle w:val="a6"/>
            <w:rFonts w:cs="Times New Roman"/>
            <w:szCs w:val="24"/>
            <w:lang w:val="en-US"/>
          </w:rPr>
          <w:t>.</w:t>
        </w:r>
        <w:r w:rsidRPr="005E0D4C">
          <w:rPr>
            <w:rStyle w:val="a6"/>
            <w:rFonts w:cs="Times New Roman"/>
            <w:szCs w:val="24"/>
            <w:lang w:val="en-US"/>
          </w:rPr>
          <w:t>ru</w:t>
        </w:r>
      </w:hyperlink>
    </w:p>
    <w:p w14:paraId="6855AB55" w14:textId="77777777" w:rsidR="00F901D6" w:rsidRPr="00913EFE" w:rsidRDefault="00F901D6" w:rsidP="00F901D6">
      <w:pPr>
        <w:pStyle w:val="a4"/>
        <w:spacing w:before="0" w:beforeAutospacing="0" w:after="0" w:afterAutospacing="0"/>
        <w:jc w:val="center"/>
        <w:rPr>
          <w:lang w:val="en-US"/>
        </w:rPr>
      </w:pPr>
    </w:p>
    <w:p w14:paraId="399AC53B" w14:textId="094E2185" w:rsidR="00F901D6" w:rsidRPr="00F901D6" w:rsidRDefault="00F901D6" w:rsidP="00F901D6">
      <w:pPr>
        <w:pStyle w:val="a4"/>
        <w:spacing w:before="0" w:beforeAutospacing="0" w:after="0" w:afterAutospacing="0"/>
        <w:jc w:val="center"/>
        <w:rPr>
          <w:rStyle w:val="a9"/>
          <w:lang w:val="en-US"/>
        </w:rPr>
      </w:pPr>
      <w:r w:rsidRPr="00F901D6">
        <w:rPr>
          <w:rStyle w:val="a5"/>
          <w:lang w:val="en-US"/>
        </w:rPr>
        <w:t xml:space="preserve">1 – </w:t>
      </w:r>
      <w:r w:rsidRPr="00AD09DB">
        <w:rPr>
          <w:i/>
          <w:lang w:val="en-US"/>
        </w:rPr>
        <w:t>Joint Institute for Nuclear Research, Dubna, Moscow region, Russia</w:t>
      </w:r>
    </w:p>
    <w:p w14:paraId="018D2AC0" w14:textId="11960FDE" w:rsidR="00F901D6" w:rsidRPr="00A2699C" w:rsidRDefault="00F901D6" w:rsidP="00F901D6">
      <w:pPr>
        <w:pStyle w:val="a4"/>
        <w:spacing w:before="0" w:beforeAutospacing="0" w:after="0" w:afterAutospacing="0"/>
        <w:jc w:val="center"/>
        <w:rPr>
          <w:i/>
          <w:lang w:val="en-US"/>
        </w:rPr>
      </w:pPr>
      <w:r w:rsidRPr="00A2699C">
        <w:rPr>
          <w:i/>
          <w:lang w:val="en-US"/>
        </w:rPr>
        <w:t xml:space="preserve">2 – </w:t>
      </w:r>
      <w:r w:rsidR="00A2699C" w:rsidRPr="00A2699C">
        <w:rPr>
          <w:i/>
          <w:lang w:val="en-US"/>
        </w:rPr>
        <w:t>State Institute for Art Studies, Moscow, Russia</w:t>
      </w:r>
    </w:p>
    <w:p w14:paraId="1FADB1B6" w14:textId="405733D4" w:rsidR="00F901D6" w:rsidRPr="00A2699C" w:rsidRDefault="00F901D6" w:rsidP="00F901D6">
      <w:pPr>
        <w:pStyle w:val="a4"/>
        <w:spacing w:before="0" w:beforeAutospacing="0" w:after="0" w:afterAutospacing="0"/>
        <w:jc w:val="center"/>
        <w:rPr>
          <w:i/>
          <w:lang w:val="en-US"/>
        </w:rPr>
      </w:pPr>
      <w:r w:rsidRPr="00A2699C">
        <w:rPr>
          <w:i/>
          <w:lang w:val="en-US"/>
        </w:rPr>
        <w:t xml:space="preserve">3 – </w:t>
      </w:r>
      <w:r w:rsidR="00A2699C" w:rsidRPr="00A2699C">
        <w:rPr>
          <w:i/>
          <w:color w:val="000000"/>
          <w:lang w:val="en-US"/>
        </w:rPr>
        <w:t>Institute of Nuclear Physics, Almaty, Republic of Kazakhstan</w:t>
      </w:r>
    </w:p>
    <w:p w14:paraId="6587622A" w14:textId="77777777" w:rsidR="00F901D6" w:rsidRPr="00A2699C" w:rsidRDefault="00F901D6" w:rsidP="00F901D6">
      <w:pPr>
        <w:pStyle w:val="a4"/>
        <w:spacing w:before="0" w:beforeAutospacing="0" w:after="0" w:afterAutospacing="0"/>
        <w:jc w:val="center"/>
        <w:rPr>
          <w:lang w:val="en-US"/>
        </w:rPr>
      </w:pPr>
    </w:p>
    <w:p w14:paraId="16AB4A22" w14:textId="6388FCA6" w:rsidR="0031177D" w:rsidRDefault="0031177D" w:rsidP="00F901D6">
      <w:pPr>
        <w:spacing w:line="240" w:lineRule="auto"/>
        <w:ind w:firstLine="709"/>
        <w:jc w:val="both"/>
        <w:rPr>
          <w:szCs w:val="24"/>
          <w:lang w:val="en-US"/>
        </w:rPr>
      </w:pPr>
      <w:r w:rsidRPr="0031177D">
        <w:rPr>
          <w:szCs w:val="24"/>
          <w:lang w:val="en-US"/>
        </w:rPr>
        <w:t xml:space="preserve">The Church of </w:t>
      </w:r>
      <w:r w:rsidR="001A6A09">
        <w:rPr>
          <w:szCs w:val="24"/>
          <w:lang w:val="en-US"/>
        </w:rPr>
        <w:t xml:space="preserve">St. </w:t>
      </w:r>
      <w:r w:rsidRPr="0031177D">
        <w:rPr>
          <w:szCs w:val="24"/>
          <w:lang w:val="en-US"/>
        </w:rPr>
        <w:t xml:space="preserve">John on </w:t>
      </w:r>
      <w:proofErr w:type="spellStart"/>
      <w:r w:rsidRPr="0031177D">
        <w:rPr>
          <w:szCs w:val="24"/>
          <w:lang w:val="en-US"/>
        </w:rPr>
        <w:t>Opok</w:t>
      </w:r>
      <w:r>
        <w:rPr>
          <w:szCs w:val="24"/>
          <w:lang w:val="en-US"/>
        </w:rPr>
        <w:t>i</w:t>
      </w:r>
      <w:proofErr w:type="spellEnd"/>
      <w:r w:rsidRPr="0031177D">
        <w:rPr>
          <w:szCs w:val="24"/>
          <w:lang w:val="en-US"/>
        </w:rPr>
        <w:t xml:space="preserve"> dates </w:t>
      </w:r>
      <w:r>
        <w:rPr>
          <w:szCs w:val="24"/>
          <w:lang w:val="en-US"/>
        </w:rPr>
        <w:t>back</w:t>
      </w:r>
      <w:r w:rsidRPr="0031177D">
        <w:rPr>
          <w:szCs w:val="24"/>
          <w:lang w:val="en-US"/>
        </w:rPr>
        <w:t xml:space="preserve"> 1127-1130, but in 1453 the old </w:t>
      </w:r>
      <w:r w:rsidR="00596E18">
        <w:rPr>
          <w:szCs w:val="24"/>
          <w:lang w:val="en-US"/>
        </w:rPr>
        <w:t>building</w:t>
      </w:r>
      <w:r w:rsidRPr="0031177D">
        <w:rPr>
          <w:szCs w:val="24"/>
          <w:lang w:val="en-US"/>
        </w:rPr>
        <w:t xml:space="preserve"> was dismantled, and a new one was built on the old foundations «by decree» of Archbishop </w:t>
      </w:r>
      <w:r w:rsidR="00BB6EC5" w:rsidRPr="00BB6EC5">
        <w:rPr>
          <w:szCs w:val="24"/>
          <w:lang w:val="en-US"/>
        </w:rPr>
        <w:t>Euthymius</w:t>
      </w:r>
      <w:r w:rsidRPr="0031177D">
        <w:rPr>
          <w:szCs w:val="24"/>
          <w:lang w:val="en-US"/>
        </w:rPr>
        <w:t xml:space="preserve">. Thus, the </w:t>
      </w:r>
      <w:r w:rsidR="00BB6EC5">
        <w:rPr>
          <w:szCs w:val="24"/>
          <w:lang w:val="en-US"/>
        </w:rPr>
        <w:t>original</w:t>
      </w:r>
      <w:r w:rsidRPr="0031177D">
        <w:rPr>
          <w:szCs w:val="24"/>
          <w:lang w:val="en-US"/>
        </w:rPr>
        <w:t xml:space="preserve"> painting could survive to this day </w:t>
      </w:r>
      <w:r w:rsidR="004734A4">
        <w:rPr>
          <w:szCs w:val="24"/>
          <w:lang w:val="en-US"/>
        </w:rPr>
        <w:t>as</w:t>
      </w:r>
      <w:r w:rsidRPr="0031177D">
        <w:rPr>
          <w:szCs w:val="24"/>
          <w:lang w:val="en-US"/>
        </w:rPr>
        <w:t xml:space="preserve"> archaeological samples</w:t>
      </w:r>
      <w:r w:rsidR="00BB6EC5" w:rsidRPr="00BB6EC5">
        <w:rPr>
          <w:szCs w:val="24"/>
          <w:lang w:val="en-US"/>
        </w:rPr>
        <w:t xml:space="preserve"> </w:t>
      </w:r>
      <w:r w:rsidR="00BB6EC5" w:rsidRPr="0031177D">
        <w:rPr>
          <w:szCs w:val="24"/>
          <w:lang w:val="en-US"/>
        </w:rPr>
        <w:t>only</w:t>
      </w:r>
      <w:r w:rsidRPr="0031177D">
        <w:rPr>
          <w:szCs w:val="24"/>
          <w:lang w:val="en-US"/>
        </w:rPr>
        <w:t>. Excavations carried out in 2021 by an expedition of the Saint Petersburg University reveale</w:t>
      </w:r>
      <w:r w:rsidR="004734A4">
        <w:rPr>
          <w:szCs w:val="24"/>
          <w:lang w:val="en-US"/>
        </w:rPr>
        <w:t>d a number of fragments of</w:t>
      </w:r>
      <w:r w:rsidRPr="0031177D">
        <w:rPr>
          <w:szCs w:val="24"/>
          <w:lang w:val="en-US"/>
        </w:rPr>
        <w:t xml:space="preserve"> </w:t>
      </w:r>
      <w:r w:rsidR="004734A4">
        <w:rPr>
          <w:szCs w:val="24"/>
          <w:lang w:val="en-US"/>
        </w:rPr>
        <w:t>old</w:t>
      </w:r>
      <w:r w:rsidRPr="0031177D">
        <w:rPr>
          <w:szCs w:val="24"/>
          <w:lang w:val="en-US"/>
        </w:rPr>
        <w:t xml:space="preserve"> painting.</w:t>
      </w:r>
    </w:p>
    <w:p w14:paraId="6128CDCF" w14:textId="64635A56" w:rsidR="002D591D" w:rsidRPr="002D591D" w:rsidRDefault="002D591D" w:rsidP="00F901D6">
      <w:pPr>
        <w:spacing w:line="240" w:lineRule="auto"/>
        <w:ind w:firstLine="709"/>
        <w:jc w:val="both"/>
        <w:rPr>
          <w:szCs w:val="24"/>
          <w:lang w:val="en-US"/>
        </w:rPr>
      </w:pPr>
      <w:r w:rsidRPr="002D591D">
        <w:rPr>
          <w:szCs w:val="24"/>
          <w:lang w:val="en-US"/>
        </w:rPr>
        <w:t>At t</w:t>
      </w:r>
      <w:r>
        <w:rPr>
          <w:szCs w:val="24"/>
          <w:lang w:val="en-US"/>
        </w:rPr>
        <w:t>he</w:t>
      </w:r>
      <w:r w:rsidRPr="002D591D">
        <w:rPr>
          <w:lang w:val="en-US"/>
        </w:rPr>
        <w:t xml:space="preserve"> </w:t>
      </w:r>
      <w:r w:rsidRPr="002D591D">
        <w:rPr>
          <w:szCs w:val="24"/>
          <w:lang w:val="en-US"/>
        </w:rPr>
        <w:t>Frank Laboratory of Neutron Physics</w:t>
      </w:r>
      <w:r w:rsidR="00595B4E">
        <w:rPr>
          <w:szCs w:val="24"/>
          <w:lang w:val="en-US"/>
        </w:rPr>
        <w:t xml:space="preserve"> in</w:t>
      </w:r>
      <w:r w:rsidRPr="002D591D">
        <w:rPr>
          <w:szCs w:val="24"/>
          <w:lang w:val="en-US"/>
        </w:rPr>
        <w:t xml:space="preserve"> Joint Institute for Nuclear Research </w:t>
      </w:r>
      <w:r w:rsidR="00595B4E">
        <w:rPr>
          <w:szCs w:val="24"/>
          <w:lang w:val="en-US"/>
        </w:rPr>
        <w:t xml:space="preserve">color layers, binders and plasters </w:t>
      </w:r>
      <w:r w:rsidRPr="002D591D">
        <w:rPr>
          <w:szCs w:val="24"/>
          <w:lang w:val="en-US"/>
        </w:rPr>
        <w:t>of unique archaeological s</w:t>
      </w:r>
      <w:r w:rsidR="00595B4E">
        <w:rPr>
          <w:szCs w:val="24"/>
          <w:lang w:val="en-US"/>
        </w:rPr>
        <w:t>ample</w:t>
      </w:r>
      <w:r w:rsidRPr="002D591D">
        <w:rPr>
          <w:szCs w:val="24"/>
          <w:lang w:val="en-US"/>
        </w:rPr>
        <w:t xml:space="preserve">s </w:t>
      </w:r>
      <w:r w:rsidR="00595B4E" w:rsidRPr="002D591D">
        <w:rPr>
          <w:szCs w:val="24"/>
          <w:lang w:val="en-US"/>
        </w:rPr>
        <w:t>(Fig. 1)</w:t>
      </w:r>
      <w:r w:rsidR="00595B4E">
        <w:rPr>
          <w:szCs w:val="24"/>
          <w:lang w:val="en-US"/>
        </w:rPr>
        <w:t xml:space="preserve"> were </w:t>
      </w:r>
      <w:r w:rsidR="00595B4E" w:rsidRPr="002D591D">
        <w:rPr>
          <w:szCs w:val="24"/>
          <w:lang w:val="en-US"/>
        </w:rPr>
        <w:t>studied</w:t>
      </w:r>
      <w:r w:rsidRPr="002D591D">
        <w:rPr>
          <w:szCs w:val="24"/>
          <w:lang w:val="en-US"/>
        </w:rPr>
        <w:t>. Neutron activation analysis (NAA) was c</w:t>
      </w:r>
      <w:r w:rsidR="00595B4E">
        <w:rPr>
          <w:szCs w:val="24"/>
          <w:lang w:val="en-US"/>
        </w:rPr>
        <w:t>arried out</w:t>
      </w:r>
      <w:r w:rsidRPr="002D591D">
        <w:rPr>
          <w:szCs w:val="24"/>
          <w:lang w:val="en-US"/>
        </w:rPr>
        <w:t xml:space="preserve"> to determine the elemental c</w:t>
      </w:r>
      <w:r w:rsidR="00596E18">
        <w:rPr>
          <w:szCs w:val="24"/>
          <w:lang w:val="en-US"/>
        </w:rPr>
        <w:t>omposition and to identify the recipes</w:t>
      </w:r>
      <w:r w:rsidRPr="002D591D">
        <w:rPr>
          <w:szCs w:val="24"/>
          <w:lang w:val="en-US"/>
        </w:rPr>
        <w:t xml:space="preserve"> of </w:t>
      </w:r>
      <w:r w:rsidR="00596E18">
        <w:rPr>
          <w:szCs w:val="24"/>
          <w:lang w:val="en-US"/>
        </w:rPr>
        <w:t>old</w:t>
      </w:r>
      <w:r w:rsidRPr="002D591D">
        <w:rPr>
          <w:szCs w:val="24"/>
          <w:lang w:val="en-US"/>
        </w:rPr>
        <w:t xml:space="preserve"> plaster</w:t>
      </w:r>
      <w:r w:rsidR="00596E18">
        <w:rPr>
          <w:szCs w:val="24"/>
          <w:lang w:val="en-US"/>
        </w:rPr>
        <w:t>s</w:t>
      </w:r>
      <w:r w:rsidRPr="002D591D">
        <w:rPr>
          <w:szCs w:val="24"/>
          <w:lang w:val="en-US"/>
        </w:rPr>
        <w:t xml:space="preserve">. The samples were irradiated </w:t>
      </w:r>
      <w:r w:rsidR="00596E18">
        <w:rPr>
          <w:szCs w:val="24"/>
          <w:lang w:val="en-US"/>
        </w:rPr>
        <w:t>using</w:t>
      </w:r>
      <w:r w:rsidRPr="002D591D">
        <w:rPr>
          <w:szCs w:val="24"/>
          <w:lang w:val="en-US"/>
        </w:rPr>
        <w:t xml:space="preserve"> the </w:t>
      </w:r>
      <w:r>
        <w:rPr>
          <w:szCs w:val="24"/>
          <w:lang w:val="en-US"/>
        </w:rPr>
        <w:t>WWR</w:t>
      </w:r>
      <w:r w:rsidRPr="002D591D">
        <w:rPr>
          <w:szCs w:val="24"/>
          <w:lang w:val="en-US"/>
        </w:rPr>
        <w:t>-K reactor at the Institute of Nuclear Physics</w:t>
      </w:r>
      <w:r>
        <w:rPr>
          <w:szCs w:val="24"/>
          <w:lang w:val="en-US"/>
        </w:rPr>
        <w:t xml:space="preserve"> in </w:t>
      </w:r>
      <w:r w:rsidRPr="002D591D">
        <w:rPr>
          <w:szCs w:val="24"/>
          <w:lang w:val="en-US"/>
        </w:rPr>
        <w:t xml:space="preserve">Kazakhstan. To determine mass fractions of elements </w:t>
      </w:r>
      <w:r w:rsidR="00596E18">
        <w:rPr>
          <w:szCs w:val="24"/>
          <w:lang w:val="en-US"/>
        </w:rPr>
        <w:t>by</w:t>
      </w:r>
      <w:r w:rsidRPr="002D591D">
        <w:rPr>
          <w:szCs w:val="24"/>
          <w:lang w:val="en-US"/>
        </w:rPr>
        <w:t xml:space="preserve"> short-lived isotopes, irradiation was carried out in </w:t>
      </w:r>
      <w:r w:rsidR="00596E18">
        <w:rPr>
          <w:szCs w:val="24"/>
          <w:lang w:val="en-US"/>
        </w:rPr>
        <w:t>the</w:t>
      </w:r>
      <w:r w:rsidRPr="002D591D">
        <w:rPr>
          <w:szCs w:val="24"/>
          <w:lang w:val="en-US"/>
        </w:rPr>
        <w:t xml:space="preserve"> «dry» channel using </w:t>
      </w:r>
      <w:r w:rsidR="00596E18">
        <w:rPr>
          <w:szCs w:val="24"/>
          <w:lang w:val="en-US"/>
        </w:rPr>
        <w:t>the</w:t>
      </w:r>
      <w:r w:rsidRPr="002D591D">
        <w:rPr>
          <w:szCs w:val="24"/>
          <w:lang w:val="en-US"/>
        </w:rPr>
        <w:t xml:space="preserve"> pneumatic transport system. For irradiation on medium- and long-lived isotopes one of «wet» channels was used. The following NIST standard</w:t>
      </w:r>
      <w:r w:rsidR="00182BB0">
        <w:rPr>
          <w:szCs w:val="24"/>
          <w:lang w:val="en-US"/>
        </w:rPr>
        <w:t xml:space="preserve"> reference material</w:t>
      </w:r>
      <w:r w:rsidRPr="002D591D">
        <w:rPr>
          <w:szCs w:val="24"/>
          <w:lang w:val="en-US"/>
        </w:rPr>
        <w:t xml:space="preserve">s were </w:t>
      </w:r>
      <w:r>
        <w:rPr>
          <w:szCs w:val="24"/>
          <w:lang w:val="en-US"/>
        </w:rPr>
        <w:t>irradiat</w:t>
      </w:r>
      <w:r w:rsidRPr="002D591D">
        <w:rPr>
          <w:szCs w:val="24"/>
          <w:lang w:val="en-US"/>
        </w:rPr>
        <w:t xml:space="preserve">ed together with the </w:t>
      </w:r>
      <w:r w:rsidR="00182BB0">
        <w:rPr>
          <w:szCs w:val="24"/>
          <w:lang w:val="en-US"/>
        </w:rPr>
        <w:t xml:space="preserve">studying </w:t>
      </w:r>
      <w:r>
        <w:rPr>
          <w:szCs w:val="24"/>
          <w:lang w:val="en-US"/>
        </w:rPr>
        <w:t>samples</w:t>
      </w:r>
      <w:r w:rsidRPr="002D591D">
        <w:rPr>
          <w:szCs w:val="24"/>
          <w:lang w:val="en-US"/>
        </w:rPr>
        <w:t>: 1515, 1633</w:t>
      </w:r>
      <w:r>
        <w:rPr>
          <w:szCs w:val="24"/>
          <w:lang w:val="en-US"/>
        </w:rPr>
        <w:t>c</w:t>
      </w:r>
      <w:r w:rsidRPr="002D591D">
        <w:rPr>
          <w:szCs w:val="24"/>
          <w:lang w:val="en-US"/>
        </w:rPr>
        <w:t>, 1944, 2586, 2709a, 2710a, 278, 50</w:t>
      </w:r>
      <w:r>
        <w:rPr>
          <w:szCs w:val="24"/>
          <w:lang w:val="en-US"/>
        </w:rPr>
        <w:t>c</w:t>
      </w:r>
      <w:r w:rsidRPr="002D591D">
        <w:rPr>
          <w:szCs w:val="24"/>
          <w:lang w:val="en-US"/>
        </w:rPr>
        <w:t>. Standard samples were used to calculate mass fractions of elements by relative NAA method and for quality control.</w:t>
      </w:r>
    </w:p>
    <w:p w14:paraId="41D00E30" w14:textId="7BDC9658" w:rsidR="00A2699C" w:rsidRPr="00A2699C" w:rsidRDefault="00A2699C" w:rsidP="00F901D6">
      <w:pPr>
        <w:spacing w:line="240" w:lineRule="auto"/>
        <w:ind w:firstLine="709"/>
        <w:jc w:val="both"/>
        <w:rPr>
          <w:szCs w:val="24"/>
          <w:lang w:val="en-US"/>
        </w:rPr>
      </w:pPr>
      <w:r w:rsidRPr="00A2699C">
        <w:rPr>
          <w:szCs w:val="24"/>
          <w:lang w:val="en-US"/>
        </w:rPr>
        <w:t xml:space="preserve">As a result of </w:t>
      </w:r>
      <w:r>
        <w:rPr>
          <w:szCs w:val="24"/>
          <w:lang w:val="en-US"/>
        </w:rPr>
        <w:t>NAA</w:t>
      </w:r>
      <w:r w:rsidRPr="00A2699C">
        <w:rPr>
          <w:szCs w:val="24"/>
          <w:lang w:val="en-US"/>
        </w:rPr>
        <w:t xml:space="preserve">, the mass fractions of 43 elements for 19 plaster fragments were determined. The data were calculated as a weighted average for three </w:t>
      </w:r>
      <w:r>
        <w:rPr>
          <w:szCs w:val="24"/>
          <w:lang w:val="en-US"/>
        </w:rPr>
        <w:t>subsamples</w:t>
      </w:r>
      <w:r w:rsidRPr="00A2699C">
        <w:rPr>
          <w:szCs w:val="24"/>
          <w:lang w:val="en-US"/>
        </w:rPr>
        <w:t xml:space="preserve">. Statistical </w:t>
      </w:r>
      <w:r w:rsidR="00983BD2">
        <w:rPr>
          <w:szCs w:val="24"/>
          <w:lang w:val="en-US"/>
        </w:rPr>
        <w:t>treatment</w:t>
      </w:r>
      <w:r w:rsidRPr="00A2699C">
        <w:rPr>
          <w:szCs w:val="24"/>
          <w:lang w:val="en-US"/>
        </w:rPr>
        <w:t xml:space="preserve"> of the NAA data was carried out. By means of X-ray</w:t>
      </w:r>
      <w:r w:rsidR="00D30BAA">
        <w:rPr>
          <w:szCs w:val="24"/>
          <w:lang w:val="en-US"/>
        </w:rPr>
        <w:t xml:space="preserve"> fluorescence analysis, polarized microscopy and Raman</w:t>
      </w:r>
      <w:r w:rsidRPr="00A2699C">
        <w:rPr>
          <w:szCs w:val="24"/>
          <w:lang w:val="en-US"/>
        </w:rPr>
        <w:t xml:space="preserve"> spectroscopy, the set of </w:t>
      </w:r>
      <w:r w:rsidR="00182BB0">
        <w:rPr>
          <w:szCs w:val="24"/>
          <w:lang w:val="en-US"/>
        </w:rPr>
        <w:t xml:space="preserve">main </w:t>
      </w:r>
      <w:r w:rsidRPr="00A2699C">
        <w:rPr>
          <w:szCs w:val="24"/>
          <w:lang w:val="en-US"/>
        </w:rPr>
        <w:t xml:space="preserve">pigments </w:t>
      </w:r>
      <w:r w:rsidR="00175EE6">
        <w:rPr>
          <w:szCs w:val="24"/>
          <w:lang w:val="en-US"/>
        </w:rPr>
        <w:t>was</w:t>
      </w:r>
      <w:r w:rsidRPr="00A2699C">
        <w:rPr>
          <w:szCs w:val="24"/>
          <w:lang w:val="en-US"/>
        </w:rPr>
        <w:t xml:space="preserve"> determined: yellow and red ochre, cinnabar, green earth</w:t>
      </w:r>
      <w:r w:rsidR="00D30BAA">
        <w:rPr>
          <w:szCs w:val="24"/>
          <w:lang w:val="en-US"/>
        </w:rPr>
        <w:t xml:space="preserve">, lazulite, </w:t>
      </w:r>
      <w:proofErr w:type="spellStart"/>
      <w:r w:rsidR="00D30BAA">
        <w:rPr>
          <w:szCs w:val="24"/>
          <w:lang w:val="en-US"/>
        </w:rPr>
        <w:t>reft</w:t>
      </w:r>
      <w:proofErr w:type="spellEnd"/>
      <w:r w:rsidR="00D30BAA">
        <w:rPr>
          <w:szCs w:val="24"/>
          <w:lang w:val="en-US"/>
        </w:rPr>
        <w:t xml:space="preserve"> (carbon black), lime white</w:t>
      </w:r>
      <w:r w:rsidRPr="00A2699C">
        <w:rPr>
          <w:szCs w:val="24"/>
          <w:lang w:val="en-US"/>
        </w:rPr>
        <w:t xml:space="preserve">. </w:t>
      </w:r>
      <w:r w:rsidR="00D30BAA">
        <w:rPr>
          <w:szCs w:val="24"/>
          <w:lang w:val="en-US"/>
        </w:rPr>
        <w:t>T</w:t>
      </w:r>
      <w:r w:rsidRPr="00A2699C">
        <w:rPr>
          <w:szCs w:val="24"/>
          <w:lang w:val="en-US"/>
        </w:rPr>
        <w:t xml:space="preserve">o </w:t>
      </w:r>
      <w:r w:rsidR="00175EE6">
        <w:rPr>
          <w:szCs w:val="24"/>
          <w:lang w:val="en-US"/>
        </w:rPr>
        <w:t>reveal</w:t>
      </w:r>
      <w:r w:rsidRPr="00A2699C">
        <w:rPr>
          <w:szCs w:val="24"/>
          <w:lang w:val="en-US"/>
        </w:rPr>
        <w:t xml:space="preserve"> </w:t>
      </w:r>
      <w:r w:rsidR="00D30BAA" w:rsidRPr="00D30BAA">
        <w:rPr>
          <w:szCs w:val="24"/>
          <w:lang w:val="en-US"/>
        </w:rPr>
        <w:t>the characteristics</w:t>
      </w:r>
      <w:r w:rsidR="00D30BAA">
        <w:rPr>
          <w:szCs w:val="24"/>
          <w:lang w:val="en-US"/>
        </w:rPr>
        <w:t xml:space="preserve"> </w:t>
      </w:r>
      <w:r w:rsidRPr="00D30BAA">
        <w:rPr>
          <w:szCs w:val="24"/>
          <w:lang w:val="en-US"/>
        </w:rPr>
        <w:t>o</w:t>
      </w:r>
      <w:r w:rsidRPr="00A2699C">
        <w:rPr>
          <w:szCs w:val="24"/>
          <w:lang w:val="en-US"/>
        </w:rPr>
        <w:t xml:space="preserve">f painting techniques, optical studies </w:t>
      </w:r>
      <w:r w:rsidR="00175EE6">
        <w:rPr>
          <w:szCs w:val="24"/>
          <w:lang w:val="en-US"/>
        </w:rPr>
        <w:t>of</w:t>
      </w:r>
      <w:r w:rsidRPr="00A2699C">
        <w:rPr>
          <w:szCs w:val="24"/>
          <w:lang w:val="en-US"/>
        </w:rPr>
        <w:t xml:space="preserve"> </w:t>
      </w:r>
      <w:r w:rsidR="00D30BAA">
        <w:rPr>
          <w:szCs w:val="24"/>
          <w:lang w:val="en-US"/>
        </w:rPr>
        <w:t>cross-sections of color</w:t>
      </w:r>
      <w:r w:rsidRPr="00A2699C">
        <w:rPr>
          <w:szCs w:val="24"/>
          <w:lang w:val="en-US"/>
        </w:rPr>
        <w:t xml:space="preserve"> layers </w:t>
      </w:r>
      <w:r w:rsidR="00D30BAA">
        <w:rPr>
          <w:szCs w:val="24"/>
          <w:lang w:val="en-US"/>
        </w:rPr>
        <w:t>as well as</w:t>
      </w:r>
      <w:r w:rsidRPr="00A2699C">
        <w:rPr>
          <w:szCs w:val="24"/>
          <w:lang w:val="en-US"/>
        </w:rPr>
        <w:t xml:space="preserve"> analysis of the binder by infrared spectroscopy</w:t>
      </w:r>
      <w:r w:rsidR="00D30BAA" w:rsidRPr="00D30BAA">
        <w:rPr>
          <w:szCs w:val="24"/>
          <w:lang w:val="en-US"/>
        </w:rPr>
        <w:t xml:space="preserve"> </w:t>
      </w:r>
      <w:r w:rsidR="00D30BAA" w:rsidRPr="00A2699C">
        <w:rPr>
          <w:szCs w:val="24"/>
          <w:lang w:val="en-US"/>
        </w:rPr>
        <w:t>were carried out</w:t>
      </w:r>
      <w:r w:rsidRPr="00A2699C">
        <w:rPr>
          <w:szCs w:val="24"/>
          <w:lang w:val="en-US"/>
        </w:rPr>
        <w:t>. It is assumed that the mural</w:t>
      </w:r>
      <w:r w:rsidR="00182BB0">
        <w:rPr>
          <w:szCs w:val="24"/>
          <w:lang w:val="en-US"/>
        </w:rPr>
        <w:t>s</w:t>
      </w:r>
      <w:r w:rsidRPr="00A2699C">
        <w:rPr>
          <w:szCs w:val="24"/>
          <w:lang w:val="en-US"/>
        </w:rPr>
        <w:t xml:space="preserve"> </w:t>
      </w:r>
      <w:proofErr w:type="gramStart"/>
      <w:r w:rsidR="00D30BAA">
        <w:rPr>
          <w:szCs w:val="24"/>
          <w:lang w:val="en-US"/>
        </w:rPr>
        <w:t>was</w:t>
      </w:r>
      <w:proofErr w:type="gramEnd"/>
      <w:r w:rsidR="00D30BAA">
        <w:rPr>
          <w:szCs w:val="24"/>
          <w:lang w:val="en-US"/>
        </w:rPr>
        <w:t xml:space="preserve"> performed</w:t>
      </w:r>
      <w:r w:rsidRPr="00A2699C">
        <w:rPr>
          <w:szCs w:val="24"/>
          <w:lang w:val="en-US"/>
        </w:rPr>
        <w:t xml:space="preserve"> in mixed fresco-secco technique.</w:t>
      </w:r>
    </w:p>
    <w:p w14:paraId="5A8092C3" w14:textId="77777777" w:rsidR="00F901D6" w:rsidRDefault="00F901D6" w:rsidP="00F901D6">
      <w:pPr>
        <w:keepNext/>
        <w:spacing w:line="240" w:lineRule="auto"/>
        <w:jc w:val="center"/>
        <w:rPr>
          <w:szCs w:val="24"/>
        </w:rPr>
      </w:pPr>
      <w:r w:rsidRPr="004F3191">
        <w:rPr>
          <w:noProof/>
          <w:szCs w:val="24"/>
          <w:lang w:eastAsia="ru-RU"/>
        </w:rPr>
        <w:lastRenderedPageBreak/>
        <w:drawing>
          <wp:inline distT="0" distB="0" distL="0" distR="0" wp14:anchorId="20315863" wp14:editId="201889D6">
            <wp:extent cx="4961614" cy="3007404"/>
            <wp:effectExtent l="0" t="0" r="0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0" b="5198"/>
                    <a:stretch/>
                  </pic:blipFill>
                  <pic:spPr bwMode="auto">
                    <a:xfrm>
                      <a:off x="0" y="0"/>
                      <a:ext cx="4979491" cy="301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B1856" w14:textId="1A017D7F" w:rsidR="00F901D6" w:rsidRPr="009872AB" w:rsidRDefault="009872AB" w:rsidP="009872AB">
      <w:pPr>
        <w:pStyle w:val="ae"/>
        <w:jc w:val="center"/>
        <w:rPr>
          <w:i w:val="0"/>
          <w:color w:val="auto"/>
          <w:sz w:val="24"/>
          <w:szCs w:val="24"/>
          <w:lang w:val="en-US"/>
        </w:rPr>
      </w:pPr>
      <w:bookmarkStart w:id="1" w:name="_Ref141359948"/>
      <w:r w:rsidRPr="00913EFE">
        <w:rPr>
          <w:i w:val="0"/>
          <w:color w:val="000000" w:themeColor="text1"/>
          <w:sz w:val="24"/>
          <w:szCs w:val="24"/>
          <w:lang w:val="en-US"/>
        </w:rPr>
        <w:t xml:space="preserve">Fig. </w:t>
      </w:r>
      <w:r w:rsidRPr="009872AB">
        <w:rPr>
          <w:i w:val="0"/>
          <w:color w:val="000000" w:themeColor="text1"/>
          <w:sz w:val="24"/>
          <w:szCs w:val="24"/>
        </w:rPr>
        <w:fldChar w:fldCharType="begin"/>
      </w:r>
      <w:r w:rsidRPr="00913EFE">
        <w:rPr>
          <w:i w:val="0"/>
          <w:color w:val="000000" w:themeColor="text1"/>
          <w:sz w:val="24"/>
          <w:szCs w:val="24"/>
          <w:lang w:val="en-US"/>
        </w:rPr>
        <w:instrText xml:space="preserve"> SEQ Fig. \* ARABIC </w:instrText>
      </w:r>
      <w:r w:rsidRPr="009872AB">
        <w:rPr>
          <w:i w:val="0"/>
          <w:color w:val="000000" w:themeColor="text1"/>
          <w:sz w:val="24"/>
          <w:szCs w:val="24"/>
        </w:rPr>
        <w:fldChar w:fldCharType="separate"/>
      </w:r>
      <w:r w:rsidRPr="009872AB">
        <w:rPr>
          <w:i w:val="0"/>
          <w:color w:val="000000" w:themeColor="text1"/>
          <w:sz w:val="24"/>
          <w:szCs w:val="24"/>
          <w:lang w:val="en-US"/>
        </w:rPr>
        <w:t>1</w:t>
      </w:r>
      <w:r w:rsidRPr="009872AB">
        <w:rPr>
          <w:i w:val="0"/>
          <w:color w:val="000000" w:themeColor="text1"/>
          <w:sz w:val="24"/>
          <w:szCs w:val="24"/>
        </w:rPr>
        <w:fldChar w:fldCharType="end"/>
      </w:r>
      <w:bookmarkEnd w:id="1"/>
      <w:r w:rsidR="00F901D6" w:rsidRPr="009872AB">
        <w:rPr>
          <w:i w:val="0"/>
          <w:color w:val="000000" w:themeColor="text1"/>
          <w:sz w:val="24"/>
          <w:szCs w:val="24"/>
          <w:lang w:val="en-US"/>
        </w:rPr>
        <w:t xml:space="preserve">. </w:t>
      </w:r>
      <w:r w:rsidRPr="009872AB">
        <w:rPr>
          <w:i w:val="0"/>
          <w:color w:val="000000" w:themeColor="text1"/>
          <w:sz w:val="24"/>
          <w:szCs w:val="24"/>
          <w:lang w:val="en-US"/>
        </w:rPr>
        <w:t xml:space="preserve">Archaeological fragments of the painting </w:t>
      </w:r>
      <w:r w:rsidR="0031177D">
        <w:rPr>
          <w:i w:val="0"/>
          <w:color w:val="000000" w:themeColor="text1"/>
          <w:sz w:val="24"/>
          <w:szCs w:val="24"/>
          <w:lang w:val="en-US"/>
        </w:rPr>
        <w:t>from</w:t>
      </w:r>
      <w:r w:rsidRPr="009872AB">
        <w:rPr>
          <w:i w:val="0"/>
          <w:color w:val="000000" w:themeColor="text1"/>
          <w:sz w:val="24"/>
          <w:szCs w:val="24"/>
          <w:lang w:val="en-US"/>
        </w:rPr>
        <w:t xml:space="preserve"> the Church of </w:t>
      </w:r>
      <w:r w:rsidR="001A6A09">
        <w:rPr>
          <w:i w:val="0"/>
          <w:color w:val="000000" w:themeColor="text1"/>
          <w:sz w:val="24"/>
          <w:szCs w:val="24"/>
          <w:lang w:val="en-US"/>
        </w:rPr>
        <w:t xml:space="preserve">St. </w:t>
      </w:r>
      <w:r w:rsidRPr="009872AB">
        <w:rPr>
          <w:i w:val="0"/>
          <w:color w:val="000000" w:themeColor="text1"/>
          <w:sz w:val="24"/>
          <w:szCs w:val="24"/>
          <w:lang w:val="en-US"/>
        </w:rPr>
        <w:t xml:space="preserve">John </w:t>
      </w:r>
      <w:r>
        <w:rPr>
          <w:i w:val="0"/>
          <w:color w:val="000000" w:themeColor="text1"/>
          <w:sz w:val="24"/>
          <w:szCs w:val="24"/>
          <w:lang w:val="en-US"/>
        </w:rPr>
        <w:t xml:space="preserve">on </w:t>
      </w:r>
      <w:proofErr w:type="spellStart"/>
      <w:r>
        <w:rPr>
          <w:i w:val="0"/>
          <w:color w:val="000000" w:themeColor="text1"/>
          <w:sz w:val="24"/>
          <w:szCs w:val="24"/>
          <w:lang w:val="en-US"/>
        </w:rPr>
        <w:t>Opoki</w:t>
      </w:r>
      <w:proofErr w:type="spellEnd"/>
      <w:r>
        <w:rPr>
          <w:i w:val="0"/>
          <w:color w:val="000000" w:themeColor="text1"/>
          <w:sz w:val="24"/>
          <w:szCs w:val="24"/>
          <w:lang w:val="en-US"/>
        </w:rPr>
        <w:t>.</w:t>
      </w:r>
    </w:p>
    <w:p w14:paraId="4DE09E69" w14:textId="4040DBD6" w:rsidR="004F3191" w:rsidRPr="009872AB" w:rsidRDefault="004F3191" w:rsidP="004F3191">
      <w:pPr>
        <w:pStyle w:val="ae"/>
        <w:jc w:val="center"/>
        <w:rPr>
          <w:i w:val="0"/>
          <w:color w:val="auto"/>
          <w:sz w:val="24"/>
          <w:szCs w:val="24"/>
          <w:lang w:val="en-US"/>
        </w:rPr>
      </w:pPr>
    </w:p>
    <w:sectPr w:rsidR="004F3191" w:rsidRPr="009872AB" w:rsidSect="00864A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11C8"/>
    <w:multiLevelType w:val="hybridMultilevel"/>
    <w:tmpl w:val="F3441E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2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CA"/>
    <w:rsid w:val="000268EA"/>
    <w:rsid w:val="0011029B"/>
    <w:rsid w:val="00111B64"/>
    <w:rsid w:val="00123EFC"/>
    <w:rsid w:val="001603CA"/>
    <w:rsid w:val="001658DB"/>
    <w:rsid w:val="00175EE6"/>
    <w:rsid w:val="00182BB0"/>
    <w:rsid w:val="001A6A09"/>
    <w:rsid w:val="001A6AAF"/>
    <w:rsid w:val="001B7FE7"/>
    <w:rsid w:val="001F1F5D"/>
    <w:rsid w:val="00283D6B"/>
    <w:rsid w:val="002B343F"/>
    <w:rsid w:val="002D591D"/>
    <w:rsid w:val="0031177D"/>
    <w:rsid w:val="003729D0"/>
    <w:rsid w:val="0039453B"/>
    <w:rsid w:val="003B4B0D"/>
    <w:rsid w:val="00411067"/>
    <w:rsid w:val="0045459F"/>
    <w:rsid w:val="004734A4"/>
    <w:rsid w:val="004B5D2E"/>
    <w:rsid w:val="004D2611"/>
    <w:rsid w:val="004F21E8"/>
    <w:rsid w:val="004F3191"/>
    <w:rsid w:val="00502A83"/>
    <w:rsid w:val="00557EDC"/>
    <w:rsid w:val="005936C4"/>
    <w:rsid w:val="00595B4E"/>
    <w:rsid w:val="00596E18"/>
    <w:rsid w:val="005A287D"/>
    <w:rsid w:val="005C75EC"/>
    <w:rsid w:val="00607521"/>
    <w:rsid w:val="00675CF2"/>
    <w:rsid w:val="00687D38"/>
    <w:rsid w:val="006A0B99"/>
    <w:rsid w:val="006B6244"/>
    <w:rsid w:val="006F2FEF"/>
    <w:rsid w:val="006F3026"/>
    <w:rsid w:val="007032A5"/>
    <w:rsid w:val="00703DFA"/>
    <w:rsid w:val="007509CA"/>
    <w:rsid w:val="00751CA2"/>
    <w:rsid w:val="00776D93"/>
    <w:rsid w:val="007E5401"/>
    <w:rsid w:val="007F5AA8"/>
    <w:rsid w:val="00864AA7"/>
    <w:rsid w:val="00887466"/>
    <w:rsid w:val="008A6BC2"/>
    <w:rsid w:val="008B2BC9"/>
    <w:rsid w:val="008C6002"/>
    <w:rsid w:val="00902096"/>
    <w:rsid w:val="00913EFE"/>
    <w:rsid w:val="009745FF"/>
    <w:rsid w:val="0097777F"/>
    <w:rsid w:val="00983BD2"/>
    <w:rsid w:val="009872AB"/>
    <w:rsid w:val="009A467E"/>
    <w:rsid w:val="009B57AC"/>
    <w:rsid w:val="009D13CB"/>
    <w:rsid w:val="00A057CB"/>
    <w:rsid w:val="00A256D2"/>
    <w:rsid w:val="00A2699C"/>
    <w:rsid w:val="00A3419B"/>
    <w:rsid w:val="00A726F5"/>
    <w:rsid w:val="00AD79DE"/>
    <w:rsid w:val="00AE1E3A"/>
    <w:rsid w:val="00B53101"/>
    <w:rsid w:val="00B63C72"/>
    <w:rsid w:val="00BB6EC5"/>
    <w:rsid w:val="00C120A7"/>
    <w:rsid w:val="00C369FF"/>
    <w:rsid w:val="00CD2AE3"/>
    <w:rsid w:val="00CD6424"/>
    <w:rsid w:val="00CE3CD2"/>
    <w:rsid w:val="00CF7DDB"/>
    <w:rsid w:val="00D30BAA"/>
    <w:rsid w:val="00DA01E2"/>
    <w:rsid w:val="00DB3096"/>
    <w:rsid w:val="00DC6039"/>
    <w:rsid w:val="00DF0ED0"/>
    <w:rsid w:val="00DF1512"/>
    <w:rsid w:val="00E07DC1"/>
    <w:rsid w:val="00E41E02"/>
    <w:rsid w:val="00EC03B3"/>
    <w:rsid w:val="00F02CF8"/>
    <w:rsid w:val="00F12F09"/>
    <w:rsid w:val="00F22F6A"/>
    <w:rsid w:val="00F5102A"/>
    <w:rsid w:val="00F901D6"/>
    <w:rsid w:val="00F932E9"/>
    <w:rsid w:val="00F93D82"/>
    <w:rsid w:val="00FA0897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5A81B"/>
  <w15:chartTrackingRefBased/>
  <w15:docId w15:val="{E8086932-6DDB-4B14-9095-A381B5C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9F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1F1F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1F1F5D"/>
    <w:rPr>
      <w:i/>
      <w:iCs/>
    </w:rPr>
  </w:style>
  <w:style w:type="character" w:styleId="a6">
    <w:name w:val="Hyperlink"/>
    <w:basedOn w:val="a0"/>
    <w:uiPriority w:val="99"/>
    <w:unhideWhenUsed/>
    <w:rsid w:val="00E07D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2A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531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31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3101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31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3101"/>
    <w:rPr>
      <w:rFonts w:ascii="Times New Roman" w:hAnsi="Times New Roman"/>
      <w:b/>
      <w:bCs/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rsid w:val="004F31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01D6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913EF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mitriev@jin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mitriev@jin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3060-8C21-4205-993C-01105B00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Veronica</cp:lastModifiedBy>
  <cp:revision>4</cp:revision>
  <cp:lastPrinted>2021-04-29T08:42:00Z</cp:lastPrinted>
  <dcterms:created xsi:type="dcterms:W3CDTF">2023-07-28T13:20:00Z</dcterms:created>
  <dcterms:modified xsi:type="dcterms:W3CDTF">2023-09-04T11:37:00Z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http://www.zotero.org/styles/3d-printed-materials-and-systems</vt:lpwstr>
  </property>
  <property fmtid="{D5CDD505-2E9C-101B-9397-08002B2CF9AE}" pid="3" name="Mendeley Recent Style Name 0_1">
    <vt:lpwstr>3D-Printed Materials and Systems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http://www.zotero.org/styles/archaeometry</vt:lpwstr>
  </property>
  <property fmtid="{D5CDD505-2E9C-101B-9397-08002B2CF9AE}" pid="9" name="Mendeley Recent Style Name 3_1">
    <vt:lpwstr>Archaeometry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http://www.zotero.org/styles/heritage-science</vt:lpwstr>
  </property>
  <property fmtid="{D5CDD505-2E9C-101B-9397-08002B2CF9AE}" pid="13" name="Mendeley Recent Style Name 5_1">
    <vt:lpwstr>Heritage Science</vt:lpwstr>
  </property>
  <property fmtid="{D5CDD505-2E9C-101B-9397-08002B2CF9AE}" pid="14" name="Mendeley Recent Style Id 6_1">
    <vt:lpwstr>http://www.zotero.org/styles/journal-of-cultural-heritage</vt:lpwstr>
  </property>
  <property fmtid="{D5CDD505-2E9C-101B-9397-08002B2CF9AE}" pid="15" name="Mendeley Recent Style Name 6_1">
    <vt:lpwstr>Journal of Cultural Heritage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