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2792" w14:textId="68CEFBFB" w:rsidR="009A4391" w:rsidRDefault="009258C9" w:rsidP="009A43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8C9">
        <w:rPr>
          <w:rFonts w:ascii="Times New Roman" w:hAnsi="Times New Roman" w:cs="Times New Roman"/>
          <w:b/>
          <w:bCs/>
          <w:sz w:val="24"/>
          <w:szCs w:val="24"/>
        </w:rPr>
        <w:t>ИССЛЕДОВАНИЕ ФИЗИЧЕСКИХ ХАРАКТЕРИСТИК ПРОБ КАРБОНАТОВ</w:t>
      </w:r>
      <w:r w:rsidRPr="00925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8C9">
        <w:rPr>
          <w:rFonts w:ascii="Times New Roman" w:hAnsi="Times New Roman" w:cs="Times New Roman"/>
          <w:b/>
          <w:bCs/>
          <w:sz w:val="24"/>
          <w:szCs w:val="24"/>
        </w:rPr>
        <w:t>с АРХЕОЛОГИЧЕСКИХ АРТЕФАКТОВ ДЛЯ ЭПР ДАТИРОВАНИЯ</w:t>
      </w:r>
    </w:p>
    <w:p w14:paraId="3B91DB0D" w14:textId="38A46BFA" w:rsidR="002B2554" w:rsidRPr="009A4391" w:rsidRDefault="002B2554" w:rsidP="009A43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391">
        <w:rPr>
          <w:rFonts w:ascii="Times New Roman" w:hAnsi="Times New Roman" w:cs="Times New Roman"/>
          <w:b/>
          <w:bCs/>
          <w:sz w:val="24"/>
          <w:szCs w:val="24"/>
        </w:rPr>
        <w:t>Authors:</w:t>
      </w:r>
    </w:p>
    <w:p w14:paraId="658D50C5" w14:textId="77777777" w:rsidR="002B2554" w:rsidRPr="009A4391" w:rsidRDefault="002B2554" w:rsidP="009A43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4391">
        <w:rPr>
          <w:rFonts w:ascii="Times New Roman" w:hAnsi="Times New Roman" w:cs="Times New Roman"/>
          <w:i/>
          <w:iCs/>
          <w:sz w:val="24"/>
          <w:szCs w:val="24"/>
          <w:u w:val="single"/>
        </w:rPr>
        <w:t>Т.А. Середавина</w:t>
      </w:r>
      <w:r w:rsidRPr="009A4391">
        <w:rPr>
          <w:rFonts w:ascii="Times New Roman" w:hAnsi="Times New Roman" w:cs="Times New Roman"/>
          <w:i/>
          <w:iCs/>
          <w:sz w:val="24"/>
          <w:szCs w:val="24"/>
        </w:rPr>
        <w:t>, И.В. Мерц, И.В. Данько, Е.Р. Нуртазин, Ж.Т. Мукан</w:t>
      </w:r>
    </w:p>
    <w:p w14:paraId="7960879B" w14:textId="77777777" w:rsidR="002B2554" w:rsidRPr="009A4391" w:rsidRDefault="002B2554" w:rsidP="009A43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4391">
        <w:rPr>
          <w:rFonts w:ascii="Times New Roman" w:hAnsi="Times New Roman" w:cs="Times New Roman"/>
          <w:sz w:val="24"/>
          <w:szCs w:val="24"/>
        </w:rPr>
        <w:t>Актуальность развития методик археологического датирования несомненна с позиций восстановления исторического прошлого, но датирование археологических находок типа минералов и керамик усложняется вследствие принадлежности к обширному классу алюмосиликатов, включающих множество примесей и структурные дефекты.</w:t>
      </w:r>
      <w:r w:rsidRPr="009A4391">
        <w:rPr>
          <w:rFonts w:ascii="Times New Roman" w:hAnsi="Times New Roman" w:cs="Times New Roman"/>
          <w:sz w:val="24"/>
          <w:szCs w:val="24"/>
        </w:rPr>
        <w:br/>
        <w:t>В исследованиях ископаемых керамик с содержанием кварца и кремнезема одним из эффективных методов признана спектроскопия электронного парамагнитного резонанса (ЭПР) [1]. Поверхностные наслоения на артефактах представляют особый интерес для датирования, так как в природных условиях образуются известковые и глиняные налеты, включающие органические примеси, для характеристики таких проб полезен, прежде всего, метод ЭПР. На анализ представлены образцы: карбонаты с каменных орудий, стоянка Шолпан-2, Павлодарская обл., Центральный Казахстан, поздний неолит и карбонаты с керамики. Карабастау, Южный Казахстан, эпоха бронзы.</w:t>
      </w:r>
      <w:r w:rsidRPr="009A4391">
        <w:rPr>
          <w:rFonts w:ascii="Times New Roman" w:hAnsi="Times New Roman" w:cs="Times New Roman"/>
          <w:sz w:val="24"/>
          <w:szCs w:val="24"/>
        </w:rPr>
        <w:br/>
        <w:t>Пробы с поверхности археологических артефактов, представлявшие слоистую массу бежево-серого цвета, исследованы рентгеноструктурным методом.</w:t>
      </w:r>
      <w:r w:rsidRPr="009A4391">
        <w:rPr>
          <w:rFonts w:ascii="Times New Roman" w:hAnsi="Times New Roman" w:cs="Times New Roman"/>
          <w:sz w:val="24"/>
          <w:szCs w:val="24"/>
        </w:rPr>
        <w:br/>
        <w:t>Результат рентгенофазового анализа, %</w:t>
      </w:r>
      <w:r w:rsidRPr="009A4391">
        <w:rPr>
          <w:rFonts w:ascii="Times New Roman" w:hAnsi="Times New Roman" w:cs="Times New Roman"/>
          <w:sz w:val="24"/>
          <w:szCs w:val="24"/>
        </w:rPr>
        <w:br/>
        <w:t>Спектр Na2O MgO Al2O3 SiO2 P2O5 SO3 K2O CaO TiO2 FeO Итог</w:t>
      </w:r>
      <w:r w:rsidRPr="009A4391">
        <w:rPr>
          <w:rFonts w:ascii="Times New Roman" w:hAnsi="Times New Roman" w:cs="Times New Roman"/>
          <w:sz w:val="24"/>
          <w:szCs w:val="24"/>
        </w:rPr>
        <w:br/>
        <w:t>Спектр 1 0,44 2,60 6,67 18,45 0,66 0,74 1,26 65,31 0,33 3,53 100,00</w:t>
      </w:r>
      <w:r w:rsidRPr="009A4391">
        <w:rPr>
          <w:rFonts w:ascii="Times New Roman" w:hAnsi="Times New Roman" w:cs="Times New Roman"/>
          <w:sz w:val="24"/>
          <w:szCs w:val="24"/>
        </w:rPr>
        <w:br/>
        <w:t>Спектр 2 0,59 2,39 6,76 21,15 0,27 0,86 1,36 63,03 0,41 3,19 100,00</w:t>
      </w:r>
      <w:r w:rsidRPr="009A4391">
        <w:rPr>
          <w:rFonts w:ascii="Times New Roman" w:hAnsi="Times New Roman" w:cs="Times New Roman"/>
          <w:sz w:val="24"/>
          <w:szCs w:val="24"/>
        </w:rPr>
        <w:br/>
        <w:t>Спектр 3 0,55 2,82 9,09 27,63 0,80 0,63 1,87 51,64 0,47 4,50 100,00</w:t>
      </w:r>
      <w:r w:rsidRPr="009A4391">
        <w:rPr>
          <w:rFonts w:ascii="Times New Roman" w:hAnsi="Times New Roman" w:cs="Times New Roman"/>
          <w:sz w:val="24"/>
          <w:szCs w:val="24"/>
        </w:rPr>
        <w:br/>
        <w:t>Среднее 0,53 2,60 7,51 22,41 0,58 0,75 1,50 59,99 0,40 3,74 100,00</w:t>
      </w:r>
      <w:r w:rsidRPr="009A4391">
        <w:rPr>
          <w:rFonts w:ascii="Times New Roman" w:hAnsi="Times New Roman" w:cs="Times New Roman"/>
          <w:sz w:val="24"/>
          <w:szCs w:val="24"/>
        </w:rPr>
        <w:br/>
        <w:t>Стан.откл. 0,08 0,22 1,37 4,72 0,27 0,11 0,32 7,33 0,07 0,68</w:t>
      </w:r>
      <w:r w:rsidRPr="009A4391">
        <w:rPr>
          <w:rFonts w:ascii="Times New Roman" w:hAnsi="Times New Roman" w:cs="Times New Roman"/>
          <w:sz w:val="24"/>
          <w:szCs w:val="24"/>
        </w:rPr>
        <w:br/>
        <w:t>По данным фазового анализа, основной компонент, кроме солей кальция, карбонатов – кремнеземы, но отношение Si/Al (22,41/7,51) ниже, чем отношение кларков элементов.</w:t>
      </w:r>
      <w:r w:rsidRPr="009A4391">
        <w:rPr>
          <w:rFonts w:ascii="Times New Roman" w:hAnsi="Times New Roman" w:cs="Times New Roman"/>
          <w:sz w:val="24"/>
          <w:szCs w:val="24"/>
        </w:rPr>
        <w:br/>
        <w:t>Анализ поверхностных слоев проводился методом электронной микроскопии на энергодисперсионном рентгеновском спектрометре QUANTAX75 (Bruker), анализатор Hitachi. На рисунке 1 показаны: участок гранулы (1а) и цветное изображение, полученное сканированием электронами энергией 15 kV (1б). Рефлексы в средней и правой части снимка (1б) относятся модификации SiO2</w:t>
      </w:r>
      <w:r w:rsidRPr="009A4391">
        <w:rPr>
          <w:rFonts w:ascii="Times New Roman" w:hAnsi="Times New Roman" w:cs="Times New Roman"/>
          <w:i/>
          <w:iCs/>
          <w:sz w:val="24"/>
          <w:szCs w:val="24"/>
        </w:rPr>
        <w:t>nH2O кремнезема, в левой – оксиду кальция, с присутствием органической компоненты.</w:t>
      </w:r>
      <w:r w:rsidRPr="009A4391">
        <w:rPr>
          <w:rFonts w:ascii="Times New Roman" w:hAnsi="Times New Roman" w:cs="Times New Roman"/>
          <w:i/>
          <w:iCs/>
          <w:sz w:val="24"/>
          <w:szCs w:val="24"/>
        </w:rPr>
        <w:br/>
        <w:t>а) б)</w:t>
      </w:r>
      <w:r w:rsidRPr="009A4391">
        <w:rPr>
          <w:rFonts w:ascii="Times New Roman" w:hAnsi="Times New Roman" w:cs="Times New Roman"/>
          <w:i/>
          <w:iCs/>
          <w:sz w:val="24"/>
          <w:szCs w:val="24"/>
        </w:rPr>
        <w:br/>
        <w:t>Рисунок 1. Участок гранулы (а). Цветовое изображение – картирование по элементам (б).</w:t>
      </w:r>
      <w:r w:rsidRPr="009A4391">
        <w:rPr>
          <w:rFonts w:ascii="Times New Roman" w:hAnsi="Times New Roman" w:cs="Times New Roman"/>
          <w:i/>
          <w:iCs/>
          <w:sz w:val="24"/>
          <w:szCs w:val="24"/>
        </w:rPr>
        <w:br/>
        <w:t>Спектры ЭПР.</w:t>
      </w:r>
      <w:r w:rsidRPr="009A4391">
        <w:rPr>
          <w:rFonts w:ascii="Times New Roman" w:hAnsi="Times New Roman" w:cs="Times New Roman"/>
          <w:i/>
          <w:iCs/>
          <w:sz w:val="24"/>
          <w:szCs w:val="24"/>
        </w:rPr>
        <w:br/>
        <w:t>Анализ проб карбонатов проводился на ЭПР спектрометре ESP300E (Bruker) при комнатной температуре, в спектрометре используется фазочувствительное детектирование, что особенно важно для реализации чувствительности (5</w:t>
      </w:r>
      <w:r w:rsidRPr="009A4391">
        <w:rPr>
          <w:rFonts w:ascii="Times New Roman" w:hAnsi="Times New Roman" w:cs="Times New Roman"/>
          <w:sz w:val="24"/>
          <w:szCs w:val="24"/>
        </w:rPr>
        <w:t>10E9сп./10--4T) при получении исходных спектров, в которых форма сложного сигнала позволяла предполагать наличие сигналов двух-трех видов парамагнитных центров (ПМЦ).</w:t>
      </w:r>
      <w:r w:rsidRPr="009A4391">
        <w:rPr>
          <w:rFonts w:ascii="Times New Roman" w:hAnsi="Times New Roman" w:cs="Times New Roman"/>
          <w:sz w:val="24"/>
          <w:szCs w:val="24"/>
        </w:rPr>
        <w:br/>
        <w:t xml:space="preserve">Ступенчатый подбор условий регистрации основывался на том, что в течение воздействия природных факторов на поверхности артефактов произошло формирование почвенных минеральных (глиняных или песчаных) и/или известковых отложений. Действительно, ЭПР спектры исходных проб отражали наличие в составе образца двух видов дефектов электронной структуры – парамагнитных центров (ПМЦ), связанных с нарушениями кристаллической структуры в образованных минералах. В спектрах отражается также, что </w:t>
      </w:r>
      <w:r w:rsidRPr="009A4391">
        <w:rPr>
          <w:rFonts w:ascii="Times New Roman" w:hAnsi="Times New Roman" w:cs="Times New Roman"/>
          <w:sz w:val="24"/>
          <w:szCs w:val="24"/>
        </w:rPr>
        <w:lastRenderedPageBreak/>
        <w:t xml:space="preserve">артефакты могли долго находиться в условиях природной водной среды. По этой причине выбран диапазон развертки в интервале g- фактора 2,00, спектры регистрировали с эталоном </w:t>
      </w:r>
      <w:proofErr w:type="gramStart"/>
      <w:r w:rsidRPr="009A4391">
        <w:rPr>
          <w:rFonts w:ascii="Times New Roman" w:hAnsi="Times New Roman" w:cs="Times New Roman"/>
          <w:sz w:val="24"/>
          <w:szCs w:val="24"/>
        </w:rPr>
        <w:t>Mn(</w:t>
      </w:r>
      <w:proofErr w:type="gramEnd"/>
      <w:r w:rsidRPr="009A4391">
        <w:rPr>
          <w:rFonts w:ascii="Times New Roman" w:hAnsi="Times New Roman" w:cs="Times New Roman"/>
          <w:sz w:val="24"/>
          <w:szCs w:val="24"/>
        </w:rPr>
        <w:t>+2)/MgO. В выбранных условиях разделены сигнал с g- фактором ≈ 2,0080, довольно интенсивный, и сигнал, по-видимому, Е1/ -центров, g ~2,004.</w:t>
      </w:r>
      <w:r w:rsidRPr="009A4391">
        <w:rPr>
          <w:rFonts w:ascii="Times New Roman" w:hAnsi="Times New Roman" w:cs="Times New Roman"/>
          <w:sz w:val="24"/>
          <w:szCs w:val="24"/>
        </w:rPr>
        <w:br/>
        <w:t>В природных условиях такие ПМЦ образуются за счет влияния реликтового облучения и радиационного фона местности. В качестве дополнительного метода исследования использовано облучение на ускорителе ИЯФ ИЛУ-10 тормозным излучением, позволившее не только качественно, но и количественно оценить возраст объектов, а также идентифицировать ПМЦ. Максимальная энергия тормозного излучения близка к энергии электронов E 5МэВ. В облучаемой мишени вторичные электроны могут стабилизироваться в ловушках, вблизи кулоновского поля катионов в решетке, в данном случае в положительной дырке – вакансии кислорода. Обе пробы облучали равными дозами, сигналы (рис. 2а) приведены к единым условиям и нормированы. Из дозовых зависимостей (рис. 2б) аппроксимацией получены оценочные датировки.</w:t>
      </w:r>
      <w:r w:rsidRPr="009A4391">
        <w:rPr>
          <w:rFonts w:ascii="Times New Roman" w:hAnsi="Times New Roman" w:cs="Times New Roman"/>
          <w:sz w:val="24"/>
          <w:szCs w:val="24"/>
        </w:rPr>
        <w:br/>
        <w:t>а) б)</w:t>
      </w:r>
      <w:r w:rsidRPr="009A4391">
        <w:rPr>
          <w:rFonts w:ascii="Times New Roman" w:hAnsi="Times New Roman" w:cs="Times New Roman"/>
          <w:sz w:val="24"/>
          <w:szCs w:val="24"/>
        </w:rPr>
        <w:br/>
        <w:t>Рисунок 2 – Вид сигналов (а) и дозовой зависимости накопления ПМ центров (б).</w:t>
      </w:r>
      <w:r w:rsidRPr="009A4391">
        <w:rPr>
          <w:rFonts w:ascii="Times New Roman" w:hAnsi="Times New Roman" w:cs="Times New Roman"/>
          <w:sz w:val="24"/>
          <w:szCs w:val="24"/>
        </w:rPr>
        <w:br/>
        <w:t>Выводы.</w:t>
      </w:r>
      <w:r w:rsidRPr="009A4391">
        <w:rPr>
          <w:rFonts w:ascii="Times New Roman" w:hAnsi="Times New Roman" w:cs="Times New Roman"/>
          <w:sz w:val="24"/>
          <w:szCs w:val="24"/>
        </w:rPr>
        <w:br/>
        <w:t>Исследованы археологические пробы с поверхности артефактов для получения физических характеристик и датирования методом ЭПР. Выбраны оптимальные условия для регистрации, разделения и идентификации сигналов ЭПР от ПМ центров. Применение дополнительного облучения позволило оценить возраст находок с некоторой погрешностью. Работа в данном направлении перспективна, с учетом опыта подобных исследований и наличия высокочувствительной аппаратуры и программ.</w:t>
      </w:r>
      <w:r w:rsidRPr="009A4391">
        <w:rPr>
          <w:rFonts w:ascii="Times New Roman" w:hAnsi="Times New Roman" w:cs="Times New Roman"/>
          <w:sz w:val="24"/>
          <w:szCs w:val="24"/>
        </w:rPr>
        <w:br/>
        <w:t>Литература</w:t>
      </w:r>
      <w:r w:rsidRPr="009A4391">
        <w:rPr>
          <w:rFonts w:ascii="Times New Roman" w:hAnsi="Times New Roman" w:cs="Times New Roman"/>
          <w:sz w:val="24"/>
          <w:szCs w:val="24"/>
          <w:lang w:val="en-US"/>
        </w:rPr>
        <w:br/>
        <w:t>1. M., 1978. Electron spin resonance as a method of dating. Archaeometry, 20, 147–158. Geochronology 30 DOI:10.1016/ Authors: Shin Toyoda.</w:t>
      </w:r>
    </w:p>
    <w:p w14:paraId="160B2DAC" w14:textId="77777777" w:rsidR="001D785A" w:rsidRPr="009A4391" w:rsidRDefault="001D785A" w:rsidP="009A43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D785A" w:rsidRPr="009A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54"/>
    <w:rsid w:val="001D785A"/>
    <w:rsid w:val="002B2554"/>
    <w:rsid w:val="00596808"/>
    <w:rsid w:val="009258C9"/>
    <w:rsid w:val="009901F7"/>
    <w:rsid w:val="009A4391"/>
    <w:rsid w:val="00A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AA704D"/>
  <w15:chartTrackingRefBased/>
  <w15:docId w15:val="{8DE95829-8B74-4015-8A11-FE426BB6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87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01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426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3</cp:revision>
  <dcterms:created xsi:type="dcterms:W3CDTF">2023-08-14T06:31:00Z</dcterms:created>
  <dcterms:modified xsi:type="dcterms:W3CDTF">2023-09-21T07:30:00Z</dcterms:modified>
</cp:coreProperties>
</file>