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249BC" w:rsidRPr="007A2940" w:rsidRDefault="00E249BC" w:rsidP="00E249BC">
      <w:pPr>
        <w:spacing w:line="360" w:lineRule="auto"/>
        <w:rPr>
          <w:b/>
          <w:sz w:val="24"/>
          <w:szCs w:val="24"/>
          <w:lang w:val="en-US"/>
        </w:rPr>
      </w:pPr>
      <w:bookmarkStart w:id="0" w:name="_Toc131525051"/>
      <w:r>
        <w:rPr>
          <w:b/>
          <w:sz w:val="24"/>
          <w:szCs w:val="24"/>
          <w:lang w:val="en-US"/>
        </w:rPr>
        <w:t xml:space="preserve">                                                                                                           APPROVED              </w:t>
      </w:r>
    </w:p>
    <w:p w:rsidR="00E249BC" w:rsidRPr="007A2940" w:rsidRDefault="00E249BC" w:rsidP="00E249BC">
      <w:pPr>
        <w:spacing w:line="360" w:lineRule="auto"/>
        <w:rPr>
          <w:b/>
          <w:sz w:val="24"/>
          <w:szCs w:val="24"/>
          <w:lang w:val="en-US"/>
        </w:rPr>
      </w:pP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Pr>
          <w:b/>
          <w:sz w:val="24"/>
          <w:szCs w:val="24"/>
          <w:lang w:val="en-US"/>
        </w:rPr>
        <w:t>JINR Vice-Director</w:t>
      </w:r>
    </w:p>
    <w:p w:rsidR="00E249BC" w:rsidRPr="00C33D33" w:rsidRDefault="00E249BC" w:rsidP="00E249BC">
      <w:pPr>
        <w:spacing w:line="360" w:lineRule="auto"/>
        <w:rPr>
          <w:lang w:val="en-US"/>
        </w:rPr>
      </w:pP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u w:val="single"/>
          <w:lang w:val="en-US"/>
        </w:rPr>
        <w:tab/>
      </w:r>
      <w:r w:rsidRPr="00C33D33">
        <w:rPr>
          <w:b/>
          <w:sz w:val="24"/>
          <w:szCs w:val="24"/>
          <w:u w:val="single"/>
          <w:lang w:val="en-US"/>
        </w:rPr>
        <w:tab/>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t>/</w:t>
      </w:r>
    </w:p>
    <w:p w:rsidR="00E249BC" w:rsidRPr="007A2940" w:rsidRDefault="00E249BC" w:rsidP="00E249BC">
      <w:pPr>
        <w:spacing w:line="360" w:lineRule="auto"/>
        <w:rPr>
          <w:lang w:val="en-US"/>
        </w:rPr>
      </w:pP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7A2940">
        <w:rPr>
          <w:b/>
          <w:sz w:val="24"/>
          <w:szCs w:val="24"/>
          <w:lang w:val="en-US"/>
        </w:rPr>
        <w:t>“</w:t>
      </w:r>
      <w:r w:rsidRPr="007A2940">
        <w:rPr>
          <w:b/>
          <w:sz w:val="24"/>
          <w:szCs w:val="24"/>
          <w:u w:val="single"/>
          <w:lang w:val="en-US"/>
        </w:rPr>
        <w:tab/>
      </w:r>
      <w:r w:rsidRPr="007A2940">
        <w:rPr>
          <w:b/>
          <w:sz w:val="24"/>
          <w:szCs w:val="24"/>
          <w:lang w:val="en-US"/>
        </w:rPr>
        <w:t>“</w:t>
      </w:r>
      <w:r w:rsidRPr="007A2940">
        <w:rPr>
          <w:b/>
          <w:sz w:val="24"/>
          <w:szCs w:val="24"/>
          <w:u w:val="single"/>
          <w:lang w:val="en-US"/>
        </w:rPr>
        <w:tab/>
      </w:r>
      <w:r w:rsidRPr="007A2940">
        <w:rPr>
          <w:b/>
          <w:sz w:val="24"/>
          <w:szCs w:val="24"/>
          <w:u w:val="single"/>
          <w:lang w:val="en-US"/>
        </w:rPr>
        <w:tab/>
      </w:r>
      <w:r w:rsidRPr="007A2940">
        <w:rPr>
          <w:b/>
          <w:sz w:val="24"/>
          <w:szCs w:val="24"/>
          <w:u w:val="single"/>
          <w:lang w:val="en-US"/>
        </w:rPr>
        <w:tab/>
        <w:t>___</w:t>
      </w:r>
      <w:r w:rsidRPr="007A2940">
        <w:rPr>
          <w:b/>
          <w:sz w:val="24"/>
          <w:szCs w:val="24"/>
          <w:lang w:val="en-US"/>
        </w:rPr>
        <w:t>202</w:t>
      </w:r>
      <w:r w:rsidRPr="007A2940">
        <w:rPr>
          <w:b/>
          <w:sz w:val="24"/>
          <w:szCs w:val="24"/>
          <w:u w:val="single"/>
          <w:lang w:val="en-US"/>
        </w:rPr>
        <w:t>_</w:t>
      </w:r>
      <w:r w:rsidRPr="007A2940">
        <w:rPr>
          <w:b/>
          <w:sz w:val="24"/>
          <w:szCs w:val="24"/>
          <w:lang w:val="en-US"/>
        </w:rPr>
        <w:t xml:space="preserve"> </w:t>
      </w:r>
      <w:r>
        <w:rPr>
          <w:b/>
          <w:sz w:val="24"/>
          <w:szCs w:val="24"/>
          <w:lang w:val="en-US"/>
        </w:rPr>
        <w:t>y</w:t>
      </w:r>
      <w:r w:rsidRPr="007A2940">
        <w:rPr>
          <w:b/>
          <w:sz w:val="24"/>
          <w:szCs w:val="24"/>
          <w:lang w:val="en-US"/>
        </w:rPr>
        <w:t>.</w:t>
      </w:r>
    </w:p>
    <w:p w:rsidR="00E249BC" w:rsidRPr="007A2940" w:rsidRDefault="00E249BC" w:rsidP="00E249BC">
      <w:pPr>
        <w:spacing w:line="360" w:lineRule="auto"/>
        <w:rPr>
          <w:b/>
          <w:sz w:val="24"/>
          <w:szCs w:val="24"/>
          <w:lang w:val="en-US"/>
        </w:rPr>
      </w:pPr>
    </w:p>
    <w:p w:rsidR="00E249BC" w:rsidRPr="007A2940" w:rsidRDefault="00E249BC" w:rsidP="00E249BC">
      <w:pPr>
        <w:spacing w:line="360" w:lineRule="auto"/>
        <w:rPr>
          <w:b/>
          <w:sz w:val="24"/>
          <w:szCs w:val="24"/>
          <w:lang w:val="en-US"/>
        </w:rPr>
      </w:pPr>
    </w:p>
    <w:p w:rsidR="00E249BC" w:rsidRDefault="00E249BC" w:rsidP="00E249BC">
      <w:pPr>
        <w:spacing w:line="360" w:lineRule="auto"/>
        <w:ind w:firstLine="708"/>
        <w:jc w:val="center"/>
        <w:rPr>
          <w:b/>
          <w:sz w:val="24"/>
          <w:szCs w:val="24"/>
          <w:lang w:val="en-US"/>
        </w:rPr>
      </w:pPr>
      <w:r>
        <w:rPr>
          <w:b/>
          <w:sz w:val="24"/>
          <w:szCs w:val="24"/>
          <w:lang w:val="en-US"/>
        </w:rPr>
        <w:t>REPORT ON THE THEME / MAJOR INFRASTRUCTURE PROJECT</w:t>
      </w:r>
    </w:p>
    <w:p w:rsidR="00E249BC" w:rsidRDefault="00E249BC" w:rsidP="00E249BC">
      <w:pPr>
        <w:spacing w:line="360" w:lineRule="auto"/>
        <w:ind w:firstLine="708"/>
        <w:jc w:val="center"/>
        <w:rPr>
          <w:b/>
          <w:sz w:val="24"/>
          <w:szCs w:val="24"/>
          <w:lang w:val="en-US"/>
        </w:rPr>
      </w:pPr>
      <w:r>
        <w:rPr>
          <w:b/>
          <w:sz w:val="24"/>
          <w:szCs w:val="24"/>
          <w:lang w:val="en-US"/>
        </w:rPr>
        <w:t>ON THE DIRECTION OF RESEARCH IN THE</w:t>
      </w:r>
    </w:p>
    <w:p w:rsidR="00E249BC" w:rsidRPr="007A2940" w:rsidRDefault="00E249BC" w:rsidP="00E249BC">
      <w:pPr>
        <w:spacing w:line="360" w:lineRule="auto"/>
        <w:ind w:firstLine="708"/>
        <w:jc w:val="center"/>
        <w:rPr>
          <w:b/>
          <w:sz w:val="24"/>
          <w:szCs w:val="24"/>
          <w:lang w:val="en-US"/>
        </w:rPr>
      </w:pPr>
      <w:r>
        <w:rPr>
          <w:b/>
          <w:sz w:val="24"/>
          <w:szCs w:val="24"/>
          <w:lang w:val="en-US"/>
        </w:rPr>
        <w:t>THEMATIC PLAN OF JINR</w:t>
      </w:r>
    </w:p>
    <w:p w:rsidR="00E249BC" w:rsidRPr="007A2940" w:rsidRDefault="00E249BC" w:rsidP="00E249BC">
      <w:pPr>
        <w:spacing w:line="360" w:lineRule="auto"/>
        <w:ind w:left="720"/>
        <w:jc w:val="center"/>
        <w:rPr>
          <w:b/>
          <w:sz w:val="24"/>
          <w:szCs w:val="24"/>
          <w:lang w:val="en-US"/>
        </w:rPr>
      </w:pPr>
    </w:p>
    <w:p w:rsidR="00E249BC" w:rsidRPr="007A2940" w:rsidRDefault="00E249BC" w:rsidP="00E249BC">
      <w:pPr>
        <w:spacing w:line="240" w:lineRule="atLeast"/>
        <w:jc w:val="both"/>
        <w:rPr>
          <w:sz w:val="24"/>
          <w:szCs w:val="24"/>
          <w:lang w:val="en-US"/>
        </w:rPr>
      </w:pPr>
    </w:p>
    <w:p w:rsidR="00E249BC" w:rsidRPr="007A2940" w:rsidRDefault="00E249BC" w:rsidP="00E249BC">
      <w:pPr>
        <w:spacing w:line="240" w:lineRule="atLeast"/>
        <w:jc w:val="both"/>
        <w:rPr>
          <w:b/>
          <w:bCs/>
          <w:sz w:val="24"/>
          <w:szCs w:val="24"/>
          <w:lang w:val="en-US"/>
        </w:rPr>
      </w:pPr>
    </w:p>
    <w:p w:rsidR="00E249BC" w:rsidRPr="00044F86" w:rsidRDefault="00E249BC" w:rsidP="00E249BC">
      <w:pPr>
        <w:pStyle w:val="Heading1"/>
        <w:rPr>
          <w:lang w:val="en-US"/>
        </w:rPr>
      </w:pPr>
      <w:bookmarkStart w:id="1" w:name="_Toc131525050"/>
      <w:r w:rsidRPr="00044F86">
        <w:rPr>
          <w:lang w:val="en-US"/>
        </w:rPr>
        <w:t xml:space="preserve">1. </w:t>
      </w:r>
      <w:r>
        <w:rPr>
          <w:lang w:val="en-US"/>
        </w:rPr>
        <w:t xml:space="preserve"> General information on the research project of the theme</w:t>
      </w:r>
    </w:p>
    <w:p w:rsidR="00E249BC" w:rsidRPr="007A2940" w:rsidRDefault="00E249BC" w:rsidP="00E249BC">
      <w:pPr>
        <w:spacing w:line="276" w:lineRule="auto"/>
        <w:ind w:left="426" w:hanging="426"/>
        <w:jc w:val="both"/>
        <w:rPr>
          <w:b/>
          <w:sz w:val="24"/>
          <w:szCs w:val="24"/>
          <w:lang w:val="en-US"/>
        </w:rPr>
      </w:pPr>
      <w:r w:rsidRPr="007A2940">
        <w:rPr>
          <w:b/>
          <w:sz w:val="24"/>
          <w:szCs w:val="24"/>
          <w:lang w:val="en-US"/>
        </w:rPr>
        <w:t xml:space="preserve">1.1. </w:t>
      </w:r>
      <w:r>
        <w:rPr>
          <w:b/>
          <w:sz w:val="24"/>
          <w:szCs w:val="24"/>
          <w:lang w:val="en-US"/>
        </w:rPr>
        <w:t>Theme code</w:t>
      </w:r>
      <w:r w:rsidRPr="007A2940">
        <w:rPr>
          <w:b/>
          <w:sz w:val="24"/>
          <w:szCs w:val="24"/>
          <w:lang w:val="en-US"/>
        </w:rPr>
        <w:t xml:space="preserve"> </w:t>
      </w:r>
    </w:p>
    <w:p w:rsidR="00E249BC" w:rsidRPr="007A2940" w:rsidRDefault="00631E74" w:rsidP="00E249BC">
      <w:pPr>
        <w:spacing w:line="276" w:lineRule="auto"/>
        <w:ind w:firstLine="709"/>
        <w:jc w:val="both"/>
        <w:rPr>
          <w:rFonts w:eastAsia="Calibri"/>
          <w:i/>
          <w:iCs/>
          <w:sz w:val="24"/>
          <w:szCs w:val="24"/>
          <w:lang w:val="en-US"/>
        </w:rPr>
      </w:pPr>
      <w:r>
        <w:rPr>
          <w:rFonts w:eastAsia="Calibri"/>
          <w:i/>
          <w:iCs/>
          <w:sz w:val="24"/>
          <w:szCs w:val="24"/>
          <w:lang w:val="en-US"/>
        </w:rPr>
        <w:t>02-2-1125-2011/2023</w:t>
      </w:r>
    </w:p>
    <w:p w:rsidR="00E249BC" w:rsidRPr="007A2940" w:rsidRDefault="00E249BC" w:rsidP="00E249BC">
      <w:pPr>
        <w:spacing w:line="276" w:lineRule="auto"/>
        <w:jc w:val="both"/>
        <w:rPr>
          <w:b/>
          <w:sz w:val="24"/>
          <w:szCs w:val="24"/>
          <w:lang w:val="en-US"/>
        </w:rPr>
      </w:pPr>
      <w:r w:rsidRPr="007A2940">
        <w:rPr>
          <w:b/>
          <w:sz w:val="24"/>
          <w:szCs w:val="24"/>
          <w:lang w:val="en-US"/>
        </w:rPr>
        <w:t xml:space="preserve">1.2.  </w:t>
      </w:r>
      <w:r>
        <w:rPr>
          <w:b/>
          <w:sz w:val="24"/>
          <w:szCs w:val="24"/>
          <w:lang w:val="en-US"/>
        </w:rPr>
        <w:t>Laboratory</w:t>
      </w:r>
    </w:p>
    <w:p w:rsidR="00E249BC" w:rsidRPr="007A2940" w:rsidRDefault="00E249BC" w:rsidP="00E249BC">
      <w:pPr>
        <w:spacing w:line="276" w:lineRule="auto"/>
        <w:ind w:firstLine="708"/>
        <w:jc w:val="both"/>
        <w:rPr>
          <w:sz w:val="24"/>
          <w:szCs w:val="24"/>
          <w:lang w:val="en-US"/>
        </w:rPr>
      </w:pPr>
      <w:r>
        <w:rPr>
          <w:sz w:val="24"/>
          <w:szCs w:val="24"/>
          <w:lang w:val="en-US"/>
        </w:rPr>
        <w:t>DLNP</w:t>
      </w:r>
    </w:p>
    <w:p w:rsidR="00E249BC" w:rsidRPr="00044F86" w:rsidRDefault="00E249BC" w:rsidP="00E249BC">
      <w:pPr>
        <w:spacing w:line="276" w:lineRule="auto"/>
        <w:jc w:val="both"/>
        <w:rPr>
          <w:b/>
          <w:sz w:val="24"/>
          <w:szCs w:val="24"/>
          <w:lang w:val="en-US"/>
        </w:rPr>
      </w:pPr>
      <w:r w:rsidRPr="007A2940">
        <w:rPr>
          <w:b/>
          <w:sz w:val="24"/>
          <w:szCs w:val="24"/>
          <w:lang w:val="en-US"/>
        </w:rPr>
        <w:t xml:space="preserve">1.3.  </w:t>
      </w:r>
      <w:r>
        <w:rPr>
          <w:b/>
          <w:sz w:val="24"/>
          <w:szCs w:val="24"/>
          <w:lang w:val="en-US"/>
        </w:rPr>
        <w:t>Scientific field</w:t>
      </w:r>
      <w:r w:rsidRPr="00044F86">
        <w:rPr>
          <w:b/>
          <w:sz w:val="24"/>
          <w:szCs w:val="24"/>
          <w:lang w:val="en-US"/>
        </w:rPr>
        <w:t xml:space="preserve"> </w:t>
      </w:r>
    </w:p>
    <w:p w:rsidR="00E249BC" w:rsidRPr="00044F86" w:rsidRDefault="00E249BC" w:rsidP="00E249BC">
      <w:pPr>
        <w:spacing w:line="276" w:lineRule="auto"/>
        <w:ind w:firstLine="708"/>
        <w:jc w:val="both"/>
        <w:rPr>
          <w:sz w:val="24"/>
          <w:szCs w:val="24"/>
          <w:lang w:val="en-US"/>
        </w:rPr>
      </w:pPr>
      <w:r>
        <w:rPr>
          <w:sz w:val="24"/>
          <w:szCs w:val="24"/>
          <w:lang w:val="en-US"/>
        </w:rPr>
        <w:t>Particle physics</w:t>
      </w:r>
    </w:p>
    <w:p w:rsidR="00E249BC" w:rsidRPr="007A2940" w:rsidRDefault="00E249BC" w:rsidP="00E249BC">
      <w:pPr>
        <w:spacing w:line="276" w:lineRule="auto"/>
        <w:jc w:val="both"/>
        <w:rPr>
          <w:b/>
          <w:sz w:val="24"/>
          <w:szCs w:val="24"/>
          <w:lang w:val="en-US"/>
        </w:rPr>
      </w:pPr>
      <w:r w:rsidRPr="00044F86">
        <w:rPr>
          <w:b/>
          <w:sz w:val="24"/>
          <w:szCs w:val="24"/>
          <w:lang w:val="en-US"/>
        </w:rPr>
        <w:t xml:space="preserve">1.4. </w:t>
      </w:r>
      <w:r>
        <w:rPr>
          <w:b/>
          <w:sz w:val="24"/>
          <w:szCs w:val="24"/>
          <w:lang w:val="en-US"/>
        </w:rPr>
        <w:t xml:space="preserve"> Title</w:t>
      </w:r>
      <w:r w:rsidRPr="007A2940">
        <w:rPr>
          <w:b/>
          <w:sz w:val="24"/>
          <w:szCs w:val="24"/>
          <w:lang w:val="en-US"/>
        </w:rPr>
        <w:t xml:space="preserve"> </w:t>
      </w:r>
      <w:r>
        <w:rPr>
          <w:b/>
          <w:sz w:val="24"/>
          <w:szCs w:val="24"/>
          <w:lang w:val="en-US"/>
        </w:rPr>
        <w:t>of</w:t>
      </w:r>
      <w:r w:rsidRPr="007A2940">
        <w:rPr>
          <w:b/>
          <w:sz w:val="24"/>
          <w:szCs w:val="24"/>
          <w:lang w:val="en-US"/>
        </w:rPr>
        <w:t xml:space="preserve"> </w:t>
      </w:r>
      <w:r>
        <w:rPr>
          <w:b/>
          <w:sz w:val="24"/>
          <w:szCs w:val="24"/>
          <w:lang w:val="en-US"/>
        </w:rPr>
        <w:t>the</w:t>
      </w:r>
      <w:r w:rsidRPr="007A2940">
        <w:rPr>
          <w:b/>
          <w:sz w:val="24"/>
          <w:szCs w:val="24"/>
          <w:lang w:val="en-US"/>
        </w:rPr>
        <w:t xml:space="preserve"> </w:t>
      </w:r>
      <w:r>
        <w:rPr>
          <w:b/>
          <w:sz w:val="24"/>
          <w:szCs w:val="24"/>
          <w:lang w:val="en-US"/>
        </w:rPr>
        <w:t>project</w:t>
      </w:r>
    </w:p>
    <w:p w:rsidR="00E249BC" w:rsidRPr="00044F86" w:rsidRDefault="00E249BC" w:rsidP="00E249BC">
      <w:pPr>
        <w:spacing w:line="276" w:lineRule="auto"/>
        <w:ind w:firstLine="708"/>
        <w:jc w:val="both"/>
        <w:rPr>
          <w:sz w:val="24"/>
          <w:szCs w:val="24"/>
          <w:lang w:val="en-US"/>
        </w:rPr>
      </w:pPr>
      <w:r>
        <w:rPr>
          <w:sz w:val="24"/>
          <w:szCs w:val="24"/>
          <w:lang w:val="en-US"/>
        </w:rPr>
        <w:t>Astrophysical research in the TAIGA experiment</w:t>
      </w:r>
    </w:p>
    <w:p w:rsidR="00E249BC" w:rsidRPr="007A2940" w:rsidRDefault="00E249BC" w:rsidP="00E249BC">
      <w:pPr>
        <w:spacing w:line="276" w:lineRule="auto"/>
        <w:jc w:val="both"/>
        <w:rPr>
          <w:b/>
          <w:sz w:val="24"/>
          <w:szCs w:val="24"/>
          <w:lang w:val="en-US"/>
        </w:rPr>
      </w:pPr>
      <w:r w:rsidRPr="007A2940">
        <w:rPr>
          <w:b/>
          <w:sz w:val="24"/>
          <w:szCs w:val="24"/>
          <w:lang w:val="en-US"/>
        </w:rPr>
        <w:t xml:space="preserve">1.5. </w:t>
      </w:r>
      <w:r>
        <w:rPr>
          <w:b/>
          <w:sz w:val="24"/>
          <w:szCs w:val="24"/>
          <w:lang w:val="en-US"/>
        </w:rPr>
        <w:t>Project</w:t>
      </w:r>
      <w:r w:rsidRPr="007A2940">
        <w:rPr>
          <w:b/>
          <w:sz w:val="24"/>
          <w:szCs w:val="24"/>
          <w:lang w:val="en-US"/>
        </w:rPr>
        <w:t xml:space="preserve"> </w:t>
      </w:r>
      <w:r>
        <w:rPr>
          <w:b/>
          <w:sz w:val="24"/>
          <w:szCs w:val="24"/>
          <w:lang w:val="en-US"/>
        </w:rPr>
        <w:t>leader</w:t>
      </w:r>
    </w:p>
    <w:p w:rsidR="00E249BC" w:rsidRPr="00044F86" w:rsidRDefault="00E249BC" w:rsidP="00E249BC">
      <w:pPr>
        <w:spacing w:line="276" w:lineRule="auto"/>
        <w:ind w:firstLine="708"/>
        <w:jc w:val="both"/>
        <w:rPr>
          <w:sz w:val="24"/>
          <w:szCs w:val="24"/>
          <w:lang w:val="en-US"/>
        </w:rPr>
      </w:pPr>
      <w:r>
        <w:rPr>
          <w:sz w:val="24"/>
          <w:szCs w:val="24"/>
          <w:lang w:val="en-US"/>
        </w:rPr>
        <w:t>A</w:t>
      </w:r>
      <w:r w:rsidRPr="00044F86">
        <w:rPr>
          <w:sz w:val="24"/>
          <w:szCs w:val="24"/>
          <w:lang w:val="en-US"/>
        </w:rPr>
        <w:t xml:space="preserve">. </w:t>
      </w:r>
      <w:r>
        <w:rPr>
          <w:sz w:val="24"/>
          <w:szCs w:val="24"/>
          <w:lang w:val="en-US"/>
        </w:rPr>
        <w:t xml:space="preserve"> Borodin</w:t>
      </w:r>
      <w:r w:rsidRPr="00044F86">
        <w:rPr>
          <w:sz w:val="24"/>
          <w:szCs w:val="24"/>
          <w:lang w:val="en-US"/>
        </w:rPr>
        <w:t xml:space="preserve"> </w:t>
      </w:r>
    </w:p>
    <w:p w:rsidR="00E249BC" w:rsidRPr="00044F86" w:rsidRDefault="00E249BC" w:rsidP="00E249BC">
      <w:pPr>
        <w:spacing w:line="276" w:lineRule="auto"/>
        <w:jc w:val="both"/>
        <w:rPr>
          <w:b/>
          <w:bCs/>
          <w:sz w:val="24"/>
          <w:szCs w:val="24"/>
          <w:lang w:val="en-US"/>
        </w:rPr>
      </w:pPr>
      <w:r w:rsidRPr="00044F86">
        <w:rPr>
          <w:b/>
          <w:bCs/>
          <w:sz w:val="24"/>
          <w:szCs w:val="24"/>
          <w:lang w:val="en-US"/>
        </w:rPr>
        <w:t xml:space="preserve">1.6. </w:t>
      </w:r>
      <w:r>
        <w:rPr>
          <w:b/>
          <w:bCs/>
          <w:sz w:val="24"/>
          <w:szCs w:val="24"/>
          <w:lang w:val="en-US"/>
        </w:rPr>
        <w:t>Deputy project leader</w:t>
      </w:r>
    </w:p>
    <w:p w:rsidR="00E249BC" w:rsidRPr="00044F86" w:rsidRDefault="00E249BC" w:rsidP="00E249BC">
      <w:pPr>
        <w:spacing w:line="276" w:lineRule="auto"/>
        <w:ind w:firstLine="708"/>
        <w:jc w:val="both"/>
        <w:rPr>
          <w:lang w:val="en-US"/>
        </w:rPr>
      </w:pPr>
      <w:r>
        <w:rPr>
          <w:sz w:val="24"/>
          <w:szCs w:val="24"/>
          <w:lang w:val="en-US"/>
        </w:rPr>
        <w:t xml:space="preserve">L. Tkachev </w:t>
      </w:r>
    </w:p>
    <w:p w:rsidR="00E249BC" w:rsidRPr="00044F86" w:rsidRDefault="00E249BC" w:rsidP="00E249BC">
      <w:pPr>
        <w:pStyle w:val="Heading1"/>
        <w:rPr>
          <w:lang w:val="en-US"/>
        </w:rPr>
      </w:pPr>
      <w:r w:rsidRPr="00044F86">
        <w:rPr>
          <w:lang w:val="en-US"/>
        </w:rPr>
        <w:t xml:space="preserve">2. </w:t>
      </w:r>
      <w:r>
        <w:rPr>
          <w:lang w:val="en-US"/>
        </w:rPr>
        <w:t xml:space="preserve"> Scientific report on the performance of project</w:t>
      </w:r>
    </w:p>
    <w:p w:rsidR="00E249BC" w:rsidRDefault="00E249BC" w:rsidP="00E249BC">
      <w:pPr>
        <w:pStyle w:val="Heading2"/>
        <w:rPr>
          <w:lang w:val="en-US"/>
        </w:rPr>
      </w:pPr>
      <w:r w:rsidRPr="007A2940">
        <w:rPr>
          <w:lang w:val="en-US"/>
        </w:rPr>
        <w:t xml:space="preserve">2.1. </w:t>
      </w:r>
      <w:bookmarkEnd w:id="1"/>
      <w:r>
        <w:rPr>
          <w:lang w:val="en-US"/>
        </w:rPr>
        <w:t>Annotation</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Multi-information astronomy is a new direction in modern astrophysics, an</w:t>
      </w:r>
      <w:r>
        <w:rPr>
          <w:rFonts w:eastAsia="NotoSans-Regular"/>
          <w:sz w:val="24"/>
          <w:szCs w:val="24"/>
          <w:lang w:val="en-US" w:eastAsia="ru-RU"/>
        </w:rPr>
        <w:t xml:space="preserve"> </w:t>
      </w:r>
      <w:r w:rsidRPr="007A2940">
        <w:rPr>
          <w:rFonts w:eastAsia="NotoSans-Regular"/>
          <w:sz w:val="24"/>
          <w:szCs w:val="24"/>
          <w:lang w:val="en-US" w:eastAsia="ru-RU"/>
        </w:rPr>
        <w:t>important part of which is high-energy gamma-ray astronomy. Gamma rays represent the</w:t>
      </w:r>
      <w:r>
        <w:rPr>
          <w:rFonts w:eastAsia="NotoSans-Regular"/>
          <w:sz w:val="24"/>
          <w:szCs w:val="24"/>
          <w:lang w:val="en-US" w:eastAsia="ru-RU"/>
        </w:rPr>
        <w:t xml:space="preserve"> </w:t>
      </w:r>
      <w:r w:rsidRPr="007A2940">
        <w:rPr>
          <w:rFonts w:eastAsia="NotoSans-Regular"/>
          <w:sz w:val="24"/>
          <w:szCs w:val="24"/>
          <w:lang w:val="en-US" w:eastAsia="ru-RU"/>
        </w:rPr>
        <w:t>highest energy part of the electromagnetic spectrum and are a unique tool for studying the</w:t>
      </w:r>
      <w:r>
        <w:rPr>
          <w:rFonts w:eastAsia="NotoSans-Regular"/>
          <w:sz w:val="24"/>
          <w:szCs w:val="24"/>
          <w:lang w:val="en-US" w:eastAsia="ru-RU"/>
        </w:rPr>
        <w:t xml:space="preserve"> </w:t>
      </w:r>
      <w:r w:rsidRPr="007A2940">
        <w:rPr>
          <w:rFonts w:eastAsia="NotoSans-Regular"/>
          <w:sz w:val="24"/>
          <w:szCs w:val="24"/>
          <w:lang w:val="en-US" w:eastAsia="ru-RU"/>
        </w:rPr>
        <w:t>most energetic and most extreme processes in the universe. There are a number of</w:t>
      </w:r>
      <w:r>
        <w:rPr>
          <w:rFonts w:eastAsia="NotoSans-Regular"/>
          <w:sz w:val="24"/>
          <w:szCs w:val="24"/>
          <w:lang w:val="en-US" w:eastAsia="ru-RU"/>
        </w:rPr>
        <w:t xml:space="preserve"> </w:t>
      </w:r>
      <w:r w:rsidRPr="007A2940">
        <w:rPr>
          <w:rFonts w:eastAsia="NotoSans-Regular"/>
          <w:sz w:val="24"/>
          <w:szCs w:val="24"/>
          <w:lang w:val="en-US" w:eastAsia="ru-RU"/>
        </w:rPr>
        <w:t>fundamental questions for ultra-high-energy (UHE) gamma-ray astronomy that are</w:t>
      </w:r>
      <w:r>
        <w:rPr>
          <w:rFonts w:eastAsia="NotoSans-Regular"/>
          <w:sz w:val="24"/>
          <w:szCs w:val="24"/>
          <w:lang w:val="en-US" w:eastAsia="ru-RU"/>
        </w:rPr>
        <w:t xml:space="preserve"> </w:t>
      </w:r>
      <w:r w:rsidRPr="007A2940">
        <w:rPr>
          <w:rFonts w:eastAsia="NotoSans-Regular"/>
          <w:sz w:val="24"/>
          <w:szCs w:val="24"/>
          <w:lang w:val="en-US" w:eastAsia="ru-RU"/>
        </w:rPr>
        <w:t>currently unanswered, and above all, the question of the sources of galactic CRs with</w:t>
      </w:r>
      <w:r>
        <w:rPr>
          <w:rFonts w:eastAsia="NotoSans-Regular"/>
          <w:sz w:val="24"/>
          <w:szCs w:val="24"/>
          <w:lang w:val="en-US" w:eastAsia="ru-RU"/>
        </w:rPr>
        <w:t xml:space="preserve"> </w:t>
      </w:r>
      <w:r w:rsidRPr="007A2940">
        <w:rPr>
          <w:rFonts w:eastAsia="NotoSans-Regular"/>
          <w:sz w:val="24"/>
          <w:szCs w:val="24"/>
          <w:lang w:val="en-US" w:eastAsia="ru-RU"/>
        </w:rPr>
        <w:t>energies ~</w:t>
      </w:r>
      <w:r>
        <w:rPr>
          <w:rFonts w:eastAsia="NotoSans-Regular"/>
          <w:sz w:val="24"/>
          <w:szCs w:val="24"/>
          <w:lang w:val="en-US" w:eastAsia="ru-RU"/>
        </w:rPr>
        <w:t xml:space="preserve"> </w:t>
      </w:r>
      <w:r w:rsidRPr="007A2940">
        <w:rPr>
          <w:rFonts w:eastAsia="NotoSans-Regular"/>
          <w:sz w:val="24"/>
          <w:szCs w:val="24"/>
          <w:lang w:val="en-US" w:eastAsia="ru-RU"/>
        </w:rPr>
        <w:t>PeV.</w:t>
      </w:r>
    </w:p>
    <w:p w:rsidR="00E249BC" w:rsidRDefault="00E249BC" w:rsidP="00E249BC">
      <w:pPr>
        <w:suppressAutoHyphens w:val="0"/>
        <w:autoSpaceDE w:val="0"/>
        <w:autoSpaceDN w:val="0"/>
        <w:adjustRightInd w:val="0"/>
        <w:spacing w:line="276" w:lineRule="auto"/>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Until now, most of the gamma-ray astronomy data in the TeV and sub</w:t>
      </w:r>
      <w:r>
        <w:rPr>
          <w:rFonts w:eastAsia="NotoSans-Regular"/>
          <w:sz w:val="24"/>
          <w:szCs w:val="24"/>
          <w:lang w:val="en-US" w:eastAsia="ru-RU"/>
        </w:rPr>
        <w:t>-</w:t>
      </w:r>
      <w:r w:rsidRPr="007A2940">
        <w:rPr>
          <w:rFonts w:eastAsia="NotoSans-Regular"/>
          <w:sz w:val="24"/>
          <w:szCs w:val="24"/>
          <w:lang w:val="en-US" w:eastAsia="ru-RU"/>
        </w:rPr>
        <w:t>TeV energy</w:t>
      </w:r>
      <w:r>
        <w:rPr>
          <w:rFonts w:eastAsia="NotoSans-Regular"/>
          <w:sz w:val="24"/>
          <w:szCs w:val="24"/>
          <w:lang w:val="en-US" w:eastAsia="ru-RU"/>
        </w:rPr>
        <w:t xml:space="preserve"> </w:t>
      </w:r>
      <w:r w:rsidRPr="007A2940">
        <w:rPr>
          <w:rFonts w:eastAsia="NotoSans-Regular"/>
          <w:sz w:val="24"/>
          <w:szCs w:val="24"/>
          <w:lang w:val="en-US" w:eastAsia="ru-RU"/>
        </w:rPr>
        <w:t xml:space="preserve">ranges have been obtained using the </w:t>
      </w:r>
      <w:r>
        <w:rPr>
          <w:rFonts w:eastAsia="NotoSans-Regular"/>
          <w:sz w:val="24"/>
          <w:szCs w:val="24"/>
          <w:lang w:val="en-US" w:eastAsia="ru-RU"/>
        </w:rPr>
        <w:t xml:space="preserve">Imaging </w:t>
      </w:r>
      <w:r w:rsidRPr="007A2940">
        <w:rPr>
          <w:rFonts w:eastAsia="NotoSans-Regular"/>
          <w:sz w:val="24"/>
          <w:szCs w:val="24"/>
          <w:lang w:val="en-US" w:eastAsia="ru-RU"/>
        </w:rPr>
        <w:t>Atmospheric Cherenkov Telescopes (IACT), in particular, with the stereo systems of several such</w:t>
      </w:r>
      <w:r>
        <w:rPr>
          <w:rFonts w:eastAsia="NotoSans-Regular"/>
          <w:sz w:val="24"/>
          <w:szCs w:val="24"/>
          <w:lang w:val="en-US" w:eastAsia="ru-RU"/>
        </w:rPr>
        <w:t xml:space="preserve"> </w:t>
      </w:r>
      <w:r w:rsidRPr="007A2940">
        <w:rPr>
          <w:rFonts w:eastAsia="NotoSans-Regular"/>
          <w:sz w:val="24"/>
          <w:szCs w:val="24"/>
          <w:lang w:val="en-US" w:eastAsia="ru-RU"/>
        </w:rPr>
        <w:t>telescopes. The prototype gamma-</w:t>
      </w:r>
      <w:r>
        <w:rPr>
          <w:rFonts w:eastAsia="NotoSans-Regular"/>
          <w:sz w:val="24"/>
          <w:szCs w:val="24"/>
          <w:lang w:val="en-US" w:eastAsia="ru-RU"/>
        </w:rPr>
        <w:t>ray observatory TAIGA (Tunka</w:t>
      </w:r>
      <w:r w:rsidRPr="007A2940">
        <w:rPr>
          <w:rFonts w:eastAsia="NotoSans-Regular"/>
          <w:sz w:val="24"/>
          <w:szCs w:val="24"/>
          <w:lang w:val="en-US" w:eastAsia="ru-RU"/>
        </w:rPr>
        <w:t xml:space="preserve"> advanced instrument</w:t>
      </w:r>
      <w:r>
        <w:rPr>
          <w:rFonts w:eastAsia="NotoSans-Regular"/>
          <w:sz w:val="24"/>
          <w:szCs w:val="24"/>
          <w:lang w:val="en-US" w:eastAsia="ru-RU"/>
        </w:rPr>
        <w:t xml:space="preserve"> </w:t>
      </w:r>
      <w:r w:rsidRPr="007A2940">
        <w:rPr>
          <w:rFonts w:eastAsia="NotoSans-Regular"/>
          <w:sz w:val="24"/>
          <w:szCs w:val="24"/>
          <w:lang w:val="en-US" w:eastAsia="ru-RU"/>
        </w:rPr>
        <w:t>or space and gamma-ray astronomy), which is being built in the Tunka Valley, is aimed at</w:t>
      </w:r>
      <w:r>
        <w:rPr>
          <w:rFonts w:eastAsia="NotoSans-Regular"/>
          <w:sz w:val="24"/>
          <w:szCs w:val="24"/>
          <w:lang w:val="en-US" w:eastAsia="ru-RU"/>
        </w:rPr>
        <w:t xml:space="preserve"> </w:t>
      </w:r>
      <w:r w:rsidRPr="007A2940">
        <w:rPr>
          <w:rFonts w:eastAsia="NotoSans-Regular"/>
          <w:sz w:val="24"/>
          <w:szCs w:val="24"/>
          <w:lang w:val="en-US" w:eastAsia="ru-RU"/>
        </w:rPr>
        <w:t xml:space="preserve">energies above 30 TeV. The observatory combines several </w:t>
      </w:r>
      <w:r>
        <w:rPr>
          <w:rFonts w:eastAsia="NotoSans-Regular"/>
          <w:sz w:val="24"/>
          <w:szCs w:val="24"/>
          <w:lang w:val="en-US" w:eastAsia="ru-RU"/>
        </w:rPr>
        <w:t>IACT</w:t>
      </w:r>
      <w:r w:rsidRPr="007A2940">
        <w:rPr>
          <w:rFonts w:eastAsia="NotoSans-Regular"/>
          <w:sz w:val="24"/>
          <w:szCs w:val="24"/>
          <w:lang w:val="en-US" w:eastAsia="ru-RU"/>
        </w:rPr>
        <w:t xml:space="preserve"> with a set of relatively</w:t>
      </w:r>
      <w:r>
        <w:rPr>
          <w:rFonts w:eastAsia="NotoSans-Regular"/>
          <w:sz w:val="24"/>
          <w:szCs w:val="24"/>
          <w:lang w:val="en-US" w:eastAsia="ru-RU"/>
        </w:rPr>
        <w:t xml:space="preserve"> </w:t>
      </w:r>
      <w:r w:rsidRPr="007A2940">
        <w:rPr>
          <w:rFonts w:eastAsia="NotoSans-Regular"/>
          <w:sz w:val="24"/>
          <w:szCs w:val="24"/>
          <w:lang w:val="en-US" w:eastAsia="ru-RU"/>
        </w:rPr>
        <w:t>cheap Hi</w:t>
      </w:r>
      <w:r>
        <w:rPr>
          <w:rFonts w:eastAsia="NotoSans-Regular"/>
          <w:sz w:val="24"/>
          <w:szCs w:val="24"/>
          <w:lang w:val="en-US" w:eastAsia="ru-RU"/>
        </w:rPr>
        <w:t>-</w:t>
      </w:r>
      <w:r w:rsidRPr="007A2940">
        <w:rPr>
          <w:rFonts w:eastAsia="NotoSans-Regular"/>
          <w:sz w:val="24"/>
          <w:szCs w:val="24"/>
          <w:lang w:val="en-US" w:eastAsia="ru-RU"/>
        </w:rPr>
        <w:t>SCORE wi</w:t>
      </w:r>
      <w:r>
        <w:rPr>
          <w:rFonts w:eastAsia="NotoSans-Regular"/>
          <w:sz w:val="24"/>
          <w:szCs w:val="24"/>
          <w:lang w:val="en-US" w:eastAsia="ru-RU"/>
        </w:rPr>
        <w:t>de-angle detectors without imaging method</w:t>
      </w:r>
      <w:r w:rsidRPr="007A2940">
        <w:rPr>
          <w:rFonts w:eastAsia="NotoSans-Regular"/>
          <w:sz w:val="24"/>
          <w:szCs w:val="24"/>
          <w:lang w:val="en-US" w:eastAsia="ru-RU"/>
        </w:rPr>
        <w:t xml:space="preserve"> (High Sensitivity Cosmic Origin Explorer). This makes it possible to increase the area of the device to</w:t>
      </w:r>
      <w:r>
        <w:rPr>
          <w:rFonts w:eastAsia="NotoSans-Regular"/>
          <w:sz w:val="24"/>
          <w:szCs w:val="24"/>
          <w:lang w:val="en-US" w:eastAsia="ru-RU"/>
        </w:rPr>
        <w:t xml:space="preserve"> </w:t>
      </w:r>
      <w:r w:rsidRPr="007A2940">
        <w:rPr>
          <w:rFonts w:eastAsia="NotoSans-Regular"/>
          <w:sz w:val="24"/>
          <w:szCs w:val="24"/>
          <w:lang w:val="en-US" w:eastAsia="ru-RU"/>
        </w:rPr>
        <w:t>several square kilometers and to significantly suppress the background from charged CRs. The</w:t>
      </w:r>
      <w:r>
        <w:rPr>
          <w:rFonts w:eastAsia="NotoSans-Regular"/>
          <w:sz w:val="24"/>
          <w:szCs w:val="24"/>
          <w:lang w:val="en-US" w:eastAsia="ru-RU"/>
        </w:rPr>
        <w:t xml:space="preserve"> </w:t>
      </w:r>
      <w:r w:rsidRPr="007A2940">
        <w:rPr>
          <w:rFonts w:eastAsia="NotoSans-Regular"/>
          <w:sz w:val="24"/>
          <w:szCs w:val="24"/>
          <w:lang w:val="en-US" w:eastAsia="ru-RU"/>
        </w:rPr>
        <w:t xml:space="preserve">combination of two complementary </w:t>
      </w:r>
      <w:r w:rsidRPr="007A2940">
        <w:rPr>
          <w:rFonts w:eastAsia="NotoSans-Regular"/>
          <w:sz w:val="24"/>
          <w:szCs w:val="24"/>
          <w:lang w:val="en-US" w:eastAsia="ru-RU"/>
        </w:rPr>
        <w:lastRenderedPageBreak/>
        <w:t>methods of gamma-ray research makes it possible to build a</w:t>
      </w:r>
      <w:r>
        <w:rPr>
          <w:rFonts w:eastAsia="NotoSans-Regular"/>
          <w:sz w:val="24"/>
          <w:szCs w:val="24"/>
          <w:lang w:val="en-US" w:eastAsia="ru-RU"/>
        </w:rPr>
        <w:t xml:space="preserve"> </w:t>
      </w:r>
      <w:r w:rsidRPr="007A2940">
        <w:rPr>
          <w:rFonts w:eastAsia="NotoSans-Regular"/>
          <w:sz w:val="24"/>
          <w:szCs w:val="24"/>
          <w:lang w:val="en-US" w:eastAsia="ru-RU"/>
        </w:rPr>
        <w:t>device with a large area at a relatively low cost. TAIGA is the first detector of its kind.</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The full scale of the TAIGA observatory is planned to cover an area of 10 km</w:t>
      </w:r>
      <w:r w:rsidRPr="007A2940">
        <w:rPr>
          <w:rFonts w:eastAsia="NotoSans-Regular"/>
          <w:sz w:val="24"/>
          <w:szCs w:val="24"/>
          <w:vertAlign w:val="superscript"/>
          <w:lang w:val="en-US" w:eastAsia="ru-RU"/>
        </w:rPr>
        <w:t>2</w:t>
      </w:r>
      <w:r>
        <w:rPr>
          <w:rFonts w:eastAsia="NotoSans-Regular"/>
          <w:sz w:val="24"/>
          <w:szCs w:val="24"/>
          <w:lang w:val="en-US" w:eastAsia="ru-RU"/>
        </w:rPr>
        <w:t xml:space="preserve"> </w:t>
      </w:r>
      <w:r w:rsidRPr="007A2940">
        <w:rPr>
          <w:rFonts w:eastAsia="NotoSans-Regular"/>
          <w:sz w:val="24"/>
          <w:szCs w:val="24"/>
          <w:lang w:val="en-US" w:eastAsia="ru-RU"/>
        </w:rPr>
        <w:t>and</w:t>
      </w:r>
      <w:r>
        <w:rPr>
          <w:rFonts w:eastAsia="NotoSans-Regular"/>
          <w:sz w:val="24"/>
          <w:szCs w:val="24"/>
          <w:lang w:val="en-US" w:eastAsia="ru-RU"/>
        </w:rPr>
        <w:t xml:space="preserve"> </w:t>
      </w:r>
      <w:r w:rsidRPr="007A2940">
        <w:rPr>
          <w:rFonts w:eastAsia="NotoSans-Regular"/>
          <w:sz w:val="24"/>
          <w:szCs w:val="24"/>
          <w:lang w:val="en-US" w:eastAsia="ru-RU"/>
        </w:rPr>
        <w:t>include a network of ~1000 wide-angle (0.6 sr) synchronized Hi</w:t>
      </w:r>
      <w:r>
        <w:rPr>
          <w:rFonts w:eastAsia="NotoSans-Regular"/>
          <w:sz w:val="24"/>
          <w:szCs w:val="24"/>
          <w:lang w:val="en-US" w:eastAsia="ru-RU"/>
        </w:rPr>
        <w:t>-</w:t>
      </w:r>
      <w:r w:rsidRPr="007A2940">
        <w:rPr>
          <w:rFonts w:eastAsia="NotoSans-Regular"/>
          <w:sz w:val="24"/>
          <w:szCs w:val="24"/>
          <w:lang w:val="en-US" w:eastAsia="ru-RU"/>
        </w:rPr>
        <w:t>SCORE Cherenkov light</w:t>
      </w:r>
      <w:r>
        <w:rPr>
          <w:rFonts w:eastAsia="NotoSans-Regular"/>
          <w:sz w:val="24"/>
          <w:szCs w:val="24"/>
          <w:lang w:val="en-US" w:eastAsia="ru-RU"/>
        </w:rPr>
        <w:t xml:space="preserve"> </w:t>
      </w:r>
      <w:r w:rsidRPr="007A2940">
        <w:rPr>
          <w:rFonts w:eastAsia="NotoSans-Regular"/>
          <w:sz w:val="24"/>
          <w:szCs w:val="24"/>
          <w:lang w:val="en-US" w:eastAsia="ru-RU"/>
        </w:rPr>
        <w:t xml:space="preserve">detectors, up to 16 </w:t>
      </w:r>
      <w:r>
        <w:rPr>
          <w:rFonts w:eastAsia="NotoSans-Regular"/>
          <w:sz w:val="24"/>
          <w:szCs w:val="24"/>
          <w:lang w:val="en-US" w:eastAsia="ru-RU"/>
        </w:rPr>
        <w:t>IACT</w:t>
      </w:r>
      <w:r w:rsidRPr="007A2940">
        <w:rPr>
          <w:rFonts w:eastAsia="NotoSans-Regular"/>
          <w:sz w:val="24"/>
          <w:szCs w:val="24"/>
          <w:lang w:val="en-US" w:eastAsia="ru-RU"/>
        </w:rPr>
        <w:t xml:space="preserve"> with shower image analysis (FOV 10×10 degrees) and muon</w:t>
      </w:r>
      <w:r>
        <w:rPr>
          <w:rFonts w:eastAsia="NotoSans-Regular"/>
          <w:sz w:val="24"/>
          <w:szCs w:val="24"/>
          <w:lang w:val="en-US" w:eastAsia="ru-RU"/>
        </w:rPr>
        <w:t xml:space="preserve"> </w:t>
      </w:r>
      <w:r w:rsidRPr="007A2940">
        <w:rPr>
          <w:rFonts w:eastAsia="NotoSans-Regular"/>
          <w:sz w:val="24"/>
          <w:szCs w:val="24"/>
          <w:lang w:val="en-US" w:eastAsia="ru-RU"/>
        </w:rPr>
        <w:t>detectors with a total sensitive area of 2000 m</w:t>
      </w:r>
      <w:r w:rsidRPr="007A2940">
        <w:rPr>
          <w:rFonts w:eastAsia="NotoSans-Regular"/>
          <w:sz w:val="24"/>
          <w:szCs w:val="24"/>
          <w:vertAlign w:val="superscript"/>
          <w:lang w:val="en-US" w:eastAsia="ru-RU"/>
        </w:rPr>
        <w:t>2</w:t>
      </w:r>
      <w:r>
        <w:rPr>
          <w:rFonts w:eastAsia="NotoSans-Regular"/>
          <w:sz w:val="24"/>
          <w:szCs w:val="24"/>
          <w:lang w:val="en-US" w:eastAsia="ru-RU"/>
        </w:rPr>
        <w:t xml:space="preserve"> </w:t>
      </w:r>
      <w:r w:rsidRPr="007A2940">
        <w:rPr>
          <w:rFonts w:eastAsia="NotoSans-Regular"/>
          <w:sz w:val="24"/>
          <w:szCs w:val="24"/>
          <w:lang w:val="en-US" w:eastAsia="ru-RU"/>
        </w:rPr>
        <w:t>distributed over an area of 1 km</w:t>
      </w:r>
      <w:r w:rsidRPr="007A2940">
        <w:rPr>
          <w:rFonts w:eastAsia="NotoSans-Regular"/>
          <w:sz w:val="24"/>
          <w:szCs w:val="24"/>
          <w:vertAlign w:val="superscript"/>
          <w:lang w:val="en-US" w:eastAsia="ru-RU"/>
        </w:rPr>
        <w:t>2</w:t>
      </w:r>
      <w:r w:rsidRPr="007A2940">
        <w:rPr>
          <w:rFonts w:eastAsia="NotoSans-Regular"/>
          <w:sz w:val="24"/>
          <w:szCs w:val="24"/>
          <w:lang w:val="en-US" w:eastAsia="ru-RU"/>
        </w:rPr>
        <w:t>. The</w:t>
      </w:r>
      <w:r>
        <w:rPr>
          <w:rFonts w:eastAsia="NotoSans-Regular"/>
          <w:sz w:val="24"/>
          <w:szCs w:val="24"/>
          <w:lang w:val="en-US" w:eastAsia="ru-RU"/>
        </w:rPr>
        <w:t xml:space="preserve"> </w:t>
      </w:r>
      <w:r w:rsidRPr="007A2940">
        <w:rPr>
          <w:rFonts w:eastAsia="NotoSans-Regular"/>
          <w:sz w:val="24"/>
          <w:szCs w:val="24"/>
          <w:lang w:val="en-US" w:eastAsia="ru-RU"/>
        </w:rPr>
        <w:t>prototype of the observatory is located in the Tunkinskaya valley - 50 km from Lake Baikal.</w:t>
      </w:r>
      <w:r>
        <w:rPr>
          <w:rFonts w:eastAsia="NotoSans-Regular"/>
          <w:sz w:val="24"/>
          <w:szCs w:val="24"/>
          <w:lang w:val="en-US" w:eastAsia="ru-RU"/>
        </w:rPr>
        <w:t xml:space="preserve"> </w:t>
      </w:r>
      <w:r w:rsidRPr="007A2940">
        <w:rPr>
          <w:rFonts w:eastAsia="NotoSans-Regular"/>
          <w:sz w:val="24"/>
          <w:szCs w:val="24"/>
          <w:lang w:val="en-US" w:eastAsia="ru-RU"/>
        </w:rPr>
        <w:t>JINR bears full responsibility for the manufacture of the mechanics of Cherenkov telescopes</w:t>
      </w:r>
      <w:r>
        <w:rPr>
          <w:rFonts w:eastAsia="NotoSans-Regular"/>
          <w:sz w:val="24"/>
          <w:szCs w:val="24"/>
          <w:lang w:val="en-US" w:eastAsia="ru-RU"/>
        </w:rPr>
        <w:t xml:space="preserve"> </w:t>
      </w:r>
      <w:r w:rsidRPr="007A2940">
        <w:rPr>
          <w:rFonts w:eastAsia="NotoSans-Regular"/>
          <w:sz w:val="24"/>
          <w:szCs w:val="24"/>
          <w:lang w:val="en-US" w:eastAsia="ru-RU"/>
        </w:rPr>
        <w:t>and composite "faceted" mirrors. In addition, the JINR team participates in shifts during</w:t>
      </w:r>
      <w:r>
        <w:rPr>
          <w:rFonts w:eastAsia="NotoSans-Regular"/>
          <w:sz w:val="24"/>
          <w:szCs w:val="24"/>
          <w:lang w:val="en-US" w:eastAsia="ru-RU"/>
        </w:rPr>
        <w:t xml:space="preserve"> data collection in the Tunka</w:t>
      </w:r>
      <w:r w:rsidRPr="007A2940">
        <w:rPr>
          <w:rFonts w:eastAsia="NotoSans-Regular"/>
          <w:sz w:val="24"/>
          <w:szCs w:val="24"/>
          <w:lang w:val="en-US" w:eastAsia="ru-RU"/>
        </w:rPr>
        <w:t xml:space="preserve"> region, MC modeling and physical data analysis.</w:t>
      </w:r>
      <w:r>
        <w:rPr>
          <w:rFonts w:eastAsia="NotoSans-Regular"/>
          <w:sz w:val="24"/>
          <w:szCs w:val="24"/>
          <w:lang w:val="en-US" w:eastAsia="ru-RU"/>
        </w:rPr>
        <w:t xml:space="preserve"> </w:t>
      </w:r>
    </w:p>
    <w:p w:rsidR="00E249BC" w:rsidRPr="007A2940"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Over the previous years, the TAIGA-HiSCORE area has increased to 1 km</w:t>
      </w:r>
      <w:r w:rsidRPr="007A2940">
        <w:rPr>
          <w:rFonts w:eastAsia="NotoSans-Regular"/>
          <w:sz w:val="24"/>
          <w:szCs w:val="24"/>
          <w:vertAlign w:val="superscript"/>
          <w:lang w:val="en-US" w:eastAsia="ru-RU"/>
        </w:rPr>
        <w:t>2</w:t>
      </w:r>
      <w:r w:rsidRPr="007A2940">
        <w:rPr>
          <w:rFonts w:eastAsia="NotoSans-Regular"/>
          <w:sz w:val="24"/>
          <w:szCs w:val="24"/>
          <w:lang w:val="en-US" w:eastAsia="ru-RU"/>
        </w:rPr>
        <w:t>, deployed three</w:t>
      </w:r>
    </w:p>
    <w:p w:rsidR="00E249BC" w:rsidRPr="007A2940"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7A2940">
        <w:rPr>
          <w:rFonts w:eastAsia="NotoSans-Regular"/>
          <w:sz w:val="24"/>
          <w:szCs w:val="24"/>
          <w:lang w:val="en-US" w:eastAsia="ru-RU"/>
        </w:rPr>
        <w:t>more IACTs and 200m</w:t>
      </w:r>
      <w:r w:rsidRPr="007A2940">
        <w:rPr>
          <w:rFonts w:eastAsia="NotoSans-Regular"/>
          <w:sz w:val="24"/>
          <w:szCs w:val="24"/>
          <w:vertAlign w:val="superscript"/>
          <w:lang w:val="en-US" w:eastAsia="ru-RU"/>
        </w:rPr>
        <w:t>2</w:t>
      </w:r>
      <w:r>
        <w:rPr>
          <w:rFonts w:eastAsia="NotoSans-Regular"/>
          <w:sz w:val="24"/>
          <w:szCs w:val="24"/>
          <w:lang w:val="en-US" w:eastAsia="ru-RU"/>
        </w:rPr>
        <w:t xml:space="preserve"> </w:t>
      </w:r>
      <w:r w:rsidRPr="007A2940">
        <w:rPr>
          <w:rFonts w:eastAsia="NotoSans-Regular"/>
          <w:sz w:val="24"/>
          <w:szCs w:val="24"/>
          <w:lang w:val="en-US" w:eastAsia="ru-RU"/>
        </w:rPr>
        <w:t>new muon detectors. With such a prototype, you can carry out a scientific</w:t>
      </w:r>
    </w:p>
    <w:p w:rsidR="00E249BC" w:rsidRPr="00C33D33"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C33D33">
        <w:rPr>
          <w:rFonts w:eastAsia="NotoSans-Regular"/>
          <w:sz w:val="24"/>
          <w:szCs w:val="24"/>
          <w:lang w:val="en-US" w:eastAsia="ru-RU"/>
        </w:rPr>
        <w:t>program:</w:t>
      </w:r>
    </w:p>
    <w:p w:rsidR="00E249BC" w:rsidRPr="007A2940" w:rsidRDefault="00E249BC" w:rsidP="00E249BC">
      <w:pPr>
        <w:spacing w:line="240" w:lineRule="atLeast"/>
        <w:ind w:firstLine="851"/>
        <w:jc w:val="both"/>
        <w:rPr>
          <w:bCs/>
          <w:sz w:val="24"/>
          <w:szCs w:val="24"/>
          <w:lang w:val="en-US"/>
        </w:rPr>
      </w:pPr>
      <w:r w:rsidRPr="007A2940">
        <w:rPr>
          <w:bCs/>
          <w:sz w:val="24"/>
          <w:szCs w:val="24"/>
          <w:lang w:val="en-US"/>
        </w:rPr>
        <w:t xml:space="preserve">1. </w:t>
      </w:r>
      <w:r>
        <w:rPr>
          <w:bCs/>
          <w:sz w:val="24"/>
          <w:szCs w:val="24"/>
          <w:lang w:val="en-US"/>
        </w:rPr>
        <w:t>Studying the high-energy edge of the spectrum of the brightest galactic and extragalactic sources of gamma radiation</w:t>
      </w:r>
    </w:p>
    <w:p w:rsidR="00E249BC" w:rsidRPr="007A2940" w:rsidRDefault="00E249BC" w:rsidP="00E249BC">
      <w:pPr>
        <w:spacing w:line="240" w:lineRule="atLeast"/>
        <w:ind w:firstLine="851"/>
        <w:jc w:val="both"/>
        <w:rPr>
          <w:bCs/>
          <w:sz w:val="24"/>
          <w:szCs w:val="24"/>
          <w:lang w:val="en-US"/>
        </w:rPr>
      </w:pPr>
      <w:r w:rsidRPr="007A2940">
        <w:rPr>
          <w:bCs/>
          <w:sz w:val="24"/>
          <w:szCs w:val="24"/>
          <w:lang w:val="en-US"/>
        </w:rPr>
        <w:t xml:space="preserve">2. </w:t>
      </w:r>
      <w:r>
        <w:rPr>
          <w:bCs/>
          <w:sz w:val="24"/>
          <w:szCs w:val="24"/>
          <w:lang w:val="en-US"/>
        </w:rPr>
        <w:t>Search for galactic PeVatrons</w:t>
      </w:r>
      <w:r w:rsidRPr="007A2940">
        <w:rPr>
          <w:bCs/>
          <w:sz w:val="24"/>
          <w:szCs w:val="24"/>
          <w:lang w:val="en-US"/>
        </w:rPr>
        <w:t>.</w:t>
      </w:r>
    </w:p>
    <w:p w:rsidR="00E249BC" w:rsidRPr="007A2940" w:rsidRDefault="00E249BC" w:rsidP="00E249BC">
      <w:pPr>
        <w:spacing w:line="240" w:lineRule="atLeast"/>
        <w:ind w:firstLine="851"/>
        <w:jc w:val="both"/>
        <w:rPr>
          <w:lang w:val="en-US"/>
        </w:rPr>
      </w:pPr>
      <w:r w:rsidRPr="007A2940">
        <w:rPr>
          <w:bCs/>
          <w:sz w:val="24"/>
          <w:szCs w:val="24"/>
          <w:lang w:val="en-US"/>
        </w:rPr>
        <w:t xml:space="preserve">3. </w:t>
      </w:r>
      <w:r>
        <w:rPr>
          <w:bCs/>
          <w:sz w:val="24"/>
          <w:szCs w:val="24"/>
          <w:lang w:val="en-US"/>
        </w:rPr>
        <w:t>Apply a new hybrid approach to study the mass composition of CR in range 10</w:t>
      </w:r>
      <w:r>
        <w:rPr>
          <w:bCs/>
          <w:sz w:val="24"/>
          <w:szCs w:val="24"/>
          <w:vertAlign w:val="superscript"/>
          <w:lang w:val="en-US"/>
        </w:rPr>
        <w:t>14</w:t>
      </w:r>
      <w:r>
        <w:rPr>
          <w:bCs/>
          <w:sz w:val="24"/>
          <w:szCs w:val="24"/>
          <w:lang w:val="en-US"/>
        </w:rPr>
        <w:t>-10</w:t>
      </w:r>
      <w:r>
        <w:rPr>
          <w:bCs/>
          <w:sz w:val="24"/>
          <w:szCs w:val="24"/>
          <w:vertAlign w:val="superscript"/>
          <w:lang w:val="en-US"/>
        </w:rPr>
        <w:t>17</w:t>
      </w:r>
      <w:r>
        <w:rPr>
          <w:bCs/>
          <w:sz w:val="24"/>
          <w:szCs w:val="24"/>
          <w:lang w:val="en-US"/>
        </w:rPr>
        <w:t xml:space="preserve"> eV</w:t>
      </w:r>
      <w:r w:rsidRPr="007A2940">
        <w:rPr>
          <w:bCs/>
          <w:sz w:val="24"/>
          <w:szCs w:val="24"/>
          <w:lang w:val="en-US"/>
        </w:rPr>
        <w:t>.</w:t>
      </w:r>
    </w:p>
    <w:p w:rsidR="00E249BC" w:rsidRPr="007A2940" w:rsidRDefault="00E249BC" w:rsidP="00E249BC">
      <w:pPr>
        <w:spacing w:line="240" w:lineRule="atLeast"/>
        <w:ind w:firstLine="851"/>
        <w:jc w:val="both"/>
        <w:rPr>
          <w:bCs/>
          <w:sz w:val="24"/>
          <w:szCs w:val="24"/>
          <w:lang w:val="en-US"/>
        </w:rPr>
      </w:pPr>
      <w:r w:rsidRPr="007A2940">
        <w:rPr>
          <w:bCs/>
          <w:sz w:val="24"/>
          <w:szCs w:val="24"/>
          <w:lang w:val="en-US"/>
        </w:rPr>
        <w:t xml:space="preserve">4. </w:t>
      </w:r>
      <w:r>
        <w:rPr>
          <w:bCs/>
          <w:sz w:val="24"/>
          <w:szCs w:val="24"/>
          <w:lang w:val="en-US"/>
        </w:rPr>
        <w:t>Study of CR  anisotropy in the energy range 100 - 3000 TeV</w:t>
      </w:r>
      <w:r w:rsidRPr="007A2940">
        <w:rPr>
          <w:bCs/>
          <w:sz w:val="24"/>
          <w:szCs w:val="24"/>
          <w:lang w:val="en-US"/>
        </w:rPr>
        <w:t>.</w:t>
      </w:r>
    </w:p>
    <w:p w:rsidR="00E249BC" w:rsidRPr="007A2940" w:rsidRDefault="00E249BC" w:rsidP="00E249BC">
      <w:pPr>
        <w:spacing w:line="240" w:lineRule="atLeast"/>
        <w:rPr>
          <w:b/>
          <w:bCs/>
          <w:sz w:val="24"/>
          <w:szCs w:val="24"/>
          <w:lang w:val="en-US"/>
        </w:rPr>
      </w:pPr>
    </w:p>
    <w:bookmarkEnd w:id="0"/>
    <w:p w:rsidR="00E249BC" w:rsidRPr="007A2940" w:rsidRDefault="00E249BC" w:rsidP="00E249BC">
      <w:pPr>
        <w:pStyle w:val="Heading2"/>
        <w:rPr>
          <w:lang w:val="en-US"/>
        </w:rPr>
      </w:pPr>
      <w:r w:rsidRPr="00C33D33">
        <w:rPr>
          <w:lang w:val="en-US"/>
        </w:rPr>
        <w:t xml:space="preserve">2.2. </w:t>
      </w:r>
      <w:r>
        <w:rPr>
          <w:lang w:val="en-US"/>
        </w:rPr>
        <w:t>Extended scientific report</w:t>
      </w:r>
    </w:p>
    <w:p w:rsidR="00E249BC" w:rsidRDefault="00E249BC" w:rsidP="00E249BC">
      <w:pPr>
        <w:pStyle w:val="Heading3"/>
        <w:rPr>
          <w:lang w:val="en-US"/>
        </w:rPr>
      </w:pPr>
      <w:r>
        <w:rPr>
          <w:lang w:val="en-US"/>
        </w:rPr>
        <w:t>Introduction</w:t>
      </w:r>
    </w:p>
    <w:p w:rsidR="00E249BC" w:rsidRPr="007A2940"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Progress in understanding the nature of high-energy CR sources in our Galaxy and</w:t>
      </w:r>
      <w:r>
        <w:rPr>
          <w:rFonts w:eastAsia="NotoSans-Regular"/>
          <w:sz w:val="24"/>
          <w:szCs w:val="24"/>
          <w:lang w:val="en-US" w:eastAsia="ru-RU"/>
        </w:rPr>
        <w:t xml:space="preserve"> </w:t>
      </w:r>
      <w:r w:rsidRPr="007A2940">
        <w:rPr>
          <w:rFonts w:eastAsia="NotoSans-Regular"/>
          <w:sz w:val="24"/>
          <w:szCs w:val="24"/>
          <w:lang w:val="en-US" w:eastAsia="ru-RU"/>
        </w:rPr>
        <w:t>in the Metagalaxy is proceeding along the path of detecting 3 types of astroparticles in</w:t>
      </w:r>
      <w:r>
        <w:rPr>
          <w:rFonts w:eastAsia="NotoSans-Regular"/>
          <w:sz w:val="24"/>
          <w:szCs w:val="24"/>
          <w:lang w:val="en-US" w:eastAsia="ru-RU"/>
        </w:rPr>
        <w:t xml:space="preserve"> </w:t>
      </w:r>
      <w:r w:rsidRPr="007A2940">
        <w:rPr>
          <w:rFonts w:eastAsia="NotoSans-Regular"/>
          <w:sz w:val="24"/>
          <w:szCs w:val="24"/>
          <w:lang w:val="en-US" w:eastAsia="ru-RU"/>
        </w:rPr>
        <w:t>experiments: charged CRs, gamma quanta, and neutrinos. For the energy range of gamma</w:t>
      </w:r>
      <w:r>
        <w:rPr>
          <w:rFonts w:eastAsia="NotoSans-Regular"/>
          <w:sz w:val="24"/>
          <w:szCs w:val="24"/>
          <w:lang w:val="en-US" w:eastAsia="ru-RU"/>
        </w:rPr>
        <w:t xml:space="preserve"> </w:t>
      </w:r>
      <w:r w:rsidRPr="007A2940">
        <w:rPr>
          <w:rFonts w:eastAsia="NotoSans-Regular"/>
          <w:sz w:val="24"/>
          <w:szCs w:val="24"/>
          <w:lang w:val="en-US" w:eastAsia="ru-RU"/>
        </w:rPr>
        <w:t>rays above 30 TeV, there are a number of fundamental questions that are currently</w:t>
      </w:r>
      <w:r>
        <w:rPr>
          <w:rFonts w:eastAsia="NotoSans-Regular"/>
          <w:sz w:val="24"/>
          <w:szCs w:val="24"/>
          <w:lang w:val="en-US" w:eastAsia="ru-RU"/>
        </w:rPr>
        <w:t xml:space="preserve"> </w:t>
      </w:r>
      <w:r w:rsidRPr="007A2940">
        <w:rPr>
          <w:rFonts w:eastAsia="NotoSans-Regular"/>
          <w:sz w:val="24"/>
          <w:szCs w:val="24"/>
          <w:lang w:val="en-US" w:eastAsia="ru-RU"/>
        </w:rPr>
        <w:t>unanswered. First of all, we are talking about sources of Galactic cosmic rays with energies</w:t>
      </w:r>
      <w:r>
        <w:rPr>
          <w:rFonts w:eastAsia="NotoSans-Regular"/>
          <w:sz w:val="24"/>
          <w:szCs w:val="24"/>
          <w:lang w:val="en-US" w:eastAsia="ru-RU"/>
        </w:rPr>
        <w:t xml:space="preserve"> </w:t>
      </w:r>
      <w:r w:rsidRPr="007A2940">
        <w:rPr>
          <w:rFonts w:eastAsia="NotoSans-Regular"/>
          <w:sz w:val="24"/>
          <w:szCs w:val="24"/>
          <w:lang w:val="en-US" w:eastAsia="ru-RU"/>
        </w:rPr>
        <w:t>of about 1 PeV, the energy region approximately adjacent to the classical break in the all</w:t>
      </w:r>
      <w:r>
        <w:rPr>
          <w:rFonts w:eastAsia="NotoSans-Regular"/>
          <w:sz w:val="24"/>
          <w:szCs w:val="24"/>
          <w:lang w:val="en-US" w:eastAsia="ru-RU"/>
        </w:rPr>
        <w:t xml:space="preserve"> </w:t>
      </w:r>
      <w:r w:rsidRPr="007A2940">
        <w:rPr>
          <w:rFonts w:eastAsia="NotoSans-Regular"/>
          <w:sz w:val="24"/>
          <w:szCs w:val="24"/>
          <w:lang w:val="en-US" w:eastAsia="ru-RU"/>
        </w:rPr>
        <w:t>particle</w:t>
      </w:r>
      <w:r>
        <w:rPr>
          <w:rFonts w:eastAsia="NotoSans-Regular"/>
          <w:sz w:val="24"/>
          <w:szCs w:val="24"/>
          <w:lang w:val="en-US" w:eastAsia="ru-RU"/>
        </w:rPr>
        <w:t xml:space="preserve"> </w:t>
      </w:r>
      <w:r w:rsidRPr="007A2940">
        <w:rPr>
          <w:rFonts w:eastAsia="NotoSans-Regular"/>
          <w:sz w:val="24"/>
          <w:szCs w:val="24"/>
          <w:lang w:val="en-US" w:eastAsia="ru-RU"/>
        </w:rPr>
        <w:t>energy spectrum. The study of secondary gamma quanta generated by CRs in the</w:t>
      </w:r>
      <w:r>
        <w:rPr>
          <w:rFonts w:eastAsia="NotoSans-Regular"/>
          <w:sz w:val="24"/>
          <w:szCs w:val="24"/>
          <w:lang w:val="en-US" w:eastAsia="ru-RU"/>
        </w:rPr>
        <w:t xml:space="preserve"> </w:t>
      </w:r>
      <w:r w:rsidRPr="007A2940">
        <w:rPr>
          <w:rFonts w:eastAsia="NotoSans-Regular"/>
          <w:sz w:val="24"/>
          <w:szCs w:val="24"/>
          <w:lang w:val="en-US" w:eastAsia="ru-RU"/>
        </w:rPr>
        <w:t>vicinity of the source where particles are accelerated makes it possible to elucidate the</w:t>
      </w:r>
      <w:r>
        <w:rPr>
          <w:rFonts w:eastAsia="NotoSans-Regular"/>
          <w:sz w:val="24"/>
          <w:szCs w:val="24"/>
          <w:lang w:val="en-US" w:eastAsia="ru-RU"/>
        </w:rPr>
        <w:t xml:space="preserve"> </w:t>
      </w:r>
      <w:r w:rsidRPr="007A2940">
        <w:rPr>
          <w:rFonts w:eastAsia="NotoSans-Regular"/>
          <w:sz w:val="24"/>
          <w:szCs w:val="24"/>
          <w:lang w:val="en-US" w:eastAsia="ru-RU"/>
        </w:rPr>
        <w:t>mechanism of acceleration of galactic CRs. In the HESS experiments [1. F.Aharonian (HESS</w:t>
      </w:r>
      <w:r>
        <w:rPr>
          <w:rFonts w:eastAsia="NotoSans-Regular"/>
          <w:sz w:val="24"/>
          <w:szCs w:val="24"/>
          <w:lang w:val="en-US" w:eastAsia="ru-RU"/>
        </w:rPr>
        <w:t xml:space="preserve"> </w:t>
      </w:r>
      <w:r w:rsidRPr="007A2940">
        <w:rPr>
          <w:rFonts w:eastAsia="NotoSans-Regular"/>
          <w:sz w:val="24"/>
          <w:szCs w:val="24"/>
          <w:lang w:val="en-US" w:eastAsia="ru-RU"/>
        </w:rPr>
        <w:t>Collaboration)//Astroparticle Physics 34(2011) 738-747], VERITAS [2. V.Acciari (VERITAS</w:t>
      </w:r>
    </w:p>
    <w:p w:rsidR="00E249BC" w:rsidRPr="007A2940"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7A2940">
        <w:rPr>
          <w:rFonts w:eastAsia="NotoSans-Regular"/>
          <w:sz w:val="24"/>
          <w:szCs w:val="24"/>
          <w:lang w:val="en-US" w:eastAsia="ru-RU"/>
        </w:rPr>
        <w:t>Collaboration) Ap. J Letters 730 (2011) L20], MAGIC [3. Albert et al (MAGIC)//</w:t>
      </w:r>
      <w:r>
        <w:rPr>
          <w:rFonts w:eastAsia="NotoSans-Regular"/>
          <w:sz w:val="24"/>
          <w:szCs w:val="24"/>
          <w:lang w:val="en-US" w:eastAsia="ru-RU"/>
        </w:rPr>
        <w:t xml:space="preserve"> </w:t>
      </w:r>
      <w:r w:rsidRPr="007A2940">
        <w:rPr>
          <w:rFonts w:eastAsia="NotoSans-Regular"/>
          <w:sz w:val="24"/>
          <w:szCs w:val="24"/>
          <w:lang w:val="en-US" w:eastAsia="ru-RU"/>
        </w:rPr>
        <w:t>Astrophys.J.639:761-765,2006], MILAGRO [4. Abdo AA et al., (Milagro) 2007, ApJ 664, L91],</w:t>
      </w:r>
      <w:r>
        <w:rPr>
          <w:rFonts w:eastAsia="NotoSans-Regular"/>
          <w:sz w:val="24"/>
          <w:szCs w:val="24"/>
          <w:lang w:val="en-US" w:eastAsia="ru-RU"/>
        </w:rPr>
        <w:t xml:space="preserve"> </w:t>
      </w:r>
      <w:r w:rsidRPr="007A2940">
        <w:rPr>
          <w:rFonts w:eastAsia="NotoSans-Regular"/>
          <w:sz w:val="24"/>
          <w:szCs w:val="24"/>
          <w:lang w:val="en-US" w:eastAsia="ru-RU"/>
        </w:rPr>
        <w:t>HAWC [5. A. Abdo et al. (Milagro)//arxiV: 1403.0161] sources with gamma-ray spectra</w:t>
      </w:r>
      <w:r>
        <w:rPr>
          <w:rFonts w:eastAsia="NotoSans-Regular"/>
          <w:sz w:val="24"/>
          <w:szCs w:val="24"/>
          <w:lang w:val="en-US" w:eastAsia="ru-RU"/>
        </w:rPr>
        <w:t xml:space="preserve"> </w:t>
      </w:r>
      <w:r w:rsidRPr="007A2940">
        <w:rPr>
          <w:rFonts w:eastAsia="NotoSans-Regular"/>
          <w:sz w:val="24"/>
          <w:szCs w:val="24"/>
          <w:lang w:val="en-US" w:eastAsia="ru-RU"/>
        </w:rPr>
        <w:t>extending up to several tens of TeV were discovered. In addition, several measurements of</w:t>
      </w:r>
      <w:r>
        <w:rPr>
          <w:rFonts w:eastAsia="NotoSans-Regular"/>
          <w:sz w:val="24"/>
          <w:szCs w:val="24"/>
          <w:lang w:val="en-US" w:eastAsia="ru-RU"/>
        </w:rPr>
        <w:t xml:space="preserve"> </w:t>
      </w:r>
      <w:r w:rsidRPr="007A2940">
        <w:rPr>
          <w:rFonts w:eastAsia="NotoSans-Regular"/>
          <w:sz w:val="24"/>
          <w:szCs w:val="24"/>
          <w:lang w:val="en-US" w:eastAsia="ru-RU"/>
        </w:rPr>
        <w:t>high-energy neutrinos using the IceCube detector point to sources of UHE gamma radiation</w:t>
      </w:r>
      <w:r>
        <w:rPr>
          <w:rFonts w:eastAsia="NotoSans-Regular"/>
          <w:sz w:val="24"/>
          <w:szCs w:val="24"/>
          <w:lang w:val="en-US" w:eastAsia="ru-RU"/>
        </w:rPr>
        <w:t xml:space="preserve"> </w:t>
      </w:r>
      <w:r w:rsidRPr="007A2940">
        <w:rPr>
          <w:rFonts w:eastAsia="NotoSans-Regular"/>
          <w:sz w:val="24"/>
          <w:szCs w:val="24"/>
          <w:lang w:val="en-US" w:eastAsia="ru-RU"/>
        </w:rPr>
        <w:t>available for experimental research.</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High-energy gamma radiation entering the atmosphere triggers an electromagnetic</w:t>
      </w:r>
      <w:r>
        <w:rPr>
          <w:rFonts w:eastAsia="NotoSans-Regular"/>
          <w:sz w:val="24"/>
          <w:szCs w:val="24"/>
          <w:lang w:val="en-US" w:eastAsia="ru-RU"/>
        </w:rPr>
        <w:t xml:space="preserve"> </w:t>
      </w:r>
      <w:r w:rsidRPr="007A2940">
        <w:rPr>
          <w:rFonts w:eastAsia="NotoSans-Regular"/>
          <w:sz w:val="24"/>
          <w:szCs w:val="24"/>
          <w:lang w:val="en-US" w:eastAsia="ru-RU"/>
        </w:rPr>
        <w:t xml:space="preserve">cascade of secondary </w:t>
      </w:r>
      <w:r>
        <w:rPr>
          <w:rFonts w:eastAsia="NotoSans-Regular"/>
          <w:sz w:val="24"/>
          <w:szCs w:val="24"/>
          <w:lang w:val="en-US" w:eastAsia="ru-RU"/>
        </w:rPr>
        <w:t>e</w:t>
      </w:r>
      <w:r>
        <w:rPr>
          <w:rFonts w:eastAsia="NotoSans-Regular"/>
          <w:sz w:val="24"/>
          <w:szCs w:val="24"/>
          <w:vertAlign w:val="superscript"/>
          <w:lang w:val="en-US" w:eastAsia="ru-RU"/>
        </w:rPr>
        <w:t>-</w:t>
      </w:r>
      <w:r>
        <w:rPr>
          <w:rFonts w:eastAsia="NotoSans-Regular"/>
          <w:sz w:val="24"/>
          <w:szCs w:val="24"/>
          <w:lang w:val="en-US" w:eastAsia="ru-RU"/>
        </w:rPr>
        <w:t xml:space="preserve"> ,e</w:t>
      </w:r>
      <w:r>
        <w:rPr>
          <w:rFonts w:eastAsia="NotoSans-Regular"/>
          <w:sz w:val="24"/>
          <w:szCs w:val="24"/>
          <w:vertAlign w:val="superscript"/>
          <w:lang w:val="en-US" w:eastAsia="ru-RU"/>
        </w:rPr>
        <w:t>+</w:t>
      </w:r>
      <w:r w:rsidRPr="007A2940">
        <w:rPr>
          <w:rFonts w:eastAsia="NotoSans-Regular"/>
          <w:sz w:val="24"/>
          <w:szCs w:val="24"/>
          <w:lang w:val="en-US" w:eastAsia="ru-RU"/>
        </w:rPr>
        <w:t xml:space="preserve"> and photons, the Extensive Atmospheric Shower (EAS). Two</w:t>
      </w:r>
      <w:r>
        <w:rPr>
          <w:rFonts w:eastAsia="NotoSans-Regular"/>
          <w:sz w:val="24"/>
          <w:szCs w:val="24"/>
          <w:lang w:val="en-US" w:eastAsia="ru-RU"/>
        </w:rPr>
        <w:t xml:space="preserve"> </w:t>
      </w:r>
      <w:r w:rsidRPr="007A2940">
        <w:rPr>
          <w:rFonts w:eastAsia="NotoSans-Regular"/>
          <w:sz w:val="24"/>
          <w:szCs w:val="24"/>
          <w:lang w:val="en-US" w:eastAsia="ru-RU"/>
        </w:rPr>
        <w:t>separate in</w:t>
      </w:r>
      <w:r>
        <w:rPr>
          <w:rFonts w:eastAsia="NotoSans-Regular"/>
          <w:sz w:val="24"/>
          <w:szCs w:val="24"/>
          <w:lang w:val="en-US" w:eastAsia="ru-RU"/>
        </w:rPr>
        <w:t>direct methods measure such EAS</w:t>
      </w:r>
      <w:r w:rsidRPr="007A2940">
        <w:rPr>
          <w:rFonts w:eastAsia="NotoSans-Regular"/>
          <w:sz w:val="24"/>
          <w:szCs w:val="24"/>
          <w:lang w:val="en-US" w:eastAsia="ru-RU"/>
        </w:rPr>
        <w:t>. Surface detector arrays measure secondary</w:t>
      </w:r>
      <w:r>
        <w:rPr>
          <w:rFonts w:eastAsia="NotoSans-Regular"/>
          <w:sz w:val="24"/>
          <w:szCs w:val="24"/>
          <w:lang w:val="en-US" w:eastAsia="ru-RU"/>
        </w:rPr>
        <w:t xml:space="preserve"> </w:t>
      </w:r>
      <w:r w:rsidRPr="007A2940">
        <w:rPr>
          <w:rFonts w:eastAsia="NotoSans-Regular"/>
          <w:sz w:val="24"/>
          <w:szCs w:val="24"/>
          <w:lang w:val="en-US" w:eastAsia="ru-RU"/>
        </w:rPr>
        <w:t>particles that reach ground level. Such an instrument has a duty cycle close to 100%, as well</w:t>
      </w:r>
      <w:r>
        <w:rPr>
          <w:rFonts w:eastAsia="NotoSans-Regular"/>
          <w:sz w:val="24"/>
          <w:szCs w:val="24"/>
          <w:lang w:val="en-US" w:eastAsia="ru-RU"/>
        </w:rPr>
        <w:t xml:space="preserve"> </w:t>
      </w:r>
      <w:r w:rsidRPr="007A2940">
        <w:rPr>
          <w:rFonts w:eastAsia="NotoSans-Regular"/>
          <w:sz w:val="24"/>
          <w:szCs w:val="24"/>
          <w:lang w:val="en-US" w:eastAsia="ru-RU"/>
        </w:rPr>
        <w:t>as a large field of view (FoV). However, their operating parameters, such as energy</w:t>
      </w:r>
      <w:r>
        <w:rPr>
          <w:rFonts w:eastAsia="NotoSans-Regular"/>
          <w:sz w:val="24"/>
          <w:szCs w:val="24"/>
          <w:lang w:val="en-US" w:eastAsia="ru-RU"/>
        </w:rPr>
        <w:t xml:space="preserve"> </w:t>
      </w:r>
      <w:r w:rsidRPr="007A2940">
        <w:rPr>
          <w:rFonts w:eastAsia="NotoSans-Regular"/>
          <w:sz w:val="24"/>
          <w:szCs w:val="24"/>
          <w:lang w:val="en-US" w:eastAsia="ru-RU"/>
        </w:rPr>
        <w:t xml:space="preserve">threshold and resolution, are quite low. On the contrary, </w:t>
      </w:r>
      <w:r>
        <w:rPr>
          <w:rFonts w:eastAsia="NotoSans-Regular"/>
          <w:sz w:val="24"/>
          <w:szCs w:val="24"/>
          <w:lang w:val="en-US" w:eastAsia="ru-RU"/>
        </w:rPr>
        <w:t>IACT</w:t>
      </w:r>
      <w:r w:rsidRPr="007A2940">
        <w:rPr>
          <w:rFonts w:eastAsia="NotoSans-Regular"/>
          <w:sz w:val="24"/>
          <w:szCs w:val="24"/>
          <w:lang w:val="en-US" w:eastAsia="ru-RU"/>
        </w:rPr>
        <w:t xml:space="preserve"> measure Cherenkov light</w:t>
      </w:r>
      <w:r>
        <w:rPr>
          <w:rFonts w:eastAsia="NotoSans-Regular"/>
          <w:sz w:val="24"/>
          <w:szCs w:val="24"/>
          <w:lang w:val="en-US" w:eastAsia="ru-RU"/>
        </w:rPr>
        <w:t xml:space="preserve"> </w:t>
      </w:r>
      <w:r w:rsidRPr="007A2940">
        <w:rPr>
          <w:rFonts w:eastAsia="NotoSans-Regular"/>
          <w:sz w:val="24"/>
          <w:szCs w:val="24"/>
          <w:lang w:val="en-US" w:eastAsia="ru-RU"/>
        </w:rPr>
        <w:t>produced by sec</w:t>
      </w:r>
      <w:r>
        <w:rPr>
          <w:rFonts w:eastAsia="NotoSans-Regular"/>
          <w:sz w:val="24"/>
          <w:szCs w:val="24"/>
          <w:lang w:val="en-US" w:eastAsia="ru-RU"/>
        </w:rPr>
        <w:t>ondary charged particles in EAS. IACT</w:t>
      </w:r>
      <w:r w:rsidRPr="007A2940">
        <w:rPr>
          <w:rFonts w:eastAsia="NotoSans-Regular"/>
          <w:sz w:val="24"/>
          <w:szCs w:val="24"/>
          <w:lang w:val="en-US" w:eastAsia="ru-RU"/>
        </w:rPr>
        <w:t xml:space="preserve"> observations are mostly</w:t>
      </w:r>
      <w:r>
        <w:rPr>
          <w:rFonts w:eastAsia="NotoSans-Regular"/>
          <w:sz w:val="24"/>
          <w:szCs w:val="24"/>
          <w:lang w:val="en-US" w:eastAsia="ru-RU"/>
        </w:rPr>
        <w:t xml:space="preserve"> </w:t>
      </w:r>
      <w:r w:rsidRPr="007A2940">
        <w:rPr>
          <w:rFonts w:eastAsia="NotoSans-Regular"/>
          <w:sz w:val="24"/>
          <w:szCs w:val="24"/>
          <w:lang w:val="en-US" w:eastAsia="ru-RU"/>
        </w:rPr>
        <w:t>limited to good weather and dark nights, resulting in a low ~10% duty cycle. In addition, the</w:t>
      </w:r>
      <w:r>
        <w:rPr>
          <w:rFonts w:eastAsia="NotoSans-Regular"/>
          <w:sz w:val="24"/>
          <w:szCs w:val="24"/>
          <w:lang w:val="en-US" w:eastAsia="ru-RU"/>
        </w:rPr>
        <w:t xml:space="preserve"> IACT</w:t>
      </w:r>
      <w:r w:rsidRPr="007A2940">
        <w:rPr>
          <w:rFonts w:eastAsia="NotoSans-Regular"/>
          <w:sz w:val="24"/>
          <w:szCs w:val="24"/>
          <w:lang w:val="en-US" w:eastAsia="ru-RU"/>
        </w:rPr>
        <w:t xml:space="preserve"> field of view is typically only a few degrees across. </w:t>
      </w:r>
      <w:r w:rsidRPr="00FF347E">
        <w:rPr>
          <w:rFonts w:eastAsia="NotoSans-Regular"/>
          <w:sz w:val="24"/>
          <w:szCs w:val="24"/>
          <w:lang w:val="en-US" w:eastAsia="ru-RU"/>
        </w:rPr>
        <w:t>However, their operating parameters, such as energy and angular resolution and energy threshold, allow for in-depth studies of individual sources.</w:t>
      </w:r>
      <w:r>
        <w:rPr>
          <w:rFonts w:eastAsia="NotoSans-Regular"/>
          <w:sz w:val="24"/>
          <w:szCs w:val="24"/>
          <w:lang w:val="en-US" w:eastAsia="ru-RU"/>
        </w:rPr>
        <w:t xml:space="preserve"> </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lastRenderedPageBreak/>
        <w:tab/>
      </w:r>
      <w:r w:rsidRPr="00FF347E">
        <w:rPr>
          <w:rFonts w:eastAsia="NotoSans-Regular"/>
          <w:sz w:val="24"/>
          <w:szCs w:val="24"/>
          <w:lang w:val="en-US" w:eastAsia="ru-RU"/>
        </w:rPr>
        <w:t>So far, most of the TeV and sub-TeV gamma-ray astronomy data have been obtained</w:t>
      </w:r>
      <w:r>
        <w:rPr>
          <w:rFonts w:eastAsia="NotoSans-Regular"/>
          <w:sz w:val="24"/>
          <w:szCs w:val="24"/>
          <w:lang w:val="en-US" w:eastAsia="ru-RU"/>
        </w:rPr>
        <w:t xml:space="preserve"> </w:t>
      </w:r>
      <w:r w:rsidRPr="00FF347E">
        <w:rPr>
          <w:rFonts w:eastAsia="NotoSans-Regular"/>
          <w:sz w:val="24"/>
          <w:szCs w:val="24"/>
          <w:lang w:val="en-US" w:eastAsia="ru-RU"/>
        </w:rPr>
        <w:t xml:space="preserve">using the </w:t>
      </w:r>
      <w:r>
        <w:rPr>
          <w:rFonts w:eastAsia="NotoSans-Regular"/>
          <w:sz w:val="24"/>
          <w:szCs w:val="24"/>
          <w:lang w:val="en-US" w:eastAsia="ru-RU"/>
        </w:rPr>
        <w:t>IACT</w:t>
      </w:r>
      <w:r w:rsidRPr="00FF347E">
        <w:rPr>
          <w:rFonts w:eastAsia="NotoSans-Regular"/>
          <w:sz w:val="24"/>
          <w:szCs w:val="24"/>
          <w:lang w:val="en-US" w:eastAsia="ru-RU"/>
        </w:rPr>
        <w:t>, in particular with the stereo systems of several such telescopes. The</w:t>
      </w:r>
      <w:r>
        <w:rPr>
          <w:rFonts w:eastAsia="NotoSans-Regular"/>
          <w:sz w:val="24"/>
          <w:szCs w:val="24"/>
          <w:lang w:val="en-US" w:eastAsia="ru-RU"/>
        </w:rPr>
        <w:t xml:space="preserve"> </w:t>
      </w:r>
      <w:r w:rsidRPr="00FF347E">
        <w:rPr>
          <w:rFonts w:eastAsia="NotoSans-Regular"/>
          <w:sz w:val="24"/>
          <w:szCs w:val="24"/>
          <w:lang w:val="en-US" w:eastAsia="ru-RU"/>
        </w:rPr>
        <w:t>prototype of the TAIGA observatory [6, N. Budnev et al. (TAIGA Collaboration), Jour.Phys: Conf.</w:t>
      </w:r>
      <w:r>
        <w:rPr>
          <w:rFonts w:eastAsia="NotoSans-Regular"/>
          <w:sz w:val="24"/>
          <w:szCs w:val="24"/>
          <w:lang w:val="en-US" w:eastAsia="ru-RU"/>
        </w:rPr>
        <w:t xml:space="preserve"> </w:t>
      </w:r>
      <w:r w:rsidRPr="00FF347E">
        <w:rPr>
          <w:rFonts w:eastAsia="NotoSans-Regular"/>
          <w:sz w:val="24"/>
          <w:szCs w:val="24"/>
          <w:lang w:val="en-US" w:eastAsia="ru-RU"/>
        </w:rPr>
        <w:t>Series 718 052006 (2016), 7. Budnev N. et al., (TAIGA Collaboration), NIMA 845, 384 (2017)],</w:t>
      </w:r>
      <w:r>
        <w:rPr>
          <w:rFonts w:eastAsia="NotoSans-Regular"/>
          <w:sz w:val="24"/>
          <w:szCs w:val="24"/>
          <w:lang w:val="en-US" w:eastAsia="ru-RU"/>
        </w:rPr>
        <w:t xml:space="preserve"> </w:t>
      </w:r>
      <w:r w:rsidRPr="00FF347E">
        <w:rPr>
          <w:rFonts w:eastAsia="NotoSans-Regular"/>
          <w:sz w:val="24"/>
          <w:szCs w:val="24"/>
          <w:lang w:val="en-US" w:eastAsia="ru-RU"/>
        </w:rPr>
        <w:t>which is being built in the Tunka Valley, is aimed at the energy range of gamma rays above 30</w:t>
      </w:r>
      <w:r>
        <w:rPr>
          <w:rFonts w:eastAsia="NotoSans-Regular"/>
          <w:sz w:val="24"/>
          <w:szCs w:val="24"/>
          <w:lang w:val="en-US" w:eastAsia="ru-RU"/>
        </w:rPr>
        <w:t xml:space="preserve"> </w:t>
      </w:r>
      <w:r w:rsidRPr="00FF347E">
        <w:rPr>
          <w:rFonts w:eastAsia="NotoSans-Regular"/>
          <w:sz w:val="24"/>
          <w:szCs w:val="24"/>
          <w:lang w:val="en-US" w:eastAsia="ru-RU"/>
        </w:rPr>
        <w:t>TeV. The observatory combines several Cherenkov telescopes with a network of relatively cheap</w:t>
      </w:r>
      <w:r>
        <w:rPr>
          <w:rFonts w:eastAsia="NotoSans-Regular"/>
          <w:sz w:val="24"/>
          <w:szCs w:val="24"/>
          <w:lang w:val="en-US" w:eastAsia="ru-RU"/>
        </w:rPr>
        <w:t xml:space="preserve"> </w:t>
      </w:r>
      <w:r w:rsidRPr="00FF347E">
        <w:rPr>
          <w:rFonts w:eastAsia="NotoSans-Regular"/>
          <w:sz w:val="24"/>
          <w:szCs w:val="24"/>
          <w:lang w:val="en-US" w:eastAsia="ru-RU"/>
        </w:rPr>
        <w:t>wide-angle (~0.6 sr) TAIGA-HiSCORE non-imaging optical detectors [8 Tluczykont, D. Hampf, D.</w:t>
      </w:r>
      <w:r>
        <w:rPr>
          <w:rFonts w:eastAsia="NotoSans-Regular"/>
          <w:sz w:val="24"/>
          <w:szCs w:val="24"/>
          <w:lang w:val="en-US" w:eastAsia="ru-RU"/>
        </w:rPr>
        <w:t xml:space="preserve"> </w:t>
      </w:r>
      <w:r w:rsidRPr="00FF347E">
        <w:rPr>
          <w:rFonts w:eastAsia="NotoSans-Regular"/>
          <w:sz w:val="24"/>
          <w:szCs w:val="24"/>
          <w:lang w:val="en-US" w:eastAsia="ru-RU"/>
        </w:rPr>
        <w:t>Horns, L. Kuzmichev et al. Astropart. Phys., 56:42, 2014]. This makes it possible to increase the</w:t>
      </w:r>
      <w:r>
        <w:rPr>
          <w:rFonts w:eastAsia="NotoSans-Regular"/>
          <w:sz w:val="24"/>
          <w:szCs w:val="24"/>
          <w:lang w:val="en-US" w:eastAsia="ru-RU"/>
        </w:rPr>
        <w:t xml:space="preserve"> </w:t>
      </w:r>
      <w:r w:rsidRPr="00FF347E">
        <w:rPr>
          <w:rFonts w:eastAsia="NotoSans-Regular"/>
          <w:sz w:val="24"/>
          <w:szCs w:val="24"/>
          <w:lang w:val="en-US" w:eastAsia="ru-RU"/>
        </w:rPr>
        <w:t>installation area to several square kilometers and significantly suppress the background from</w:t>
      </w:r>
      <w:r>
        <w:rPr>
          <w:rFonts w:eastAsia="NotoSans-Regular"/>
          <w:sz w:val="24"/>
          <w:szCs w:val="24"/>
          <w:lang w:val="en-US" w:eastAsia="ru-RU"/>
        </w:rPr>
        <w:t xml:space="preserve"> </w:t>
      </w:r>
      <w:r w:rsidRPr="00FF347E">
        <w:rPr>
          <w:rFonts w:eastAsia="NotoSans-Regular"/>
          <w:sz w:val="24"/>
          <w:szCs w:val="24"/>
          <w:lang w:val="en-US" w:eastAsia="ru-RU"/>
        </w:rPr>
        <w:t xml:space="preserve">charged CRs due to good gamma-hadron separation of </w:t>
      </w:r>
      <w:r>
        <w:rPr>
          <w:rFonts w:eastAsia="NotoSans-Regular"/>
          <w:sz w:val="24"/>
          <w:szCs w:val="24"/>
          <w:lang w:val="en-US" w:eastAsia="ru-RU"/>
        </w:rPr>
        <w:t>IACT</w:t>
      </w:r>
      <w:r w:rsidRPr="00FF347E">
        <w:rPr>
          <w:rFonts w:eastAsia="NotoSans-Regular"/>
          <w:sz w:val="24"/>
          <w:szCs w:val="24"/>
          <w:lang w:val="en-US" w:eastAsia="ru-RU"/>
        </w:rPr>
        <w:t xml:space="preserve"> (~100 at energies above 100</w:t>
      </w:r>
      <w:r>
        <w:rPr>
          <w:rFonts w:eastAsia="NotoSans-Regular"/>
          <w:sz w:val="24"/>
          <w:szCs w:val="24"/>
          <w:lang w:val="en-US" w:eastAsia="ru-RU"/>
        </w:rPr>
        <w:t xml:space="preserve"> </w:t>
      </w:r>
      <w:r w:rsidRPr="00FF347E">
        <w:rPr>
          <w:rFonts w:eastAsia="NotoSans-Regular"/>
          <w:sz w:val="24"/>
          <w:szCs w:val="24"/>
          <w:lang w:val="en-US" w:eastAsia="ru-RU"/>
        </w:rPr>
        <w:t>TeV). The combination of two complementary gamma separation techniques allows a large area</w:t>
      </w:r>
      <w:r>
        <w:rPr>
          <w:rFonts w:eastAsia="NotoSans-Regular"/>
          <w:sz w:val="24"/>
          <w:szCs w:val="24"/>
          <w:lang w:val="en-US" w:eastAsia="ru-RU"/>
        </w:rPr>
        <w:t xml:space="preserve"> </w:t>
      </w:r>
      <w:r w:rsidRPr="00FF347E">
        <w:rPr>
          <w:rFonts w:eastAsia="NotoSans-Regular"/>
          <w:sz w:val="24"/>
          <w:szCs w:val="24"/>
          <w:lang w:val="en-US" w:eastAsia="ru-RU"/>
        </w:rPr>
        <w:t>device to be built at a relatively low cost. TAIGA is the first detector of its kind.</w:t>
      </w:r>
      <w:r>
        <w:rPr>
          <w:rFonts w:eastAsia="NotoSans-Regular"/>
          <w:sz w:val="24"/>
          <w:szCs w:val="24"/>
          <w:lang w:val="en-US" w:eastAsia="ru-RU"/>
        </w:rPr>
        <w:t xml:space="preserve"> </w:t>
      </w:r>
    </w:p>
    <w:p w:rsidR="00E249BC" w:rsidRPr="00FF347E"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The TAIGA observatory's full scale will cover an area of 10 km according to the</w:t>
      </w:r>
      <w:r>
        <w:rPr>
          <w:rFonts w:eastAsia="NotoSans-Regular"/>
          <w:sz w:val="24"/>
          <w:szCs w:val="24"/>
          <w:lang w:val="en-US" w:eastAsia="ru-RU"/>
        </w:rPr>
        <w:t xml:space="preserve"> </w:t>
      </w:r>
      <w:r w:rsidRPr="00FF347E">
        <w:rPr>
          <w:rFonts w:eastAsia="NotoSans-Regular"/>
          <w:sz w:val="24"/>
          <w:szCs w:val="24"/>
          <w:lang w:val="en-US" w:eastAsia="ru-RU"/>
        </w:rPr>
        <w:t xml:space="preserve">preliminary </w:t>
      </w:r>
      <w:r>
        <w:rPr>
          <w:rFonts w:eastAsia="NotoSans-Regular"/>
          <w:sz w:val="24"/>
          <w:szCs w:val="24"/>
          <w:lang w:val="en-US" w:eastAsia="ru-RU"/>
        </w:rPr>
        <w:t xml:space="preserve">plan </w:t>
      </w:r>
      <w:r w:rsidRPr="00FF347E">
        <w:rPr>
          <w:rFonts w:eastAsia="NotoSans-Regular"/>
          <w:sz w:val="24"/>
          <w:szCs w:val="24"/>
          <w:lang w:val="en-US" w:eastAsia="ru-RU"/>
        </w:rPr>
        <w:t>and include ~1000 TAIGA-HiSCORE detectors, up to 16 Cherenkov</w:t>
      </w:r>
      <w:r>
        <w:rPr>
          <w:rFonts w:eastAsia="NotoSans-Regular"/>
          <w:sz w:val="24"/>
          <w:szCs w:val="24"/>
          <w:lang w:val="en-US" w:eastAsia="ru-RU"/>
        </w:rPr>
        <w:t xml:space="preserve"> </w:t>
      </w:r>
      <w:r w:rsidRPr="00FF347E">
        <w:rPr>
          <w:rFonts w:eastAsia="NotoSans-Regular"/>
          <w:sz w:val="24"/>
          <w:szCs w:val="24"/>
          <w:lang w:val="en-US" w:eastAsia="ru-RU"/>
        </w:rPr>
        <w:t>telescopes with EAS image analysis (FOV ~10 degrees) and muon detectors with a total</w:t>
      </w:r>
      <w:r>
        <w:rPr>
          <w:rFonts w:eastAsia="NotoSans-Regular"/>
          <w:sz w:val="24"/>
          <w:szCs w:val="24"/>
          <w:lang w:val="en-US" w:eastAsia="ru-RU"/>
        </w:rPr>
        <w:t xml:space="preserve"> </w:t>
      </w:r>
      <w:r w:rsidRPr="00FF347E">
        <w:rPr>
          <w:rFonts w:eastAsia="NotoSans-Regular"/>
          <w:sz w:val="24"/>
          <w:szCs w:val="24"/>
          <w:lang w:val="en-US" w:eastAsia="ru-RU"/>
        </w:rPr>
        <w:t>sensitive area of 2000 m</w:t>
      </w:r>
      <w:r w:rsidRPr="00FF347E">
        <w:rPr>
          <w:rFonts w:eastAsia="NotoSans-Regular"/>
          <w:sz w:val="24"/>
          <w:szCs w:val="24"/>
          <w:vertAlign w:val="superscript"/>
          <w:lang w:val="en-US" w:eastAsia="ru-RU"/>
        </w:rPr>
        <w:t>2</w:t>
      </w:r>
      <w:r w:rsidRPr="00FF347E">
        <w:rPr>
          <w:rFonts w:eastAsia="NotoSans-Regular"/>
          <w:sz w:val="24"/>
          <w:szCs w:val="24"/>
          <w:lang w:val="en-US" w:eastAsia="ru-RU"/>
        </w:rPr>
        <w:t>, distributed over an area of 1 km</w:t>
      </w:r>
      <w:r w:rsidRPr="00FF347E">
        <w:rPr>
          <w:rFonts w:eastAsia="NotoSans-Regular"/>
          <w:sz w:val="24"/>
          <w:szCs w:val="24"/>
          <w:vertAlign w:val="superscript"/>
          <w:lang w:val="en-US" w:eastAsia="ru-RU"/>
        </w:rPr>
        <w:t>2</w:t>
      </w:r>
      <w:r w:rsidRPr="00FF347E">
        <w:rPr>
          <w:rFonts w:eastAsia="NotoSans-Regular"/>
          <w:sz w:val="24"/>
          <w:szCs w:val="24"/>
          <w:lang w:val="en-US" w:eastAsia="ru-RU"/>
        </w:rPr>
        <w:t xml:space="preserve">. The advantage of </w:t>
      </w:r>
      <w:r>
        <w:rPr>
          <w:rFonts w:eastAsia="NotoSans-Regular"/>
          <w:sz w:val="24"/>
          <w:szCs w:val="24"/>
          <w:lang w:val="en-US" w:eastAsia="ru-RU"/>
        </w:rPr>
        <w:t xml:space="preserve">IACT </w:t>
      </w:r>
      <w:r w:rsidRPr="00FF347E">
        <w:rPr>
          <w:rFonts w:eastAsia="NotoSans-Regular"/>
          <w:sz w:val="24"/>
          <w:szCs w:val="24"/>
          <w:lang w:val="en-US" w:eastAsia="ru-RU"/>
        </w:rPr>
        <w:t>telescopes in combination with the Hi</w:t>
      </w:r>
      <w:r>
        <w:rPr>
          <w:rFonts w:eastAsia="NotoSans-Regular"/>
          <w:sz w:val="24"/>
          <w:szCs w:val="24"/>
          <w:lang w:val="en-US" w:eastAsia="ru-RU"/>
        </w:rPr>
        <w:t>-</w:t>
      </w:r>
      <w:r w:rsidRPr="00FF347E">
        <w:rPr>
          <w:rFonts w:eastAsia="NotoSans-Regular"/>
          <w:sz w:val="24"/>
          <w:szCs w:val="24"/>
          <w:lang w:val="en-US" w:eastAsia="ru-RU"/>
        </w:rPr>
        <w:t>SCORE array is the ability to use image information</w:t>
      </w:r>
      <w:r>
        <w:rPr>
          <w:rFonts w:eastAsia="NotoSans-Regular"/>
          <w:sz w:val="24"/>
          <w:szCs w:val="24"/>
          <w:lang w:val="en-US" w:eastAsia="ru-RU"/>
        </w:rPr>
        <w:t xml:space="preserve"> </w:t>
      </w:r>
      <w:r w:rsidRPr="00FF347E">
        <w:rPr>
          <w:rFonts w:eastAsia="NotoSans-Regular"/>
          <w:sz w:val="24"/>
          <w:szCs w:val="24"/>
          <w:lang w:val="en-US" w:eastAsia="ru-RU"/>
        </w:rPr>
        <w:t>about EAS characteristics (axis position, direction, energy) to better separate gamma</w:t>
      </w:r>
      <w:r>
        <w:rPr>
          <w:rFonts w:eastAsia="NotoSans-Regular"/>
          <w:sz w:val="24"/>
          <w:szCs w:val="24"/>
          <w:lang w:val="en-US" w:eastAsia="ru-RU"/>
        </w:rPr>
        <w:t xml:space="preserve"> </w:t>
      </w:r>
      <w:r w:rsidRPr="00FF347E">
        <w:rPr>
          <w:rFonts w:eastAsia="NotoSans-Regular"/>
          <w:sz w:val="24"/>
          <w:szCs w:val="24"/>
          <w:lang w:val="en-US" w:eastAsia="ru-RU"/>
        </w:rPr>
        <w:t>hadron</w:t>
      </w:r>
      <w:r>
        <w:rPr>
          <w:rFonts w:eastAsia="NotoSans-Regular"/>
          <w:sz w:val="24"/>
          <w:szCs w:val="24"/>
          <w:lang w:val="en-US" w:eastAsia="ru-RU"/>
        </w:rPr>
        <w:t xml:space="preserve"> </w:t>
      </w:r>
      <w:r w:rsidRPr="00FF347E">
        <w:rPr>
          <w:rFonts w:eastAsia="NotoSans-Regular"/>
          <w:sz w:val="24"/>
          <w:szCs w:val="24"/>
          <w:lang w:val="en-US" w:eastAsia="ru-RU"/>
        </w:rPr>
        <w:t>events. This makes it possible to maintain a suppression level of ~0.01 hadron</w:t>
      </w:r>
      <w:r>
        <w:rPr>
          <w:rFonts w:eastAsia="NotoSans-Regular"/>
          <w:sz w:val="24"/>
          <w:szCs w:val="24"/>
          <w:lang w:val="en-US" w:eastAsia="ru-RU"/>
        </w:rPr>
        <w:t xml:space="preserve"> </w:t>
      </w:r>
      <w:r w:rsidRPr="00FF347E">
        <w:rPr>
          <w:rFonts w:eastAsia="NotoSans-Regular"/>
          <w:sz w:val="24"/>
          <w:szCs w:val="24"/>
          <w:lang w:val="en-US" w:eastAsia="ru-RU"/>
        </w:rPr>
        <w:t>showers at an energy of 100 TeV even at a distance between telescopes of up to 600 m.</w:t>
      </w:r>
      <w:r>
        <w:rPr>
          <w:rFonts w:eastAsia="NotoSans-Regular"/>
          <w:sz w:val="24"/>
          <w:szCs w:val="24"/>
          <w:lang w:val="en-US" w:eastAsia="ru-RU"/>
        </w:rPr>
        <w:t xml:space="preserve"> </w:t>
      </w:r>
      <w:r w:rsidRPr="00FF347E">
        <w:rPr>
          <w:rFonts w:eastAsia="NotoSans-Regular"/>
          <w:sz w:val="24"/>
          <w:szCs w:val="24"/>
          <w:lang w:val="en-US" w:eastAsia="ru-RU"/>
        </w:rPr>
        <w:t>Sensitivity of detection of local sources of an observatory with an area of 10 km</w:t>
      </w:r>
      <w:r w:rsidRPr="00FF347E">
        <w:rPr>
          <w:rFonts w:eastAsia="NotoSans-Regular"/>
          <w:sz w:val="24"/>
          <w:szCs w:val="24"/>
          <w:vertAlign w:val="superscript"/>
          <w:lang w:val="en-US" w:eastAsia="ru-RU"/>
        </w:rPr>
        <w:t>2</w:t>
      </w:r>
      <w:r>
        <w:rPr>
          <w:rFonts w:eastAsia="NotoSans-Regular"/>
          <w:sz w:val="24"/>
          <w:szCs w:val="24"/>
          <w:lang w:val="en-US" w:eastAsia="ru-RU"/>
        </w:rPr>
        <w:t xml:space="preserve"> </w:t>
      </w:r>
      <w:r w:rsidRPr="00FF347E">
        <w:rPr>
          <w:rFonts w:eastAsia="NotoSans-Regular"/>
          <w:sz w:val="24"/>
          <w:szCs w:val="24"/>
          <w:lang w:val="en-US" w:eastAsia="ru-RU"/>
        </w:rPr>
        <w:t>in the energy range of 30–200 TeV, it is expected at the level of 10</w:t>
      </w:r>
      <w:r w:rsidRPr="00FF347E">
        <w:rPr>
          <w:rFonts w:eastAsia="NotoSans-Regular"/>
          <w:sz w:val="24"/>
          <w:szCs w:val="24"/>
          <w:vertAlign w:val="superscript"/>
          <w:lang w:val="en-US" w:eastAsia="ru-RU"/>
        </w:rPr>
        <w:t>–13</w:t>
      </w:r>
      <w:r w:rsidRPr="00FF347E">
        <w:rPr>
          <w:rFonts w:eastAsia="NotoSans-Regular"/>
          <w:sz w:val="24"/>
          <w:szCs w:val="24"/>
          <w:lang w:val="en-US" w:eastAsia="ru-RU"/>
        </w:rPr>
        <w:t xml:space="preserve"> erg cm</w:t>
      </w:r>
      <w:r w:rsidRPr="00FF347E">
        <w:rPr>
          <w:rFonts w:eastAsia="NotoSans-Regular"/>
          <w:sz w:val="24"/>
          <w:szCs w:val="24"/>
          <w:vertAlign w:val="superscript"/>
          <w:lang w:val="en-US" w:eastAsia="ru-RU"/>
        </w:rPr>
        <w:t>–2</w:t>
      </w:r>
      <w:r w:rsidRPr="00FF347E">
        <w:rPr>
          <w:rFonts w:eastAsia="NotoSans-Regular"/>
          <w:sz w:val="24"/>
          <w:szCs w:val="24"/>
          <w:lang w:val="en-US" w:eastAsia="ru-RU"/>
        </w:rPr>
        <w:t xml:space="preserve"> s</w:t>
      </w:r>
      <w:r w:rsidRPr="00FF347E">
        <w:rPr>
          <w:rFonts w:eastAsia="NotoSans-Regular"/>
          <w:sz w:val="24"/>
          <w:szCs w:val="24"/>
          <w:vertAlign w:val="superscript"/>
          <w:lang w:val="en-US" w:eastAsia="ru-RU"/>
        </w:rPr>
        <w:t>–1</w:t>
      </w:r>
      <w:r w:rsidRPr="00FF347E">
        <w:rPr>
          <w:rFonts w:eastAsia="NotoSans-Regular"/>
          <w:sz w:val="24"/>
          <w:szCs w:val="24"/>
          <w:lang w:val="en-US" w:eastAsia="ru-RU"/>
        </w:rPr>
        <w:t xml:space="preserve"> for 500</w:t>
      </w:r>
      <w:r>
        <w:rPr>
          <w:rFonts w:eastAsia="NotoSans-Regular"/>
          <w:sz w:val="24"/>
          <w:szCs w:val="24"/>
          <w:lang w:val="en-US" w:eastAsia="ru-RU"/>
        </w:rPr>
        <w:t xml:space="preserve"> </w:t>
      </w:r>
      <w:r w:rsidRPr="00FF347E">
        <w:rPr>
          <w:rFonts w:eastAsia="NotoSans-Regular"/>
          <w:sz w:val="24"/>
          <w:szCs w:val="24"/>
          <w:lang w:val="en-US" w:eastAsia="ru-RU"/>
        </w:rPr>
        <w:t>hours of observation or 10 recorded events, which is comparable to the planned sensitivity of</w:t>
      </w:r>
      <w:r>
        <w:rPr>
          <w:rFonts w:eastAsia="NotoSans-Regular"/>
          <w:sz w:val="24"/>
          <w:szCs w:val="24"/>
          <w:lang w:val="en-US" w:eastAsia="ru-RU"/>
        </w:rPr>
        <w:t xml:space="preserve"> </w:t>
      </w:r>
      <w:r w:rsidRPr="00FF347E">
        <w:rPr>
          <w:rFonts w:eastAsia="NotoSans-Regular"/>
          <w:sz w:val="24"/>
          <w:szCs w:val="24"/>
          <w:lang w:val="en-US" w:eastAsia="ru-RU"/>
        </w:rPr>
        <w:t>gamma ray astronomy projects (LHAASO [9. G.Di.Sciascio (LHAASO collaboration) //arXiv:</w:t>
      </w:r>
      <w:r>
        <w:rPr>
          <w:rFonts w:eastAsia="NotoSans-Regular"/>
          <w:sz w:val="24"/>
          <w:szCs w:val="24"/>
          <w:lang w:val="en-US" w:eastAsia="ru-RU"/>
        </w:rPr>
        <w:t xml:space="preserve"> </w:t>
      </w:r>
      <w:r w:rsidRPr="00FF347E">
        <w:rPr>
          <w:rFonts w:eastAsia="NotoSans-Regular"/>
          <w:sz w:val="24"/>
          <w:szCs w:val="24"/>
          <w:lang w:val="en-US" w:eastAsia="ru-RU"/>
        </w:rPr>
        <w:t>1602.07600], CTA [10. BSAcharya et al. (CTA collaboration) Astroparticle Physics 43 (2013) 3-18;])</w:t>
      </w:r>
      <w:r>
        <w:rPr>
          <w:rFonts w:eastAsia="NotoSans-Regular"/>
          <w:sz w:val="24"/>
          <w:szCs w:val="24"/>
          <w:lang w:val="en-US" w:eastAsia="ru-RU"/>
        </w:rPr>
        <w:t xml:space="preserve"> </w:t>
      </w:r>
      <w:r w:rsidRPr="00FF347E">
        <w:rPr>
          <w:rFonts w:eastAsia="NotoSans-Regular"/>
          <w:sz w:val="24"/>
          <w:szCs w:val="24"/>
          <w:lang w:val="en-US" w:eastAsia="ru-RU"/>
        </w:rPr>
        <w:t>in this energy range.</w:t>
      </w:r>
    </w:p>
    <w:p w:rsidR="00E249BC" w:rsidRPr="00FF347E"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In 2019, the prototype of the TAIGA observatory consisted of 85 HiSCORE stations on an</w:t>
      </w:r>
    </w:p>
    <w:p w:rsidR="00E249BC" w:rsidRPr="00FF347E"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FF347E">
        <w:rPr>
          <w:rFonts w:eastAsia="NotoSans-Regular"/>
          <w:sz w:val="24"/>
          <w:szCs w:val="24"/>
          <w:lang w:val="en-US" w:eastAsia="ru-RU"/>
        </w:rPr>
        <w:t>area of 0.7 km</w:t>
      </w:r>
      <w:r w:rsidRPr="00FF347E">
        <w:rPr>
          <w:rFonts w:eastAsia="NotoSans-Regular"/>
          <w:sz w:val="24"/>
          <w:szCs w:val="24"/>
          <w:vertAlign w:val="superscript"/>
          <w:lang w:val="en-US" w:eastAsia="ru-RU"/>
        </w:rPr>
        <w:t>2</w:t>
      </w:r>
      <w:r>
        <w:rPr>
          <w:rFonts w:eastAsia="NotoSans-Regular"/>
          <w:sz w:val="24"/>
          <w:szCs w:val="24"/>
          <w:lang w:val="en-US" w:eastAsia="ru-RU"/>
        </w:rPr>
        <w:t xml:space="preserve"> and two IACT</w:t>
      </w:r>
      <w:r w:rsidRPr="00FF347E">
        <w:rPr>
          <w:rFonts w:eastAsia="NotoSans-Regular"/>
          <w:sz w:val="24"/>
          <w:szCs w:val="24"/>
          <w:lang w:val="en-US" w:eastAsia="ru-RU"/>
        </w:rPr>
        <w:t>. During 2020, 30 more HiSCORE stations and a Cherenkov telescope</w:t>
      </w:r>
    </w:p>
    <w:p w:rsidR="00E249BC" w:rsidRPr="00FF347E"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FF347E">
        <w:rPr>
          <w:rFonts w:eastAsia="NotoSans-Regular"/>
          <w:sz w:val="24"/>
          <w:szCs w:val="24"/>
          <w:lang w:val="en-US" w:eastAsia="ru-RU"/>
        </w:rPr>
        <w:t>with an SST-1M camera based on SiPM detectors developed within the CTA project [11 Schioppa EJ et</w:t>
      </w:r>
      <w:r>
        <w:rPr>
          <w:rFonts w:eastAsia="NotoSans-Regular"/>
          <w:sz w:val="24"/>
          <w:szCs w:val="24"/>
          <w:lang w:val="en-US" w:eastAsia="ru-RU"/>
        </w:rPr>
        <w:t xml:space="preserve"> </w:t>
      </w:r>
      <w:r w:rsidRPr="00FF347E">
        <w:rPr>
          <w:rFonts w:eastAsia="NotoSans-Regular"/>
          <w:sz w:val="24"/>
          <w:szCs w:val="24"/>
          <w:lang w:val="en-US" w:eastAsia="ru-RU"/>
        </w:rPr>
        <w:t>al. [CTA SST-1M Project Collaboration] // arXiv:1508.06453]. This work was not implemented (the</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FF347E">
        <w:rPr>
          <w:rFonts w:eastAsia="NotoSans-Regular"/>
          <w:sz w:val="24"/>
          <w:szCs w:val="24"/>
          <w:lang w:val="en-US" w:eastAsia="ru-RU"/>
        </w:rPr>
        <w:t xml:space="preserve">delivery of the camera did not take place). Another </w:t>
      </w:r>
      <w:r>
        <w:rPr>
          <w:rFonts w:eastAsia="NotoSans-Regular"/>
          <w:sz w:val="24"/>
          <w:szCs w:val="24"/>
          <w:lang w:val="en-US" w:eastAsia="ru-RU"/>
        </w:rPr>
        <w:t>IACT</w:t>
      </w:r>
      <w:r w:rsidRPr="00FF347E">
        <w:rPr>
          <w:rFonts w:eastAsia="NotoSans-Regular"/>
          <w:sz w:val="24"/>
          <w:szCs w:val="24"/>
          <w:lang w:val="en-US" w:eastAsia="ru-RU"/>
        </w:rPr>
        <w:t xml:space="preserve"> was produced and installed in 2021.</w:t>
      </w:r>
    </w:p>
    <w:p w:rsidR="00E249BC" w:rsidRPr="00FF347E" w:rsidRDefault="00E249BC" w:rsidP="00E249BC">
      <w:pPr>
        <w:suppressAutoHyphens w:val="0"/>
        <w:autoSpaceDE w:val="0"/>
        <w:autoSpaceDN w:val="0"/>
        <w:adjustRightInd w:val="0"/>
        <w:spacing w:line="276" w:lineRule="auto"/>
        <w:jc w:val="both"/>
        <w:rPr>
          <w:rFonts w:eastAsia="NotoSans-Regular"/>
          <w:sz w:val="24"/>
          <w:szCs w:val="24"/>
          <w:lang w:val="en-US" w:eastAsia="ru-RU"/>
        </w:rPr>
      </w:pP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TAIGA is the first facility in which telescopes are spaced 300 m or more apart, while</w:t>
      </w:r>
      <w:r>
        <w:rPr>
          <w:rFonts w:eastAsia="NotoSans-Regular"/>
          <w:sz w:val="24"/>
          <w:szCs w:val="24"/>
          <w:lang w:val="en-US" w:eastAsia="ru-RU"/>
        </w:rPr>
        <w:t xml:space="preserve"> </w:t>
      </w:r>
      <w:r w:rsidRPr="00FF347E">
        <w:rPr>
          <w:rFonts w:eastAsia="NotoSans-Regular"/>
          <w:sz w:val="24"/>
          <w:szCs w:val="24"/>
          <w:lang w:val="en-US" w:eastAsia="ru-RU"/>
        </w:rPr>
        <w:t>retaining the benefits of observing high-energy gamma rays in stereo mode.</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p>
    <w:p w:rsidR="00E249BC" w:rsidRPr="00FF347E"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t xml:space="preserve"> </w:t>
      </w:r>
      <w:r w:rsidRPr="00FF347E">
        <w:rPr>
          <w:rFonts w:eastAsia="NotoSans-Regular"/>
          <w:sz w:val="24"/>
          <w:szCs w:val="24"/>
          <w:lang w:val="en-US" w:eastAsia="ru-RU"/>
        </w:rPr>
        <w:t>With such a TAIGA prototype, it is possible not only to demonstrate the advantages of</w:t>
      </w:r>
      <w:r>
        <w:rPr>
          <w:rFonts w:eastAsia="NotoSans-Regular"/>
          <w:sz w:val="24"/>
          <w:szCs w:val="24"/>
          <w:lang w:val="en-US" w:eastAsia="ru-RU"/>
        </w:rPr>
        <w:t xml:space="preserve"> </w:t>
      </w:r>
      <w:r w:rsidRPr="00FF347E">
        <w:rPr>
          <w:rFonts w:eastAsia="NotoSans-Regular"/>
          <w:sz w:val="24"/>
          <w:szCs w:val="24"/>
          <w:lang w:val="en-US" w:eastAsia="ru-RU"/>
        </w:rPr>
        <w:t xml:space="preserve">the hybrid and stereo approach </w:t>
      </w:r>
      <w:r>
        <w:rPr>
          <w:rFonts w:eastAsia="NotoSans-Regular"/>
          <w:sz w:val="24"/>
          <w:szCs w:val="24"/>
          <w:lang w:val="en-US" w:eastAsia="ru-RU"/>
        </w:rPr>
        <w:t>for separating gamma-hadron EAS</w:t>
      </w:r>
      <w:r w:rsidRPr="00FF347E">
        <w:rPr>
          <w:rFonts w:eastAsia="NotoSans-Regular"/>
          <w:sz w:val="24"/>
          <w:szCs w:val="24"/>
          <w:lang w:val="en-US" w:eastAsia="ru-RU"/>
        </w:rPr>
        <w:t xml:space="preserve"> in the many TeV energy</w:t>
      </w:r>
      <w:r>
        <w:rPr>
          <w:rFonts w:eastAsia="NotoSans-Regular"/>
          <w:sz w:val="24"/>
          <w:szCs w:val="24"/>
          <w:lang w:val="en-US" w:eastAsia="ru-RU"/>
        </w:rPr>
        <w:t xml:space="preserve"> </w:t>
      </w:r>
      <w:r w:rsidRPr="00FF347E">
        <w:rPr>
          <w:rFonts w:eastAsia="NotoSans-Regular"/>
          <w:sz w:val="24"/>
          <w:szCs w:val="24"/>
          <w:lang w:val="en-US" w:eastAsia="ru-RU"/>
        </w:rPr>
        <w:t>range, but also to obtain new interesting results when studying the high-energy edge of the</w:t>
      </w:r>
      <w:r>
        <w:rPr>
          <w:rFonts w:eastAsia="NotoSans-Regular"/>
          <w:sz w:val="24"/>
          <w:szCs w:val="24"/>
          <w:lang w:val="en-US" w:eastAsia="ru-RU"/>
        </w:rPr>
        <w:t xml:space="preserve"> </w:t>
      </w:r>
      <w:r w:rsidRPr="00FF347E">
        <w:rPr>
          <w:rFonts w:eastAsia="NotoSans-Regular"/>
          <w:sz w:val="24"/>
          <w:szCs w:val="24"/>
          <w:lang w:val="en-US" w:eastAsia="ru-RU"/>
        </w:rPr>
        <w:t>spectrum of galactic and extragalactic sources.</w:t>
      </w:r>
      <w:r>
        <w:rPr>
          <w:rFonts w:eastAsia="NotoSans-Regular"/>
          <w:sz w:val="24"/>
          <w:szCs w:val="24"/>
          <w:lang w:val="en-US" w:eastAsia="ru-RU"/>
        </w:rPr>
        <w:t xml:space="preserve"> </w:t>
      </w:r>
      <w:r w:rsidRPr="00FF347E">
        <w:rPr>
          <w:rFonts w:eastAsia="NotoSans-Regular"/>
          <w:sz w:val="24"/>
          <w:szCs w:val="24"/>
          <w:lang w:val="en-US" w:eastAsia="ru-RU"/>
        </w:rPr>
        <w:t>The participation of the JINR group in the TAIGA project was supported by the Russian</w:t>
      </w:r>
      <w:r>
        <w:rPr>
          <w:rFonts w:eastAsia="NotoSans-Regular"/>
          <w:sz w:val="24"/>
          <w:szCs w:val="24"/>
          <w:lang w:val="en-US" w:eastAsia="ru-RU"/>
        </w:rPr>
        <w:t xml:space="preserve"> </w:t>
      </w:r>
      <w:r w:rsidRPr="00FF347E">
        <w:rPr>
          <w:rFonts w:eastAsia="NotoSans-Regular"/>
          <w:sz w:val="24"/>
          <w:szCs w:val="24"/>
          <w:lang w:val="en-US" w:eastAsia="ru-RU"/>
        </w:rPr>
        <w:t>Science Foundation (RSF) grant No. 19-72-20173 "Small-sized telescopes as part of the experimental</w:t>
      </w:r>
      <w:r>
        <w:rPr>
          <w:rFonts w:eastAsia="NotoSans-Regular"/>
          <w:sz w:val="24"/>
          <w:szCs w:val="24"/>
          <w:lang w:val="en-US" w:eastAsia="ru-RU"/>
        </w:rPr>
        <w:t xml:space="preserve"> </w:t>
      </w:r>
      <w:r w:rsidRPr="00FF347E">
        <w:rPr>
          <w:rFonts w:eastAsia="NotoSans-Regular"/>
          <w:sz w:val="24"/>
          <w:szCs w:val="24"/>
          <w:lang w:val="en-US" w:eastAsia="ru-RU"/>
        </w:rPr>
        <w:t>complex of the TAIGA gamma-r</w:t>
      </w:r>
      <w:r>
        <w:rPr>
          <w:rFonts w:eastAsia="NotoSans-Regular"/>
          <w:sz w:val="24"/>
          <w:szCs w:val="24"/>
          <w:lang w:val="en-US" w:eastAsia="ru-RU"/>
        </w:rPr>
        <w:t xml:space="preserve">ay observatory" for 2019-2022. </w:t>
      </w:r>
    </w:p>
    <w:p w:rsidR="00E249BC" w:rsidRPr="00C33D33" w:rsidRDefault="00E249BC" w:rsidP="00E249BC">
      <w:pPr>
        <w:ind w:firstLine="851"/>
        <w:jc w:val="both"/>
        <w:rPr>
          <w:b/>
          <w:sz w:val="24"/>
          <w:szCs w:val="24"/>
          <w:lang w:val="en-US"/>
        </w:rPr>
      </w:pPr>
    </w:p>
    <w:p w:rsidR="00E249BC" w:rsidRDefault="00E249BC" w:rsidP="00E249BC">
      <w:pPr>
        <w:pStyle w:val="Heading2"/>
        <w:spacing w:line="276" w:lineRule="auto"/>
        <w:rPr>
          <w:lang w:val="en-US"/>
        </w:rPr>
      </w:pPr>
      <w:bookmarkStart w:id="2" w:name="_Toc131525061"/>
      <w:r w:rsidRPr="00FF347E">
        <w:rPr>
          <w:lang w:val="en-US"/>
        </w:rPr>
        <w:t xml:space="preserve">2.2.3. </w:t>
      </w:r>
      <w:bookmarkEnd w:id="2"/>
      <w:r>
        <w:rPr>
          <w:lang w:val="en-US"/>
        </w:rPr>
        <w:t>Results obtained over the past three years</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During the period from 2019 to 2022, during the deployment of the installation, the</w:t>
      </w:r>
      <w:r>
        <w:rPr>
          <w:rFonts w:eastAsia="NotoSans-Regular"/>
          <w:sz w:val="24"/>
          <w:szCs w:val="24"/>
          <w:lang w:val="en-US" w:eastAsia="ru-RU"/>
        </w:rPr>
        <w:t xml:space="preserve"> </w:t>
      </w:r>
      <w:r w:rsidRPr="00251A8D">
        <w:rPr>
          <w:rFonts w:eastAsia="NotoSans-Regular"/>
          <w:sz w:val="24"/>
          <w:szCs w:val="24"/>
          <w:lang w:val="en-US" w:eastAsia="ru-RU"/>
        </w:rPr>
        <w:t>observation and search for high-energy gamma-ray quanta from 6 sources was carried out: 2</w:t>
      </w:r>
      <w:r>
        <w:rPr>
          <w:rFonts w:eastAsia="NotoSans-Regular"/>
          <w:sz w:val="24"/>
          <w:szCs w:val="24"/>
          <w:lang w:val="en-US" w:eastAsia="ru-RU"/>
        </w:rPr>
        <w:t xml:space="preserve"> </w:t>
      </w:r>
      <w:r w:rsidRPr="00251A8D">
        <w:rPr>
          <w:rFonts w:eastAsia="NotoSans-Regular"/>
          <w:sz w:val="24"/>
          <w:szCs w:val="24"/>
          <w:lang w:val="en-US" w:eastAsia="ru-RU"/>
        </w:rPr>
        <w:t>extragalactic ones: Markarian 501 (Mrk501), Mrk421, 2 pulsar nebulae: Crab Nebula,</w:t>
      </w:r>
      <w:r>
        <w:rPr>
          <w:rFonts w:eastAsia="NotoSans-Regular"/>
          <w:sz w:val="24"/>
          <w:szCs w:val="24"/>
          <w:lang w:val="en-US" w:eastAsia="ru-RU"/>
        </w:rPr>
        <w:t xml:space="preserve"> </w:t>
      </w:r>
      <w:r w:rsidRPr="00251A8D">
        <w:rPr>
          <w:rFonts w:eastAsia="NotoSans-Regular"/>
          <w:sz w:val="24"/>
          <w:szCs w:val="24"/>
          <w:lang w:val="en-US" w:eastAsia="ru-RU"/>
        </w:rPr>
        <w:t>DragonFly</w:t>
      </w:r>
      <w:r>
        <w:rPr>
          <w:rFonts w:eastAsia="NotoSans-Regular"/>
          <w:sz w:val="24"/>
          <w:szCs w:val="24"/>
          <w:lang w:val="en-US" w:eastAsia="ru-RU"/>
        </w:rPr>
        <w:t xml:space="preserve"> </w:t>
      </w:r>
      <w:r w:rsidRPr="00251A8D">
        <w:rPr>
          <w:rFonts w:eastAsia="NotoSans-Regular"/>
          <w:sz w:val="24"/>
          <w:szCs w:val="24"/>
          <w:lang w:val="en-US" w:eastAsia="ru-RU"/>
        </w:rPr>
        <w:t>Nebula and the remnant the Boomerang G106.3+2.7 supernova, which also contains a</w:t>
      </w:r>
      <w:r>
        <w:rPr>
          <w:rFonts w:eastAsia="NotoSans-Regular"/>
          <w:sz w:val="24"/>
          <w:szCs w:val="24"/>
          <w:lang w:val="en-US" w:eastAsia="ru-RU"/>
        </w:rPr>
        <w:t xml:space="preserve"> </w:t>
      </w:r>
      <w:r w:rsidRPr="00251A8D">
        <w:rPr>
          <w:rFonts w:eastAsia="NotoSans-Regular"/>
          <w:sz w:val="24"/>
          <w:szCs w:val="24"/>
          <w:lang w:val="en-US" w:eastAsia="ru-RU"/>
        </w:rPr>
        <w:t>pulsar nebula, thought to have originated from the same supernova explosion as the G106.3+2.7</w:t>
      </w:r>
      <w:r>
        <w:rPr>
          <w:rFonts w:eastAsia="NotoSans-Regular"/>
          <w:sz w:val="24"/>
          <w:szCs w:val="24"/>
          <w:lang w:val="en-US" w:eastAsia="ru-RU"/>
        </w:rPr>
        <w:t xml:space="preserve"> </w:t>
      </w:r>
      <w:r w:rsidRPr="00251A8D">
        <w:rPr>
          <w:rFonts w:eastAsia="NotoSans-Regular"/>
          <w:sz w:val="24"/>
          <w:szCs w:val="24"/>
          <w:lang w:val="en-US" w:eastAsia="ru-RU"/>
        </w:rPr>
        <w:t xml:space="preserve">remnant. In all these sources, it was expected to </w:t>
      </w:r>
      <w:r w:rsidRPr="00251A8D">
        <w:rPr>
          <w:rFonts w:eastAsia="NotoSans-Regular"/>
          <w:sz w:val="24"/>
          <w:szCs w:val="24"/>
          <w:lang w:val="en-US" w:eastAsia="ru-RU"/>
        </w:rPr>
        <w:lastRenderedPageBreak/>
        <w:t>detect high-energy radiation in the region of 100</w:t>
      </w:r>
      <w:r>
        <w:rPr>
          <w:rFonts w:eastAsia="NotoSans-Regular"/>
          <w:sz w:val="24"/>
          <w:szCs w:val="24"/>
          <w:lang w:val="en-US" w:eastAsia="ru-RU"/>
        </w:rPr>
        <w:t xml:space="preserve"> </w:t>
      </w:r>
      <w:r w:rsidRPr="00251A8D">
        <w:rPr>
          <w:rFonts w:eastAsia="NotoSans-Regular"/>
          <w:sz w:val="24"/>
          <w:szCs w:val="24"/>
          <w:lang w:val="en-US" w:eastAsia="ru-RU"/>
        </w:rPr>
        <w:t>TeV (except for Mrk421). To date, it has been possible to study the hybrid method (IACT + HiS-CORE) only the Crab Nebula source, since the cones of the HiSCORE stations are directed</w:t>
      </w:r>
      <w:r>
        <w:rPr>
          <w:rFonts w:eastAsia="NotoSans-Regular"/>
          <w:sz w:val="24"/>
          <w:szCs w:val="24"/>
          <w:lang w:val="en-US" w:eastAsia="ru-RU"/>
        </w:rPr>
        <w:t xml:space="preserve"> </w:t>
      </w:r>
      <w:r w:rsidRPr="00251A8D">
        <w:rPr>
          <w:rFonts w:eastAsia="NotoSans-Regular"/>
          <w:sz w:val="24"/>
          <w:szCs w:val="24"/>
          <w:lang w:val="en-US" w:eastAsia="ru-RU"/>
        </w:rPr>
        <w:t>precisely at this source.</w:t>
      </w:r>
    </w:p>
    <w:p w:rsidR="00E249BC" w:rsidRPr="00251A8D" w:rsidRDefault="00E249BC" w:rsidP="00E249BC">
      <w:pPr>
        <w:suppressAutoHyphens w:val="0"/>
        <w:autoSpaceDE w:val="0"/>
        <w:autoSpaceDN w:val="0"/>
        <w:adjustRightInd w:val="0"/>
        <w:spacing w:line="276" w:lineRule="auto"/>
        <w:jc w:val="both"/>
        <w:rPr>
          <w:rFonts w:eastAsia="NotoSans-Regular"/>
          <w:b/>
          <w:bCs/>
          <w:sz w:val="24"/>
          <w:szCs w:val="24"/>
          <w:lang w:val="en-US" w:eastAsia="ru-RU"/>
        </w:rPr>
      </w:pPr>
      <w:r w:rsidRPr="00251A8D">
        <w:rPr>
          <w:rFonts w:eastAsia="NotoSans-Regular"/>
          <w:b/>
          <w:bCs/>
          <w:sz w:val="24"/>
          <w:szCs w:val="24"/>
          <w:lang w:val="en-US" w:eastAsia="ru-RU"/>
        </w:rPr>
        <w:t>Energy spectrum of gamma rays from the Crab Nebula according to the first</w:t>
      </w:r>
    </w:p>
    <w:p w:rsidR="00E249BC" w:rsidRPr="00251A8D" w:rsidRDefault="00E249BC" w:rsidP="00E249BC">
      <w:pPr>
        <w:suppressAutoHyphens w:val="0"/>
        <w:autoSpaceDE w:val="0"/>
        <w:autoSpaceDN w:val="0"/>
        <w:adjustRightInd w:val="0"/>
        <w:spacing w:line="276" w:lineRule="auto"/>
        <w:jc w:val="both"/>
        <w:rPr>
          <w:rFonts w:eastAsia="NotoSans-Regular"/>
          <w:b/>
          <w:bCs/>
          <w:sz w:val="24"/>
          <w:szCs w:val="24"/>
          <w:lang w:val="en-US" w:eastAsia="ru-RU"/>
        </w:rPr>
      </w:pPr>
      <w:r w:rsidRPr="00251A8D">
        <w:rPr>
          <w:rFonts w:eastAsia="NotoSans-Regular"/>
          <w:b/>
          <w:bCs/>
          <w:sz w:val="24"/>
          <w:szCs w:val="24"/>
          <w:lang w:val="en-US" w:eastAsia="ru-RU"/>
        </w:rPr>
        <w:t>Atmospheric Cherenkov Telescope (ACT)</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The gamma-ray source in the Crab Nebula was observed by the first atmospheric</w:t>
      </w:r>
      <w:r>
        <w:rPr>
          <w:rFonts w:eastAsia="NotoSans-Regular"/>
          <w:sz w:val="24"/>
          <w:szCs w:val="24"/>
          <w:lang w:val="en-US" w:eastAsia="ru-RU"/>
        </w:rPr>
        <w:t xml:space="preserve"> </w:t>
      </w:r>
      <w:r w:rsidRPr="00251A8D">
        <w:rPr>
          <w:rFonts w:eastAsia="NotoSans-Regular"/>
          <w:sz w:val="24"/>
          <w:szCs w:val="24"/>
          <w:lang w:val="en-US" w:eastAsia="ru-RU"/>
        </w:rPr>
        <w:t>Cherenkov telescope for 150 hours during two seasons (2019-2020 and 2020-2021), 618 events</w:t>
      </w:r>
      <w:r>
        <w:rPr>
          <w:rFonts w:eastAsia="NotoSans-Regular"/>
          <w:sz w:val="24"/>
          <w:szCs w:val="24"/>
          <w:lang w:val="en-US" w:eastAsia="ru-RU"/>
        </w:rPr>
        <w:t xml:space="preserve"> </w:t>
      </w:r>
      <w:r w:rsidRPr="00251A8D">
        <w:rPr>
          <w:rFonts w:eastAsia="NotoSans-Regular"/>
          <w:sz w:val="24"/>
          <w:szCs w:val="24"/>
          <w:lang w:val="en-US" w:eastAsia="ru-RU"/>
        </w:rPr>
        <w:t>were identified from gamma rays in the energy range of 5-100 TeV. The significance level of</w:t>
      </w:r>
      <w:r>
        <w:rPr>
          <w:rFonts w:eastAsia="NotoSans-Regular"/>
          <w:sz w:val="24"/>
          <w:szCs w:val="24"/>
          <w:lang w:val="en-US" w:eastAsia="ru-RU"/>
        </w:rPr>
        <w:t xml:space="preserve"> </w:t>
      </w:r>
      <w:r w:rsidRPr="00251A8D">
        <w:rPr>
          <w:rFonts w:eastAsia="NotoSans-Regular"/>
          <w:sz w:val="24"/>
          <w:szCs w:val="24"/>
          <w:lang w:val="en-US" w:eastAsia="ru-RU"/>
        </w:rPr>
        <w:t>such a number of events against the background of charged cosmic rays is</w:t>
      </w:r>
      <w:r w:rsidR="00066AFE">
        <w:rPr>
          <w:rFonts w:eastAsia="NotoSans-Regular"/>
          <w:sz w:val="24"/>
          <w:szCs w:val="24"/>
          <w:lang w:val="en-US" w:eastAsia="ru-RU"/>
        </w:rPr>
        <w:t xml:space="preserve"> 12 sigma (Fig. 1</w:t>
      </w:r>
      <w:r w:rsidRPr="00251A8D">
        <w:rPr>
          <w:rFonts w:eastAsia="NotoSans-Regular"/>
          <w:sz w:val="24"/>
          <w:szCs w:val="24"/>
          <w:lang w:val="en-US" w:eastAsia="ru-RU"/>
        </w:rPr>
        <w:t>). A</w:t>
      </w:r>
      <w:r>
        <w:rPr>
          <w:rFonts w:eastAsia="NotoSans-Regular"/>
          <w:sz w:val="24"/>
          <w:szCs w:val="24"/>
          <w:lang w:val="en-US" w:eastAsia="ru-RU"/>
        </w:rPr>
        <w:t xml:space="preserve"> </w:t>
      </w:r>
      <w:r w:rsidRPr="00251A8D">
        <w:rPr>
          <w:rFonts w:eastAsia="NotoSans-Regular"/>
          <w:sz w:val="24"/>
          <w:szCs w:val="24"/>
          <w:lang w:val="en-US" w:eastAsia="ru-RU"/>
        </w:rPr>
        <w:t>technique has been developed for restoring the energy of gamma rays from the data of only</w:t>
      </w:r>
      <w:r>
        <w:rPr>
          <w:rFonts w:eastAsia="NotoSans-Regular"/>
          <w:sz w:val="24"/>
          <w:szCs w:val="24"/>
          <w:lang w:val="en-US" w:eastAsia="ru-RU"/>
        </w:rPr>
        <w:t xml:space="preserve"> </w:t>
      </w:r>
      <w:r w:rsidRPr="00251A8D">
        <w:rPr>
          <w:rFonts w:eastAsia="NotoSans-Regular"/>
          <w:sz w:val="24"/>
          <w:szCs w:val="24"/>
          <w:lang w:val="en-US" w:eastAsia="ru-RU"/>
        </w:rPr>
        <w:t>one atmospheric telescope. When restoring the particle energy, we used a procedure tuned</w:t>
      </w:r>
      <w:r>
        <w:rPr>
          <w:rFonts w:eastAsia="NotoSans-Regular"/>
          <w:sz w:val="24"/>
          <w:szCs w:val="24"/>
          <w:lang w:val="en-US" w:eastAsia="ru-RU"/>
        </w:rPr>
        <w:t xml:space="preserve"> </w:t>
      </w:r>
      <w:r w:rsidRPr="00251A8D">
        <w:rPr>
          <w:rFonts w:eastAsia="NotoSans-Regular"/>
          <w:sz w:val="24"/>
          <w:szCs w:val="24"/>
          <w:lang w:val="en-US" w:eastAsia="ru-RU"/>
        </w:rPr>
        <w:t>according to the MC calculations, which leads to</w:t>
      </w:r>
      <w:r w:rsidR="00066AFE">
        <w:rPr>
          <w:rFonts w:eastAsia="NotoSans-Regular"/>
          <w:sz w:val="24"/>
          <w:szCs w:val="24"/>
          <w:lang w:val="en-US" w:eastAsia="ru-RU"/>
        </w:rPr>
        <w:t xml:space="preserve"> </w:t>
      </w:r>
      <w:r w:rsidRPr="00251A8D">
        <w:rPr>
          <w:rFonts w:eastAsia="NotoSans-Regular"/>
          <w:b/>
          <w:bCs/>
          <w:sz w:val="24"/>
          <w:szCs w:val="24"/>
          <w:lang w:val="en-US" w:eastAsia="ru-RU"/>
        </w:rPr>
        <w:t>energy determination accuracy of about</w:t>
      </w:r>
      <w:r>
        <w:rPr>
          <w:rFonts w:eastAsia="NotoSans-Regular"/>
          <w:sz w:val="24"/>
          <w:szCs w:val="24"/>
          <w:lang w:val="en-US" w:eastAsia="ru-RU"/>
        </w:rPr>
        <w:t xml:space="preserve"> 30</w:t>
      </w:r>
      <w:r w:rsidRPr="00251A8D">
        <w:rPr>
          <w:rFonts w:eastAsia="NotoSans-Regular"/>
          <w:b/>
          <w:bCs/>
          <w:sz w:val="24"/>
          <w:szCs w:val="24"/>
          <w:lang w:val="en-US" w:eastAsia="ru-RU"/>
        </w:rPr>
        <w:t>%</w:t>
      </w:r>
      <w:r w:rsidRPr="00251A8D">
        <w:rPr>
          <w:rFonts w:eastAsia="NotoSans-Regular"/>
          <w:sz w:val="24"/>
          <w:szCs w:val="24"/>
          <w:lang w:val="en-US" w:eastAsia="ru-RU"/>
        </w:rPr>
        <w:t>, and allowing to restore the e</w:t>
      </w:r>
      <w:r w:rsidR="00066AFE">
        <w:rPr>
          <w:rFonts w:eastAsia="NotoSans-Regular"/>
          <w:sz w:val="24"/>
          <w:szCs w:val="24"/>
          <w:lang w:val="en-US" w:eastAsia="ru-RU"/>
        </w:rPr>
        <w:t>nergy spectrum of events (Fig. 2</w:t>
      </w:r>
      <w:r w:rsidRPr="00251A8D">
        <w:rPr>
          <w:rFonts w:eastAsia="NotoSans-Regular"/>
          <w:sz w:val="24"/>
          <w:szCs w:val="24"/>
          <w:lang w:val="en-US" w:eastAsia="ru-RU"/>
        </w:rPr>
        <w:t>). The resulting spectrum</w:t>
      </w:r>
      <w:r>
        <w:rPr>
          <w:rFonts w:eastAsia="NotoSans-Regular"/>
          <w:sz w:val="24"/>
          <w:szCs w:val="24"/>
          <w:lang w:val="en-US" w:eastAsia="ru-RU"/>
        </w:rPr>
        <w:t xml:space="preserve"> </w:t>
      </w:r>
      <w:r w:rsidRPr="00251A8D">
        <w:rPr>
          <w:rFonts w:eastAsia="NotoSans-Regular"/>
          <w:sz w:val="24"/>
          <w:szCs w:val="24"/>
          <w:lang w:val="en-US" w:eastAsia="ru-RU"/>
        </w:rPr>
        <w:t>of particles agrees quite well with world data in the region from 5 to 100 TeV</w:t>
      </w:r>
      <w:r>
        <w:rPr>
          <w:rFonts w:eastAsia="NotoSans-Regular"/>
          <w:sz w:val="24"/>
          <w:szCs w:val="24"/>
          <w:lang w:val="en-US" w:eastAsia="ru-RU"/>
        </w:rPr>
        <w:t>.</w:t>
      </w:r>
    </w:p>
    <w:p w:rsidR="00E249BC" w:rsidRPr="00C33D33" w:rsidRDefault="00E249BC" w:rsidP="00E249BC">
      <w:pPr>
        <w:spacing w:before="20" w:after="20"/>
        <w:ind w:firstLine="567"/>
        <w:jc w:val="both"/>
        <w:rPr>
          <w:sz w:val="24"/>
          <w:szCs w:val="24"/>
          <w:lang w:val="en-US"/>
        </w:rPr>
      </w:pPr>
    </w:p>
    <w:p w:rsidR="00E249BC" w:rsidRDefault="00E249BC" w:rsidP="00E249BC">
      <w:pPr>
        <w:spacing w:before="20" w:after="20"/>
        <w:ind w:firstLine="567"/>
        <w:jc w:val="both"/>
      </w:pPr>
      <w:r>
        <w:rPr>
          <w:noProof/>
          <w:lang w:eastAsia="ru-RU"/>
        </w:rPr>
        <w:drawing>
          <wp:inline distT="0" distB="0" distL="0" distR="0">
            <wp:extent cx="5060950" cy="3136900"/>
            <wp:effectExtent l="0" t="0" r="0" b="0"/>
            <wp:docPr id="1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7"/>
                    <a:srcRect l="-249" t="6789"/>
                    <a:stretch>
                      <a:fillRect/>
                    </a:stretch>
                  </pic:blipFill>
                  <pic:spPr bwMode="auto">
                    <a:xfrm>
                      <a:off x="0" y="0"/>
                      <a:ext cx="5060950" cy="3136900"/>
                    </a:xfrm>
                    <a:prstGeom prst="rect">
                      <a:avLst/>
                    </a:prstGeom>
                  </pic:spPr>
                </pic:pic>
              </a:graphicData>
            </a:graphic>
          </wp:inline>
        </w:drawing>
      </w:r>
    </w:p>
    <w:p w:rsidR="00E249BC" w:rsidRPr="00251A8D" w:rsidRDefault="00E249BC" w:rsidP="00E249BC">
      <w:pPr>
        <w:spacing w:before="20" w:after="20"/>
        <w:ind w:firstLine="567"/>
        <w:jc w:val="both"/>
        <w:rPr>
          <w:lang w:val="en-US"/>
        </w:rPr>
      </w:pPr>
      <w:r>
        <w:rPr>
          <w:sz w:val="24"/>
          <w:szCs w:val="24"/>
          <w:lang w:val="en-US"/>
        </w:rPr>
        <w:t>Fig</w:t>
      </w:r>
      <w:r w:rsidRPr="00251A8D">
        <w:rPr>
          <w:sz w:val="24"/>
          <w:szCs w:val="24"/>
          <w:lang w:val="en-US"/>
        </w:rPr>
        <w:t xml:space="preserve">. </w:t>
      </w:r>
      <w:r w:rsidR="00066AFE">
        <w:rPr>
          <w:sz w:val="24"/>
          <w:szCs w:val="24"/>
          <w:lang w:val="en-US"/>
        </w:rPr>
        <w:t>1</w:t>
      </w:r>
      <w:r w:rsidRPr="00251A8D">
        <w:rPr>
          <w:sz w:val="24"/>
          <w:szCs w:val="24"/>
          <w:lang w:val="en-US"/>
        </w:rPr>
        <w:t xml:space="preserve"> </w:t>
      </w:r>
      <w:r>
        <w:rPr>
          <w:sz w:val="24"/>
          <w:szCs w:val="24"/>
          <w:lang w:val="en-US"/>
        </w:rPr>
        <w:t>Distribution</w:t>
      </w:r>
      <w:r w:rsidRPr="00251A8D">
        <w:rPr>
          <w:sz w:val="24"/>
          <w:szCs w:val="24"/>
          <w:lang w:val="en-US"/>
        </w:rPr>
        <w:t xml:space="preserve"> </w:t>
      </w:r>
      <w:r>
        <w:rPr>
          <w:sz w:val="24"/>
          <w:szCs w:val="24"/>
          <w:lang w:val="en-US"/>
        </w:rPr>
        <w:t>by</w:t>
      </w:r>
      <w:r w:rsidRPr="00251A8D">
        <w:rPr>
          <w:sz w:val="24"/>
          <w:szCs w:val="24"/>
          <w:lang w:val="en-US"/>
        </w:rPr>
        <w:t xml:space="preserve"> </w:t>
      </w:r>
      <w:r>
        <w:rPr>
          <w:sz w:val="24"/>
          <w:szCs w:val="24"/>
          <w:lang w:val="en-US"/>
        </w:rPr>
        <w:t>parameter</w:t>
      </w:r>
      <w:r w:rsidRPr="00251A8D">
        <w:rPr>
          <w:sz w:val="24"/>
          <w:szCs w:val="24"/>
          <w:lang w:val="en-US"/>
        </w:rPr>
        <w:t xml:space="preserve"> </w:t>
      </w:r>
      <w:r>
        <w:rPr>
          <w:sz w:val="24"/>
          <w:szCs w:val="24"/>
          <w:lang w:val="en-US"/>
        </w:rPr>
        <w:t>ϴ</w:t>
      </w:r>
      <w:r w:rsidRPr="00251A8D">
        <w:rPr>
          <w:sz w:val="24"/>
          <w:szCs w:val="24"/>
          <w:vertAlign w:val="superscript"/>
          <w:lang w:val="en-US"/>
        </w:rPr>
        <w:t xml:space="preserve">2 </w:t>
      </w:r>
      <w:r w:rsidRPr="00251A8D">
        <w:rPr>
          <w:sz w:val="24"/>
          <w:szCs w:val="24"/>
          <w:lang w:val="en-US"/>
        </w:rPr>
        <w:t>(</w:t>
      </w:r>
      <w:r>
        <w:rPr>
          <w:sz w:val="24"/>
          <w:szCs w:val="24"/>
          <w:lang w:val="en-US"/>
        </w:rPr>
        <w:t>ϴ</w:t>
      </w:r>
      <w:r w:rsidRPr="00251A8D">
        <w:rPr>
          <w:sz w:val="24"/>
          <w:szCs w:val="24"/>
          <w:lang w:val="en-US"/>
        </w:rPr>
        <w:t>-</w:t>
      </w:r>
      <w:r>
        <w:rPr>
          <w:sz w:val="24"/>
          <w:szCs w:val="24"/>
          <w:lang w:val="en-US"/>
        </w:rPr>
        <w:t xml:space="preserve"> angle between the direction to the source and the direction of arrival of this event</w:t>
      </w:r>
      <w:r w:rsidRPr="00251A8D">
        <w:rPr>
          <w:sz w:val="24"/>
          <w:szCs w:val="24"/>
          <w:lang w:val="en-US"/>
        </w:rPr>
        <w:t xml:space="preserve">) </w:t>
      </w:r>
    </w:p>
    <w:p w:rsidR="00E249BC" w:rsidRDefault="00E249BC" w:rsidP="00E249BC">
      <w:pPr>
        <w:ind w:firstLine="567"/>
        <w:jc w:val="both"/>
      </w:pPr>
      <w:r>
        <w:rPr>
          <w:noProof/>
          <w:lang w:eastAsia="ru-RU"/>
        </w:rPr>
        <w:lastRenderedPageBreak/>
        <w:drawing>
          <wp:inline distT="0" distB="0" distL="0" distR="0">
            <wp:extent cx="5082540" cy="3562985"/>
            <wp:effectExtent l="0" t="0" r="0" b="0"/>
            <wp:docPr id="19" name="Изображение5" descr="Copy of 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Copy of Graph1.jpg"/>
                    <pic:cNvPicPr>
                      <a:picLocks noChangeAspect="1" noChangeArrowheads="1"/>
                    </pic:cNvPicPr>
                  </pic:nvPicPr>
                  <pic:blipFill>
                    <a:blip r:embed="rId8"/>
                    <a:stretch>
                      <a:fillRect/>
                    </a:stretch>
                  </pic:blipFill>
                  <pic:spPr bwMode="auto">
                    <a:xfrm>
                      <a:off x="0" y="0"/>
                      <a:ext cx="5082540" cy="3562985"/>
                    </a:xfrm>
                    <a:prstGeom prst="rect">
                      <a:avLst/>
                    </a:prstGeom>
                  </pic:spPr>
                </pic:pic>
              </a:graphicData>
            </a:graphic>
          </wp:inline>
        </w:drawing>
      </w:r>
    </w:p>
    <w:p w:rsidR="00E249BC" w:rsidRPr="00251A8D" w:rsidRDefault="00E249BC" w:rsidP="00E249BC">
      <w:pPr>
        <w:suppressAutoHyphens w:val="0"/>
        <w:autoSpaceDE w:val="0"/>
        <w:autoSpaceDN w:val="0"/>
        <w:adjustRightInd w:val="0"/>
        <w:spacing w:line="276" w:lineRule="auto"/>
        <w:rPr>
          <w:rFonts w:eastAsia="NotoSans-Regular"/>
          <w:sz w:val="24"/>
          <w:szCs w:val="24"/>
          <w:lang w:val="en-US" w:eastAsia="ru-RU"/>
        </w:rPr>
      </w:pPr>
      <w:r>
        <w:rPr>
          <w:rFonts w:ascii="NotoSans-Regular" w:eastAsia="NotoSans-Regular" w:cs="NotoSans-Regular"/>
          <w:sz w:val="21"/>
          <w:szCs w:val="21"/>
          <w:lang w:val="en-US" w:eastAsia="ru-RU"/>
        </w:rPr>
        <w:tab/>
      </w:r>
      <w:r w:rsidR="00066AFE">
        <w:rPr>
          <w:rFonts w:eastAsia="NotoSans-Regular"/>
          <w:sz w:val="24"/>
          <w:szCs w:val="24"/>
          <w:lang w:val="en-US" w:eastAsia="ru-RU"/>
        </w:rPr>
        <w:t>Fig.2</w:t>
      </w:r>
      <w:r w:rsidRPr="00251A8D">
        <w:rPr>
          <w:rFonts w:eastAsia="NotoSans-Regular"/>
          <w:sz w:val="24"/>
          <w:szCs w:val="24"/>
          <w:lang w:val="en-US" w:eastAsia="ru-RU"/>
        </w:rPr>
        <w:t>. The reconstructed gamma-ray spectrum from the Crab Nebula according to the data of</w:t>
      </w:r>
    </w:p>
    <w:p w:rsidR="00E249BC" w:rsidRDefault="00E249BC" w:rsidP="00E249BC">
      <w:pPr>
        <w:suppressAutoHyphens w:val="0"/>
        <w:autoSpaceDE w:val="0"/>
        <w:autoSpaceDN w:val="0"/>
        <w:adjustRightInd w:val="0"/>
        <w:spacing w:line="276" w:lineRule="auto"/>
        <w:rPr>
          <w:rFonts w:eastAsia="NotoSans-Regular"/>
          <w:sz w:val="24"/>
          <w:szCs w:val="24"/>
          <w:lang w:val="en-US" w:eastAsia="ru-RU"/>
        </w:rPr>
      </w:pPr>
      <w:r w:rsidRPr="00251A8D">
        <w:rPr>
          <w:rFonts w:eastAsia="NotoSans-Regular"/>
          <w:sz w:val="24"/>
          <w:szCs w:val="24"/>
          <w:lang w:val="en-US" w:eastAsia="ru-RU"/>
        </w:rPr>
        <w:t>the first telescope of the TAIGA experiment in comparison with the results of measurements by</w:t>
      </w:r>
      <w:r>
        <w:rPr>
          <w:rFonts w:eastAsia="NotoSans-Regular"/>
          <w:sz w:val="24"/>
          <w:szCs w:val="24"/>
          <w:lang w:val="en-US" w:eastAsia="ru-RU"/>
        </w:rPr>
        <w:t xml:space="preserve"> </w:t>
      </w:r>
      <w:r w:rsidRPr="00251A8D">
        <w:rPr>
          <w:rFonts w:eastAsia="NotoSans-Regular"/>
          <w:sz w:val="24"/>
          <w:szCs w:val="24"/>
          <w:lang w:val="en-US" w:eastAsia="ru-RU"/>
        </w:rPr>
        <w:t>other observatories over 150 hours of observation. The last two points are based on hybrid events</w:t>
      </w:r>
      <w:r>
        <w:rPr>
          <w:rFonts w:eastAsia="NotoSans-Regular"/>
          <w:sz w:val="24"/>
          <w:szCs w:val="24"/>
          <w:lang w:val="en-US" w:eastAsia="ru-RU"/>
        </w:rPr>
        <w:t xml:space="preserve"> </w:t>
      </w:r>
      <w:r w:rsidRPr="00251A8D">
        <w:rPr>
          <w:rFonts w:eastAsia="NotoSans-Regular"/>
          <w:sz w:val="24"/>
          <w:szCs w:val="24"/>
          <w:lang w:val="en-US" w:eastAsia="ru-RU"/>
        </w:rPr>
        <w:t>(IACT01+HiSCORE).</w:t>
      </w:r>
    </w:p>
    <w:p w:rsidR="00E249BC" w:rsidRPr="00251A8D" w:rsidRDefault="00E249BC" w:rsidP="00E249BC">
      <w:pPr>
        <w:suppressAutoHyphens w:val="0"/>
        <w:autoSpaceDE w:val="0"/>
        <w:autoSpaceDN w:val="0"/>
        <w:adjustRightInd w:val="0"/>
        <w:spacing w:line="276" w:lineRule="auto"/>
        <w:rPr>
          <w:rFonts w:eastAsia="NotoSans-Regular"/>
          <w:sz w:val="24"/>
          <w:szCs w:val="24"/>
          <w:lang w:val="en-US" w:eastAsia="ru-RU"/>
        </w:rPr>
      </w:pPr>
    </w:p>
    <w:p w:rsidR="00E249BC" w:rsidRDefault="00E249BC" w:rsidP="00E249BC">
      <w:pPr>
        <w:pStyle w:val="Heading3"/>
        <w:rPr>
          <w:lang w:val="en-US"/>
        </w:rPr>
      </w:pPr>
      <w:bookmarkStart w:id="3" w:name="_Toc131525064"/>
      <w:r>
        <w:rPr>
          <w:lang w:val="en-US"/>
        </w:rPr>
        <w:t>Hybrid events in the observation of the Crab Nebula</w:t>
      </w:r>
      <w:r w:rsidRPr="00251A8D">
        <w:rPr>
          <w:lang w:val="en-US"/>
        </w:rPr>
        <w:t>.</w:t>
      </w:r>
      <w:bookmarkEnd w:id="3"/>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The total statistics of the selected hybrid events for two seasons of observing the "Crab" is</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251A8D">
        <w:rPr>
          <w:rFonts w:eastAsia="NotoSans-Regular"/>
          <w:sz w:val="24"/>
          <w:szCs w:val="24"/>
          <w:lang w:val="en-US" w:eastAsia="ru-RU"/>
        </w:rPr>
        <w:t>~150,000 (AFT01 + HiSCORE ) for ~ 150 hours. For each event, the Hillas parameters were</w:t>
      </w:r>
      <w:r>
        <w:rPr>
          <w:rFonts w:eastAsia="NotoSans-Regular"/>
          <w:sz w:val="24"/>
          <w:szCs w:val="24"/>
          <w:lang w:val="en-US" w:eastAsia="ru-RU"/>
        </w:rPr>
        <w:t xml:space="preserve"> </w:t>
      </w:r>
      <w:r w:rsidRPr="00251A8D">
        <w:rPr>
          <w:rFonts w:eastAsia="NotoSans-Regular"/>
          <w:sz w:val="24"/>
          <w:szCs w:val="24"/>
          <w:lang w:val="en-US" w:eastAsia="ru-RU"/>
        </w:rPr>
        <w:t>determined, calculated as two sets of parameters "On" and "Off" for source tracking and background</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251A8D">
        <w:rPr>
          <w:rFonts w:eastAsia="NotoSans-Regular"/>
          <w:sz w:val="24"/>
          <w:szCs w:val="24"/>
          <w:lang w:val="en-US" w:eastAsia="ru-RU"/>
        </w:rPr>
        <w:t>tracking, and the excess is found after suppression of the hadron background as the difference</w:t>
      </w:r>
      <w:r>
        <w:rPr>
          <w:rFonts w:eastAsia="NotoSans-Regular"/>
          <w:sz w:val="24"/>
          <w:szCs w:val="24"/>
          <w:lang w:val="en-US" w:eastAsia="ru-RU"/>
        </w:rPr>
        <w:t xml:space="preserve"> </w:t>
      </w:r>
      <w:r w:rsidRPr="00251A8D">
        <w:rPr>
          <w:rFonts w:eastAsia="NotoSans-Regular"/>
          <w:sz w:val="24"/>
          <w:szCs w:val="24"/>
          <w:lang w:val="en-US" w:eastAsia="ru-RU"/>
        </w:rPr>
        <w:t>between these two samples, and the spectra of gamma-like showers are plotted as the difference</w:t>
      </w:r>
      <w:r>
        <w:rPr>
          <w:rFonts w:eastAsia="NotoSans-Regular"/>
          <w:sz w:val="24"/>
          <w:szCs w:val="24"/>
          <w:lang w:val="en-US" w:eastAsia="ru-RU"/>
        </w:rPr>
        <w:t xml:space="preserve"> </w:t>
      </w:r>
      <w:r w:rsidRPr="00251A8D">
        <w:rPr>
          <w:rFonts w:eastAsia="NotoSans-Regular"/>
          <w:sz w:val="24"/>
          <w:szCs w:val="24"/>
          <w:lang w:val="en-US" w:eastAsia="ru-RU"/>
        </w:rPr>
        <w:t>spectra "On" and "Off.</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The analysis of hybrid events additionally includes such parameters as the distance to the</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251A8D">
        <w:rPr>
          <w:rFonts w:eastAsia="NotoSans-Regular"/>
          <w:sz w:val="24"/>
          <w:szCs w:val="24"/>
          <w:lang w:val="en-US" w:eastAsia="ru-RU"/>
        </w:rPr>
        <w:t>shower axis (Rtel), the angle between the reconstructed EAS direction and the direction to the</w:t>
      </w:r>
      <w:r>
        <w:rPr>
          <w:rFonts w:eastAsia="NotoSans-Regular"/>
          <w:sz w:val="24"/>
          <w:szCs w:val="24"/>
          <w:lang w:val="en-US" w:eastAsia="ru-RU"/>
        </w:rPr>
        <w:t xml:space="preserve"> source, </w:t>
      </w:r>
      <w:r w:rsidRPr="00251A8D">
        <w:rPr>
          <w:rFonts w:eastAsia="NotoSans-Regular"/>
          <w:sz w:val="24"/>
          <w:szCs w:val="24"/>
          <w:lang w:val="en-US" w:eastAsia="ru-RU"/>
        </w:rPr>
        <w:t>and the energy reconstructed according to the TAIGA-HISCORE setup. Background</w:t>
      </w:r>
      <w:r>
        <w:rPr>
          <w:rFonts w:eastAsia="NotoSans-Regular"/>
          <w:sz w:val="24"/>
          <w:szCs w:val="24"/>
          <w:lang w:val="en-US" w:eastAsia="ru-RU"/>
        </w:rPr>
        <w:t xml:space="preserve"> </w:t>
      </w:r>
      <w:r w:rsidRPr="00251A8D">
        <w:rPr>
          <w:rFonts w:eastAsia="NotoSans-Regular"/>
          <w:sz w:val="24"/>
          <w:szCs w:val="24"/>
          <w:lang w:val="en-US" w:eastAsia="ru-RU"/>
        </w:rPr>
        <w:t>suppression criteria in hybrid events make it possible to collect events from very large distances</w:t>
      </w:r>
      <w:r>
        <w:rPr>
          <w:rFonts w:eastAsia="NotoSans-Regular"/>
          <w:sz w:val="24"/>
          <w:szCs w:val="24"/>
          <w:lang w:val="en-US" w:eastAsia="ru-RU"/>
        </w:rPr>
        <w:t xml:space="preserve"> </w:t>
      </w:r>
      <w:r w:rsidRPr="00251A8D">
        <w:rPr>
          <w:rFonts w:eastAsia="NotoSans-Regular"/>
          <w:sz w:val="24"/>
          <w:szCs w:val="24"/>
          <w:lang w:val="en-US" w:eastAsia="ru-RU"/>
        </w:rPr>
        <w:t>- up to 400 m. Therefore, in hybrid events, the effective area turns out to be orders of magnitude</w:t>
      </w:r>
      <w:r>
        <w:rPr>
          <w:rFonts w:eastAsia="NotoSans-Regular"/>
          <w:sz w:val="24"/>
          <w:szCs w:val="24"/>
          <w:lang w:val="en-US" w:eastAsia="ru-RU"/>
        </w:rPr>
        <w:t xml:space="preserve"> </w:t>
      </w:r>
      <w:r w:rsidRPr="00251A8D">
        <w:rPr>
          <w:rFonts w:eastAsia="NotoSans-Regular"/>
          <w:sz w:val="24"/>
          <w:szCs w:val="24"/>
          <w:lang w:val="en-US" w:eastAsia="ru-RU"/>
        </w:rPr>
        <w:t>larger than when using 1 telescope, the threshold energy for gamma rays turns out to be very</w:t>
      </w:r>
      <w:r>
        <w:rPr>
          <w:rFonts w:eastAsia="NotoSans-Regular"/>
          <w:sz w:val="24"/>
          <w:szCs w:val="24"/>
          <w:lang w:val="en-US" w:eastAsia="ru-RU"/>
        </w:rPr>
        <w:t xml:space="preserve"> </w:t>
      </w:r>
      <w:r w:rsidRPr="00251A8D">
        <w:rPr>
          <w:rFonts w:eastAsia="NotoSans-Regular"/>
          <w:sz w:val="24"/>
          <w:szCs w:val="24"/>
          <w:lang w:val="en-US" w:eastAsia="ru-RU"/>
        </w:rPr>
        <w:t>high - about 60-80 TeV due to the high energy threshold of registration of TAIGA-HiSCORE</w:t>
      </w:r>
      <w:r>
        <w:rPr>
          <w:rFonts w:eastAsia="NotoSans-Regular"/>
          <w:sz w:val="24"/>
          <w:szCs w:val="24"/>
          <w:lang w:val="en-US" w:eastAsia="ru-RU"/>
        </w:rPr>
        <w:t xml:space="preserve"> </w:t>
      </w:r>
      <w:r w:rsidRPr="00251A8D">
        <w:rPr>
          <w:rFonts w:eastAsia="NotoSans-Regular"/>
          <w:sz w:val="24"/>
          <w:szCs w:val="24"/>
          <w:lang w:val="en-US" w:eastAsia="ru-RU"/>
        </w:rPr>
        <w:t>stations. The analysis used data from only a quarter of the installation, with an area of 0.25 km</w:t>
      </w:r>
      <w:r w:rsidRPr="00251A8D">
        <w:rPr>
          <w:rFonts w:eastAsia="NotoSans-Regular"/>
          <w:sz w:val="24"/>
          <w:szCs w:val="24"/>
          <w:vertAlign w:val="superscript"/>
          <w:lang w:val="en-US" w:eastAsia="ru-RU"/>
        </w:rPr>
        <w:t>2</w:t>
      </w:r>
      <w:r w:rsidRPr="00251A8D">
        <w:rPr>
          <w:rFonts w:eastAsia="NotoSans-Regular"/>
          <w:sz w:val="24"/>
          <w:szCs w:val="24"/>
          <w:lang w:val="en-US" w:eastAsia="ru-RU"/>
        </w:rPr>
        <w:t>. For 150 hours, 6 gamma quanta were emitted wit</w:t>
      </w:r>
      <w:r w:rsidR="00066AFE">
        <w:rPr>
          <w:rFonts w:eastAsia="NotoSans-Regular"/>
          <w:sz w:val="24"/>
          <w:szCs w:val="24"/>
          <w:lang w:val="en-US" w:eastAsia="ru-RU"/>
        </w:rPr>
        <w:t>h energies above 100 TeV (Fig. 2</w:t>
      </w:r>
      <w:r w:rsidRPr="00251A8D">
        <w:rPr>
          <w:rFonts w:eastAsia="NotoSans-Regular"/>
          <w:sz w:val="24"/>
          <w:szCs w:val="24"/>
          <w:lang w:val="en-US" w:eastAsia="ru-RU"/>
        </w:rPr>
        <w:t>). Thus,</w:t>
      </w:r>
      <w:r>
        <w:rPr>
          <w:rFonts w:eastAsia="NotoSans-Regular"/>
          <w:sz w:val="24"/>
          <w:szCs w:val="24"/>
          <w:lang w:val="en-US" w:eastAsia="ru-RU"/>
        </w:rPr>
        <w:t xml:space="preserve"> </w:t>
      </w:r>
      <w:r w:rsidRPr="00251A8D">
        <w:rPr>
          <w:rFonts w:eastAsia="NotoSans-Regular"/>
          <w:sz w:val="24"/>
          <w:szCs w:val="24"/>
          <w:lang w:val="en-US" w:eastAsia="ru-RU"/>
        </w:rPr>
        <w:t xml:space="preserve">according to the data of the entire TAIGA-HiSCORE facility and 3 telescopes, </w:t>
      </w:r>
      <w:r w:rsidRPr="00251A8D">
        <w:rPr>
          <w:rFonts w:eastAsia="NotoSans-Regular"/>
          <w:b/>
          <w:bCs/>
          <w:sz w:val="24"/>
          <w:szCs w:val="24"/>
          <w:lang w:val="en-US" w:eastAsia="ru-RU"/>
        </w:rPr>
        <w:t>20-30 events with</w:t>
      </w:r>
      <w:r>
        <w:rPr>
          <w:rFonts w:eastAsia="NotoSans-Regular"/>
          <w:b/>
          <w:bCs/>
          <w:sz w:val="24"/>
          <w:szCs w:val="24"/>
          <w:lang w:val="en-US" w:eastAsia="ru-RU"/>
        </w:rPr>
        <w:t xml:space="preserve"> </w:t>
      </w:r>
      <w:r w:rsidRPr="00251A8D">
        <w:rPr>
          <w:rFonts w:eastAsia="NotoSans-Regular"/>
          <w:b/>
          <w:bCs/>
          <w:sz w:val="24"/>
          <w:szCs w:val="24"/>
          <w:lang w:val="en-US" w:eastAsia="ru-RU"/>
        </w:rPr>
        <w:t>energies above 100 TeV can be expected from the Crab Nebula in 150 hours of observation.</w:t>
      </w:r>
    </w:p>
    <w:p w:rsidR="00E249BC" w:rsidRPr="00C33D33" w:rsidRDefault="00E249BC" w:rsidP="00E249BC">
      <w:pPr>
        <w:spacing w:before="20" w:after="20"/>
        <w:ind w:firstLine="567"/>
        <w:jc w:val="both"/>
        <w:rPr>
          <w:sz w:val="24"/>
          <w:szCs w:val="24"/>
          <w:lang w:val="en-US"/>
        </w:rPr>
      </w:pPr>
    </w:p>
    <w:p w:rsidR="00E249BC" w:rsidRPr="00251A8D" w:rsidRDefault="00E249BC" w:rsidP="00E249BC">
      <w:pPr>
        <w:pStyle w:val="Heading3"/>
        <w:spacing w:line="276" w:lineRule="auto"/>
        <w:rPr>
          <w:szCs w:val="24"/>
          <w:lang w:val="en-US"/>
        </w:rPr>
      </w:pPr>
      <w:r w:rsidRPr="00251A8D">
        <w:rPr>
          <w:szCs w:val="24"/>
          <w:lang w:val="en-US"/>
        </w:rPr>
        <w:t>Spectrum of gamma rays from the Crab Nebula in stereo</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Stereo observations of the Crab Nebula were carried out by the first two telescopes of</w:t>
      </w:r>
      <w:r>
        <w:rPr>
          <w:rFonts w:eastAsia="NotoSans-Regular"/>
          <w:sz w:val="24"/>
          <w:szCs w:val="24"/>
          <w:lang w:val="en-US" w:eastAsia="ru-RU"/>
        </w:rPr>
        <w:t xml:space="preserve"> </w:t>
      </w:r>
      <w:r w:rsidRPr="00251A8D">
        <w:rPr>
          <w:rFonts w:eastAsia="NotoSans-Regular"/>
          <w:sz w:val="24"/>
          <w:szCs w:val="24"/>
          <w:lang w:val="en-US" w:eastAsia="ru-RU"/>
        </w:rPr>
        <w:t>the TAIGA-IACT installation from October to February of the 2020-21 season. The analysis</w:t>
      </w:r>
      <w:r>
        <w:rPr>
          <w:rFonts w:eastAsia="NotoSans-Regular"/>
          <w:sz w:val="24"/>
          <w:szCs w:val="24"/>
          <w:lang w:val="en-US" w:eastAsia="ru-RU"/>
        </w:rPr>
        <w:t xml:space="preserve"> </w:t>
      </w:r>
      <w:r w:rsidRPr="00251A8D">
        <w:rPr>
          <w:rFonts w:eastAsia="NotoSans-Regular"/>
          <w:sz w:val="24"/>
          <w:szCs w:val="24"/>
          <w:lang w:val="en-US" w:eastAsia="ru-RU"/>
        </w:rPr>
        <w:t>implies the standard calculation of the Hillas parameters for each event (relative to 7</w:t>
      </w:r>
      <w:r>
        <w:rPr>
          <w:rFonts w:eastAsia="NotoSans-Regular"/>
          <w:sz w:val="24"/>
          <w:szCs w:val="24"/>
          <w:lang w:val="en-US" w:eastAsia="ru-RU"/>
        </w:rPr>
        <w:t xml:space="preserve"> </w:t>
      </w:r>
      <w:r w:rsidRPr="00251A8D">
        <w:rPr>
          <w:rFonts w:eastAsia="NotoSans-Regular"/>
          <w:sz w:val="24"/>
          <w:szCs w:val="24"/>
          <w:lang w:val="en-US" w:eastAsia="ru-RU"/>
        </w:rPr>
        <w:t xml:space="preserve">background positions and </w:t>
      </w:r>
      <w:r w:rsidRPr="00251A8D">
        <w:rPr>
          <w:rFonts w:eastAsia="NotoSans-Regular"/>
          <w:sz w:val="24"/>
          <w:szCs w:val="24"/>
          <w:lang w:val="en-US" w:eastAsia="ru-RU"/>
        </w:rPr>
        <w:lastRenderedPageBreak/>
        <w:t>one source), as well as the calculation of additional parameters</w:t>
      </w:r>
      <w:r>
        <w:rPr>
          <w:rFonts w:eastAsia="NotoSans-Regular"/>
          <w:sz w:val="24"/>
          <w:szCs w:val="24"/>
          <w:lang w:val="en-US" w:eastAsia="ru-RU"/>
        </w:rPr>
        <w:t xml:space="preserve"> </w:t>
      </w:r>
      <w:r w:rsidRPr="00251A8D">
        <w:rPr>
          <w:rFonts w:eastAsia="NotoSans-Regular"/>
          <w:sz w:val="24"/>
          <w:szCs w:val="24"/>
          <w:lang w:val="en-US" w:eastAsia="ru-RU"/>
        </w:rPr>
        <w:t>required for stereoscopic reconstruction of the EAS geometry. For 36 hours of observation,</w:t>
      </w:r>
      <w:r>
        <w:rPr>
          <w:rFonts w:eastAsia="NotoSans-Regular"/>
          <w:sz w:val="24"/>
          <w:szCs w:val="24"/>
          <w:lang w:val="en-US" w:eastAsia="ru-RU"/>
        </w:rPr>
        <w:t xml:space="preserve"> </w:t>
      </w:r>
      <w:r w:rsidRPr="00251A8D">
        <w:rPr>
          <w:rFonts w:eastAsia="NotoSans-Regular"/>
          <w:sz w:val="24"/>
          <w:szCs w:val="24"/>
          <w:lang w:val="en-US" w:eastAsia="ru-RU"/>
        </w:rPr>
        <w:t>a signal with a significance at the level of 5</w:t>
      </w:r>
      <w:r w:rsidRPr="00251A8D">
        <w:rPr>
          <w:rFonts w:eastAsia="NotoSans-Regular"/>
          <w:sz w:val="24"/>
          <w:szCs w:val="24"/>
          <w:lang w:eastAsia="ru-RU"/>
        </w:rPr>
        <w:t>σ</w:t>
      </w:r>
      <w:r w:rsidRPr="00251A8D">
        <w:rPr>
          <w:rFonts w:eastAsia="NotoSans-Regular"/>
          <w:sz w:val="24"/>
          <w:szCs w:val="24"/>
          <w:lang w:val="en-US" w:eastAsia="ru-RU"/>
        </w:rPr>
        <w:t xml:space="preserve"> was obtained</w:t>
      </w:r>
      <w:r w:rsidR="00066AFE">
        <w:rPr>
          <w:rFonts w:eastAsia="NotoSans-Regular"/>
          <w:sz w:val="24"/>
          <w:szCs w:val="24"/>
          <w:lang w:val="en-US" w:eastAsia="ru-RU"/>
        </w:rPr>
        <w:t xml:space="preserve"> and the energy spectrum (Fig. 3</w:t>
      </w:r>
      <w:r w:rsidRPr="00251A8D">
        <w:rPr>
          <w:rFonts w:eastAsia="NotoSans-Regular"/>
          <w:sz w:val="24"/>
          <w:szCs w:val="24"/>
          <w:lang w:val="en-US" w:eastAsia="ru-RU"/>
        </w:rPr>
        <w:t>), which is in good agreement with the data from the HAWC and TIBET AS+MD high</w:t>
      </w:r>
      <w:r>
        <w:rPr>
          <w:rFonts w:eastAsia="NotoSans-Regular"/>
          <w:sz w:val="24"/>
          <w:szCs w:val="24"/>
          <w:lang w:val="en-US" w:eastAsia="ru-RU"/>
        </w:rPr>
        <w:t xml:space="preserve"> </w:t>
      </w:r>
      <w:r w:rsidRPr="00251A8D">
        <w:rPr>
          <w:rFonts w:eastAsia="NotoSans-Regular"/>
          <w:sz w:val="24"/>
          <w:szCs w:val="24"/>
          <w:lang w:val="en-US" w:eastAsia="ru-RU"/>
        </w:rPr>
        <w:t>mountain</w:t>
      </w:r>
      <w:r>
        <w:rPr>
          <w:rFonts w:eastAsia="NotoSans-Regular"/>
          <w:sz w:val="24"/>
          <w:szCs w:val="24"/>
          <w:lang w:val="en-US" w:eastAsia="ru-RU"/>
        </w:rPr>
        <w:t xml:space="preserve"> </w:t>
      </w:r>
      <w:r w:rsidRPr="00251A8D">
        <w:rPr>
          <w:rFonts w:eastAsia="NotoSans-Regular"/>
          <w:sz w:val="24"/>
          <w:szCs w:val="24"/>
          <w:lang w:val="en-US" w:eastAsia="ru-RU"/>
        </w:rPr>
        <w:t>arrays.</w:t>
      </w:r>
    </w:p>
    <w:p w:rsidR="00E249BC" w:rsidRDefault="00E249BC" w:rsidP="00E249BC">
      <w:pPr>
        <w:spacing w:before="20" w:after="20"/>
        <w:ind w:firstLine="567"/>
        <w:jc w:val="center"/>
      </w:pPr>
      <w:r>
        <w:rPr>
          <w:noProof/>
          <w:lang w:eastAsia="ru-RU"/>
        </w:rPr>
        <w:drawing>
          <wp:inline distT="0" distB="0" distL="0" distR="0">
            <wp:extent cx="4949825" cy="3301365"/>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9"/>
                    <a:stretch>
                      <a:fillRect/>
                    </a:stretch>
                  </pic:blipFill>
                  <pic:spPr bwMode="auto">
                    <a:xfrm>
                      <a:off x="0" y="0"/>
                      <a:ext cx="4949825" cy="3301365"/>
                    </a:xfrm>
                    <a:prstGeom prst="rect">
                      <a:avLst/>
                    </a:prstGeom>
                  </pic:spPr>
                </pic:pic>
              </a:graphicData>
            </a:graphic>
          </wp:inline>
        </w:drawing>
      </w:r>
    </w:p>
    <w:p w:rsidR="00E249BC" w:rsidRPr="00251A8D" w:rsidRDefault="00066AFE" w:rsidP="00E249BC">
      <w:pPr>
        <w:pStyle w:val="af1"/>
        <w:ind w:left="0" w:firstLine="567"/>
        <w:jc w:val="both"/>
        <w:rPr>
          <w:lang w:val="en-US"/>
        </w:rPr>
      </w:pPr>
      <w:r>
        <w:rPr>
          <w:lang w:val="en-US"/>
        </w:rPr>
        <w:t>Fig. 3.</w:t>
      </w:r>
      <w:r w:rsidR="00E249BC" w:rsidRPr="00251A8D">
        <w:rPr>
          <w:lang w:val="en-US"/>
        </w:rPr>
        <w:t xml:space="preserve"> </w:t>
      </w:r>
      <w:r w:rsidR="00E249BC">
        <w:rPr>
          <w:lang w:val="en-US"/>
        </w:rPr>
        <w:t>The energy spectrum of gamma quanta, reconstructed by the stereo method</w:t>
      </w:r>
      <w:r w:rsidR="00E249BC" w:rsidRPr="00251A8D">
        <w:rPr>
          <w:lang w:val="en-US"/>
        </w:rPr>
        <w:t>.</w:t>
      </w:r>
    </w:p>
    <w:p w:rsidR="00E249BC" w:rsidRPr="00251A8D" w:rsidRDefault="00E249BC" w:rsidP="00E249BC">
      <w:pPr>
        <w:pStyle w:val="af1"/>
        <w:ind w:left="0" w:firstLine="567"/>
        <w:jc w:val="both"/>
        <w:rPr>
          <w:lang w:val="en-US"/>
        </w:rPr>
      </w:pPr>
    </w:p>
    <w:p w:rsidR="00E249BC" w:rsidRPr="00251A8D" w:rsidRDefault="00E249BC" w:rsidP="00E249BC">
      <w:pPr>
        <w:pStyle w:val="Heading3"/>
        <w:spacing w:line="276" w:lineRule="auto"/>
        <w:rPr>
          <w:szCs w:val="24"/>
          <w:lang w:val="en-US"/>
        </w:rPr>
      </w:pPr>
      <w:r w:rsidRPr="00251A8D">
        <w:rPr>
          <w:szCs w:val="24"/>
          <w:lang w:val="en-US"/>
        </w:rPr>
        <w:t>Gamma rays from blazars Mrk421 and Mrk501</w:t>
      </w:r>
    </w:p>
    <w:p w:rsidR="00E249BC" w:rsidRPr="00251A8D"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w:t>
      </w:r>
      <w:r>
        <w:rPr>
          <w:rFonts w:eastAsia="NotoSans-Regular"/>
          <w:sz w:val="24"/>
          <w:szCs w:val="24"/>
          <w:lang w:val="en-US" w:eastAsia="ru-RU"/>
        </w:rPr>
        <w:t>e first extragalactic source Mrk</w:t>
      </w:r>
      <w:r w:rsidRPr="00251A8D">
        <w:rPr>
          <w:rFonts w:eastAsia="NotoSans-Regular"/>
          <w:sz w:val="24"/>
          <w:szCs w:val="24"/>
          <w:lang w:val="en-US" w:eastAsia="ru-RU"/>
        </w:rPr>
        <w:t>421, from which a signal was detected in the TAIGA</w:t>
      </w:r>
      <w:r>
        <w:rPr>
          <w:rFonts w:eastAsia="NotoSans-Regular"/>
          <w:sz w:val="24"/>
          <w:szCs w:val="24"/>
          <w:lang w:val="en-US" w:eastAsia="ru-RU"/>
        </w:rPr>
        <w:t xml:space="preserve"> </w:t>
      </w:r>
      <w:r w:rsidRPr="00251A8D">
        <w:rPr>
          <w:rFonts w:eastAsia="NotoSans-Regular"/>
          <w:sz w:val="24"/>
          <w:szCs w:val="24"/>
          <w:lang w:val="en-US" w:eastAsia="ru-RU"/>
        </w:rPr>
        <w:t>experiment, is a blazar located near the Earth (redshift z~0.03) with variable intensity, well</w:t>
      </w:r>
      <w:r>
        <w:rPr>
          <w:rFonts w:eastAsia="NotoSans-Regular"/>
          <w:sz w:val="24"/>
          <w:szCs w:val="24"/>
          <w:lang w:val="en-US" w:eastAsia="ru-RU"/>
        </w:rPr>
        <w:t xml:space="preserve"> </w:t>
      </w:r>
      <w:r w:rsidRPr="00251A8D">
        <w:rPr>
          <w:rFonts w:eastAsia="NotoSans-Regular"/>
          <w:sz w:val="24"/>
          <w:szCs w:val="24"/>
          <w:lang w:val="en-US" w:eastAsia="ru-RU"/>
        </w:rPr>
        <w:t>measured in TeV radiation, but high-energy events over 20 TeV were not expected. The</w:t>
      </w:r>
      <w:r>
        <w:rPr>
          <w:rFonts w:eastAsia="NotoSans-Regular"/>
          <w:sz w:val="24"/>
          <w:szCs w:val="24"/>
          <w:lang w:val="en-US" w:eastAsia="ru-RU"/>
        </w:rPr>
        <w:t xml:space="preserve"> exposition of Mrk</w:t>
      </w:r>
      <w:r w:rsidRPr="00251A8D">
        <w:rPr>
          <w:rFonts w:eastAsia="NotoSans-Regular"/>
          <w:sz w:val="24"/>
          <w:szCs w:val="24"/>
          <w:lang w:val="en-US" w:eastAsia="ru-RU"/>
        </w:rPr>
        <w:t>421 in the Tunka Valley in the 2019-2020 season was 62 hours from</w:t>
      </w:r>
      <w:r>
        <w:rPr>
          <w:rFonts w:eastAsia="NotoSans-Regular"/>
          <w:sz w:val="24"/>
          <w:szCs w:val="24"/>
          <w:lang w:val="en-US" w:eastAsia="ru-RU"/>
        </w:rPr>
        <w:t xml:space="preserve"> </w:t>
      </w:r>
      <w:r w:rsidRPr="00251A8D">
        <w:rPr>
          <w:rFonts w:eastAsia="NotoSans-Regular"/>
          <w:sz w:val="24"/>
          <w:szCs w:val="24"/>
          <w:lang w:val="en-US" w:eastAsia="ru-RU"/>
        </w:rPr>
        <w:t>November to the end of Febru</w:t>
      </w:r>
      <w:r w:rsidR="00066AFE">
        <w:rPr>
          <w:rFonts w:eastAsia="NotoSans-Regular"/>
          <w:sz w:val="24"/>
          <w:szCs w:val="24"/>
          <w:lang w:val="en-US" w:eastAsia="ru-RU"/>
        </w:rPr>
        <w:t>ary with good weather. On Fig. 1</w:t>
      </w:r>
      <w:r w:rsidRPr="00251A8D">
        <w:rPr>
          <w:rFonts w:eastAsia="NotoSans-Regular"/>
          <w:sz w:val="24"/>
          <w:szCs w:val="24"/>
          <w:lang w:val="en-US" w:eastAsia="ru-RU"/>
        </w:rPr>
        <w:t xml:space="preserve"> shows the alpha distribution</w:t>
      </w:r>
      <w:r>
        <w:rPr>
          <w:rFonts w:eastAsia="NotoSans-Regular"/>
          <w:sz w:val="24"/>
          <w:szCs w:val="24"/>
          <w:lang w:val="en-US" w:eastAsia="ru-RU"/>
        </w:rPr>
        <w:t xml:space="preserve"> </w:t>
      </w:r>
      <w:r w:rsidRPr="00251A8D">
        <w:rPr>
          <w:rFonts w:eastAsia="NotoSans-Regular"/>
          <w:sz w:val="24"/>
          <w:szCs w:val="24"/>
          <w:lang w:val="en-US" w:eastAsia="ru-RU"/>
        </w:rPr>
        <w:t>for 'On' events and for 'Off' events with step 4</w:t>
      </w:r>
      <w:r>
        <w:rPr>
          <w:rFonts w:eastAsia="SimSun"/>
          <w:sz w:val="24"/>
          <w:szCs w:val="24"/>
          <w:vertAlign w:val="superscript"/>
          <w:lang w:val="en-US"/>
        </w:rPr>
        <w:t xml:space="preserve">o </w:t>
      </w:r>
      <w:r w:rsidRPr="00251A8D">
        <w:rPr>
          <w:rFonts w:eastAsia="NotoSans-Regular"/>
          <w:sz w:val="24"/>
          <w:szCs w:val="24"/>
          <w:lang w:val="en-US" w:eastAsia="ru-RU"/>
        </w:rPr>
        <w:t>selected according to optimal criteria</w:t>
      </w:r>
    </w:p>
    <w:p w:rsidR="00E249BC" w:rsidRPr="00251A8D" w:rsidRDefault="00E249BC" w:rsidP="00E249BC">
      <w:pPr>
        <w:ind w:firstLine="567"/>
        <w:jc w:val="both"/>
        <w:rPr>
          <w:rFonts w:eastAsia="Calibri"/>
          <w:sz w:val="24"/>
          <w:szCs w:val="24"/>
          <w:lang w:val="en-US"/>
        </w:rPr>
      </w:pPr>
    </w:p>
    <w:p w:rsidR="00E249BC" w:rsidRDefault="00E249BC" w:rsidP="00E249BC">
      <w:pPr>
        <w:ind w:firstLine="567"/>
        <w:jc w:val="both"/>
      </w:pPr>
      <w:r>
        <w:rPr>
          <w:noProof/>
          <w:lang w:eastAsia="ru-RU"/>
        </w:rPr>
        <w:lastRenderedPageBreak/>
        <w:drawing>
          <wp:inline distT="0" distB="0" distL="0" distR="0">
            <wp:extent cx="4456430" cy="3124200"/>
            <wp:effectExtent l="0" t="0" r="0" b="0"/>
            <wp:docPr id="21" name="Изображение7" descr="ExcessMkr421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ExcessMkr421_step4.jpg"/>
                    <pic:cNvPicPr>
                      <a:picLocks noChangeAspect="1" noChangeArrowheads="1"/>
                    </pic:cNvPicPr>
                  </pic:nvPicPr>
                  <pic:blipFill>
                    <a:blip r:embed="rId10"/>
                    <a:stretch>
                      <a:fillRect/>
                    </a:stretch>
                  </pic:blipFill>
                  <pic:spPr bwMode="auto">
                    <a:xfrm>
                      <a:off x="0" y="0"/>
                      <a:ext cx="4456430" cy="3124200"/>
                    </a:xfrm>
                    <a:prstGeom prst="rect">
                      <a:avLst/>
                    </a:prstGeom>
                  </pic:spPr>
                </pic:pic>
              </a:graphicData>
            </a:graphic>
          </wp:inline>
        </w:drawing>
      </w:r>
    </w:p>
    <w:p w:rsidR="00E249BC" w:rsidRPr="00014A7E" w:rsidRDefault="00E249BC" w:rsidP="00E249BC">
      <w:pPr>
        <w:ind w:firstLine="567"/>
        <w:jc w:val="both"/>
        <w:rPr>
          <w:lang w:val="en-US"/>
        </w:rPr>
      </w:pPr>
      <w:r>
        <w:rPr>
          <w:rFonts w:eastAsia="Calibri"/>
          <w:iCs/>
          <w:sz w:val="24"/>
          <w:szCs w:val="24"/>
          <w:lang w:val="en-US"/>
        </w:rPr>
        <w:t>Fig</w:t>
      </w:r>
      <w:r w:rsidRPr="00014A7E">
        <w:rPr>
          <w:rFonts w:eastAsia="Calibri"/>
          <w:iCs/>
          <w:sz w:val="24"/>
          <w:szCs w:val="24"/>
          <w:lang w:val="en-US"/>
        </w:rPr>
        <w:t xml:space="preserve">. </w:t>
      </w:r>
      <w:r w:rsidR="00066AFE">
        <w:rPr>
          <w:rFonts w:eastAsia="Calibri"/>
          <w:iCs/>
          <w:sz w:val="24"/>
          <w:szCs w:val="24"/>
          <w:lang w:val="en-US"/>
        </w:rPr>
        <w:t>4</w:t>
      </w:r>
      <w:r w:rsidRPr="00014A7E">
        <w:rPr>
          <w:rFonts w:eastAsia="Calibri"/>
          <w:iCs/>
          <w:sz w:val="24"/>
          <w:szCs w:val="24"/>
          <w:lang w:val="en-US"/>
        </w:rPr>
        <w:t xml:space="preserve"> </w:t>
      </w:r>
      <w:r>
        <w:rPr>
          <w:rFonts w:eastAsia="Calibri"/>
          <w:iCs/>
          <w:sz w:val="24"/>
          <w:szCs w:val="24"/>
          <w:lang w:val="en-US"/>
        </w:rPr>
        <w:t>Distribbution</w:t>
      </w:r>
      <w:r w:rsidRPr="00014A7E">
        <w:rPr>
          <w:rFonts w:eastAsia="Calibri"/>
          <w:iCs/>
          <w:sz w:val="24"/>
          <w:szCs w:val="24"/>
          <w:lang w:val="en-US"/>
        </w:rPr>
        <w:t xml:space="preserve"> </w:t>
      </w:r>
      <w:r>
        <w:rPr>
          <w:rFonts w:eastAsia="Calibri"/>
          <w:iCs/>
          <w:sz w:val="24"/>
          <w:szCs w:val="24"/>
          <w:lang w:val="en-US"/>
        </w:rPr>
        <w:t>by</w:t>
      </w:r>
      <w:r w:rsidRPr="00014A7E">
        <w:rPr>
          <w:rFonts w:eastAsia="Calibri"/>
          <w:iCs/>
          <w:sz w:val="24"/>
          <w:szCs w:val="24"/>
          <w:lang w:val="en-US"/>
        </w:rPr>
        <w:t xml:space="preserve"> </w:t>
      </w:r>
      <w:r>
        <w:rPr>
          <w:rFonts w:eastAsia="Calibri"/>
          <w:iCs/>
          <w:sz w:val="24"/>
          <w:szCs w:val="24"/>
          <w:lang w:val="en-US"/>
        </w:rPr>
        <w:t>parameter</w:t>
      </w:r>
      <w:r w:rsidRPr="00014A7E">
        <w:rPr>
          <w:rFonts w:eastAsia="Calibri"/>
          <w:iCs/>
          <w:sz w:val="24"/>
          <w:szCs w:val="24"/>
          <w:lang w:val="en-US"/>
        </w:rPr>
        <w:t xml:space="preserve"> </w:t>
      </w:r>
      <w:r>
        <w:rPr>
          <w:rFonts w:eastAsia="Calibri"/>
          <w:iCs/>
          <w:sz w:val="24"/>
          <w:szCs w:val="24"/>
        </w:rPr>
        <w:t>α</w:t>
      </w:r>
      <w:r w:rsidRPr="00014A7E">
        <w:rPr>
          <w:rFonts w:eastAsia="Calibri"/>
          <w:iCs/>
          <w:sz w:val="24"/>
          <w:szCs w:val="24"/>
          <w:lang w:val="en-US"/>
        </w:rPr>
        <w:t xml:space="preserve"> ‘</w:t>
      </w:r>
      <w:r>
        <w:rPr>
          <w:rFonts w:eastAsia="Calibri"/>
          <w:iCs/>
          <w:sz w:val="24"/>
          <w:szCs w:val="24"/>
          <w:lang w:val="en-US"/>
        </w:rPr>
        <w:t>On</w:t>
      </w:r>
      <w:r w:rsidRPr="00014A7E">
        <w:rPr>
          <w:rFonts w:eastAsia="Calibri"/>
          <w:iCs/>
          <w:sz w:val="24"/>
          <w:szCs w:val="24"/>
          <w:lang w:val="en-US"/>
        </w:rPr>
        <w:t xml:space="preserve">’ </w:t>
      </w:r>
      <w:r>
        <w:rPr>
          <w:rFonts w:eastAsia="Calibri"/>
          <w:iCs/>
          <w:sz w:val="24"/>
          <w:szCs w:val="24"/>
          <w:lang w:val="en-US"/>
        </w:rPr>
        <w:t>and</w:t>
      </w:r>
      <w:r w:rsidRPr="00014A7E">
        <w:rPr>
          <w:rFonts w:eastAsia="Calibri"/>
          <w:iCs/>
          <w:sz w:val="24"/>
          <w:szCs w:val="24"/>
          <w:lang w:val="en-US"/>
        </w:rPr>
        <w:t xml:space="preserve"> </w:t>
      </w:r>
      <w:r>
        <w:rPr>
          <w:rFonts w:eastAsia="Calibri"/>
          <w:iCs/>
          <w:sz w:val="24"/>
          <w:szCs w:val="24"/>
          <w:lang w:val="en-US"/>
        </w:rPr>
        <w:t>for</w:t>
      </w:r>
      <w:r w:rsidRPr="00014A7E">
        <w:rPr>
          <w:rFonts w:eastAsia="Calibri"/>
          <w:iCs/>
          <w:sz w:val="24"/>
          <w:szCs w:val="24"/>
          <w:lang w:val="en-US"/>
        </w:rPr>
        <w:t xml:space="preserve"> ‘</w:t>
      </w:r>
      <w:r>
        <w:rPr>
          <w:rFonts w:eastAsia="Calibri"/>
          <w:iCs/>
          <w:sz w:val="24"/>
          <w:szCs w:val="24"/>
          <w:lang w:val="en-US"/>
        </w:rPr>
        <w:t>Off</w:t>
      </w:r>
      <w:r w:rsidRPr="00014A7E">
        <w:rPr>
          <w:rFonts w:eastAsia="Calibri"/>
          <w:iCs/>
          <w:sz w:val="24"/>
          <w:szCs w:val="24"/>
          <w:lang w:val="en-US"/>
        </w:rPr>
        <w:t xml:space="preserve">’ </w:t>
      </w:r>
      <w:r>
        <w:rPr>
          <w:rFonts w:eastAsia="Calibri"/>
          <w:iCs/>
          <w:sz w:val="24"/>
          <w:szCs w:val="24"/>
          <w:lang w:val="en-US"/>
        </w:rPr>
        <w:t>events from blazar</w:t>
      </w:r>
      <w:r w:rsidRPr="00014A7E">
        <w:rPr>
          <w:rFonts w:eastAsia="Calibri"/>
          <w:iCs/>
          <w:sz w:val="24"/>
          <w:szCs w:val="24"/>
          <w:lang w:val="en-US"/>
        </w:rPr>
        <w:t xml:space="preserve"> </w:t>
      </w:r>
      <w:r>
        <w:rPr>
          <w:rFonts w:eastAsia="Calibri"/>
          <w:iCs/>
          <w:sz w:val="24"/>
          <w:szCs w:val="24"/>
        </w:rPr>
        <w:t>М</w:t>
      </w:r>
      <w:r>
        <w:rPr>
          <w:rFonts w:eastAsia="Calibri"/>
          <w:iCs/>
          <w:sz w:val="24"/>
          <w:szCs w:val="24"/>
          <w:lang w:val="en-US"/>
        </w:rPr>
        <w:t>rk</w:t>
      </w:r>
      <w:r w:rsidRPr="00014A7E">
        <w:rPr>
          <w:rFonts w:eastAsia="Calibri"/>
          <w:iCs/>
          <w:sz w:val="24"/>
          <w:szCs w:val="24"/>
          <w:lang w:val="en-US"/>
        </w:rPr>
        <w:t xml:space="preserve">421, </w:t>
      </w:r>
      <w:r>
        <w:rPr>
          <w:rFonts w:eastAsia="Calibri"/>
          <w:iCs/>
          <w:sz w:val="24"/>
          <w:szCs w:val="24"/>
        </w:rPr>
        <w:t>отобранных</w:t>
      </w:r>
      <w:r w:rsidRPr="00014A7E">
        <w:rPr>
          <w:rFonts w:eastAsia="Calibri"/>
          <w:iCs/>
          <w:sz w:val="24"/>
          <w:szCs w:val="24"/>
          <w:lang w:val="en-US"/>
        </w:rPr>
        <w:t xml:space="preserve"> </w:t>
      </w:r>
      <w:r w:rsidRPr="00014A7E">
        <w:rPr>
          <w:rFonts w:eastAsia="NotoSans-Regular"/>
          <w:sz w:val="24"/>
          <w:szCs w:val="24"/>
          <w:lang w:val="en-US" w:eastAsia="ru-RU"/>
        </w:rPr>
        <w:t>selected according to the following criteria</w:t>
      </w:r>
      <w:r w:rsidRPr="00014A7E">
        <w:rPr>
          <w:rFonts w:eastAsia="Calibri"/>
          <w:iCs/>
          <w:sz w:val="24"/>
          <w:szCs w:val="24"/>
          <w:lang w:val="en-US"/>
        </w:rPr>
        <w:t xml:space="preserve">: </w:t>
      </w:r>
      <w:r>
        <w:rPr>
          <w:rFonts w:eastAsia="Calibri"/>
          <w:iCs/>
          <w:sz w:val="24"/>
          <w:szCs w:val="24"/>
          <w:lang w:val="en-US"/>
        </w:rPr>
        <w:t>Size</w:t>
      </w:r>
      <w:r w:rsidRPr="00014A7E">
        <w:rPr>
          <w:rFonts w:eastAsia="Calibri"/>
          <w:iCs/>
          <w:sz w:val="24"/>
          <w:szCs w:val="24"/>
          <w:lang w:val="en-US"/>
        </w:rPr>
        <w:t xml:space="preserve">&gt;172 </w:t>
      </w:r>
      <w:r>
        <w:rPr>
          <w:rFonts w:eastAsia="Calibri"/>
          <w:iCs/>
          <w:sz w:val="24"/>
          <w:szCs w:val="24"/>
          <w:lang w:val="en-US"/>
        </w:rPr>
        <w:t>ph. e.</w:t>
      </w:r>
      <w:r w:rsidRPr="00014A7E">
        <w:rPr>
          <w:rFonts w:eastAsia="Calibri"/>
          <w:iCs/>
          <w:sz w:val="24"/>
          <w:szCs w:val="24"/>
          <w:lang w:val="en-US"/>
        </w:rPr>
        <w:t xml:space="preserve">; </w:t>
      </w:r>
      <w:r>
        <w:rPr>
          <w:rFonts w:eastAsia="Calibri"/>
          <w:iCs/>
          <w:sz w:val="24"/>
          <w:szCs w:val="24"/>
          <w:lang w:val="en-US"/>
        </w:rPr>
        <w:t>dist</w:t>
      </w:r>
      <w:r w:rsidRPr="00014A7E">
        <w:rPr>
          <w:rFonts w:eastAsia="Calibri"/>
          <w:iCs/>
          <w:sz w:val="24"/>
          <w:szCs w:val="24"/>
          <w:lang w:val="en-US"/>
        </w:rPr>
        <w:t>= 0.5</w:t>
      </w:r>
      <w:r>
        <w:rPr>
          <w:rFonts w:eastAsia="Calibri"/>
          <w:iCs/>
          <w:sz w:val="24"/>
          <w:szCs w:val="24"/>
          <w:vertAlign w:val="superscript"/>
          <w:lang w:val="en-US"/>
        </w:rPr>
        <w:t>o</w:t>
      </w:r>
      <w:r w:rsidRPr="00014A7E">
        <w:rPr>
          <w:rFonts w:eastAsia="Calibri"/>
          <w:iCs/>
          <w:sz w:val="24"/>
          <w:szCs w:val="24"/>
          <w:lang w:val="en-US"/>
        </w:rPr>
        <w:t xml:space="preserve"> -1.25</w:t>
      </w:r>
      <w:r>
        <w:rPr>
          <w:rFonts w:eastAsia="Calibri"/>
          <w:iCs/>
          <w:sz w:val="24"/>
          <w:szCs w:val="24"/>
          <w:vertAlign w:val="superscript"/>
          <w:lang w:val="en-US"/>
        </w:rPr>
        <w:t>o</w:t>
      </w:r>
      <w:r w:rsidRPr="00014A7E">
        <w:rPr>
          <w:rFonts w:eastAsia="Calibri"/>
          <w:iCs/>
          <w:sz w:val="24"/>
          <w:szCs w:val="24"/>
          <w:lang w:val="en-US"/>
        </w:rPr>
        <w:t>, 0.024</w:t>
      </w:r>
      <w:r>
        <w:rPr>
          <w:rFonts w:eastAsia="Calibri"/>
          <w:iCs/>
          <w:sz w:val="24"/>
          <w:szCs w:val="24"/>
          <w:vertAlign w:val="superscript"/>
          <w:lang w:val="en-US"/>
        </w:rPr>
        <w:t>o</w:t>
      </w:r>
      <w:r w:rsidRPr="00014A7E">
        <w:rPr>
          <w:rFonts w:eastAsia="Calibri"/>
          <w:iCs/>
          <w:sz w:val="24"/>
          <w:szCs w:val="24"/>
          <w:lang w:val="en-US"/>
        </w:rPr>
        <w:t>&lt;</w:t>
      </w:r>
      <w:r>
        <w:rPr>
          <w:rFonts w:eastAsia="Calibri"/>
          <w:iCs/>
          <w:sz w:val="24"/>
          <w:szCs w:val="24"/>
          <w:lang w:val="en-US"/>
        </w:rPr>
        <w:t>Width</w:t>
      </w:r>
      <w:r w:rsidRPr="00014A7E">
        <w:rPr>
          <w:rFonts w:eastAsia="Calibri"/>
          <w:iCs/>
          <w:sz w:val="24"/>
          <w:szCs w:val="24"/>
          <w:lang w:val="en-US"/>
        </w:rPr>
        <w:t>&lt;0.068</w:t>
      </w:r>
      <w:r>
        <w:rPr>
          <w:rFonts w:eastAsia="Calibri"/>
          <w:iCs/>
          <w:sz w:val="24"/>
          <w:szCs w:val="24"/>
          <w:vertAlign w:val="superscript"/>
          <w:lang w:val="en-US"/>
        </w:rPr>
        <w:t>o</w:t>
      </w:r>
      <w:r w:rsidRPr="00014A7E">
        <w:rPr>
          <w:rFonts w:eastAsia="Calibri"/>
          <w:iCs/>
          <w:sz w:val="24"/>
          <w:szCs w:val="24"/>
          <w:lang w:val="en-US"/>
        </w:rPr>
        <w:t xml:space="preserve">× </w:t>
      </w:r>
      <w:r>
        <w:rPr>
          <w:rFonts w:eastAsia="Calibri"/>
          <w:iCs/>
          <w:sz w:val="24"/>
          <w:szCs w:val="24"/>
          <w:lang w:val="en-US"/>
        </w:rPr>
        <w:t>lgSize</w:t>
      </w:r>
      <w:r w:rsidRPr="00014A7E">
        <w:rPr>
          <w:rFonts w:eastAsia="Calibri"/>
          <w:iCs/>
          <w:sz w:val="24"/>
          <w:szCs w:val="24"/>
          <w:lang w:val="en-US"/>
        </w:rPr>
        <w:t>-0.045</w:t>
      </w:r>
      <w:r>
        <w:rPr>
          <w:rFonts w:eastAsia="Calibri"/>
          <w:iCs/>
          <w:sz w:val="24"/>
          <w:szCs w:val="24"/>
          <w:vertAlign w:val="superscript"/>
          <w:lang w:val="en-US"/>
        </w:rPr>
        <w:t>o</w:t>
      </w:r>
      <w:r w:rsidRPr="00014A7E">
        <w:rPr>
          <w:rFonts w:eastAsia="Calibri"/>
          <w:iCs/>
          <w:sz w:val="24"/>
          <w:szCs w:val="24"/>
          <w:lang w:val="en-US"/>
        </w:rPr>
        <w:t xml:space="preserve">, </w:t>
      </w:r>
      <w:r>
        <w:rPr>
          <w:rFonts w:eastAsia="Calibri"/>
          <w:iCs/>
          <w:sz w:val="24"/>
          <w:szCs w:val="24"/>
          <w:lang w:val="en-US"/>
        </w:rPr>
        <w:t>Length</w:t>
      </w:r>
      <w:r w:rsidRPr="00014A7E">
        <w:rPr>
          <w:rFonts w:eastAsia="Calibri"/>
          <w:iCs/>
          <w:sz w:val="24"/>
          <w:szCs w:val="24"/>
          <w:lang w:val="en-US"/>
        </w:rPr>
        <w:t>&lt;0.31</w:t>
      </w:r>
      <w:r>
        <w:rPr>
          <w:rFonts w:eastAsia="Calibri"/>
          <w:iCs/>
          <w:sz w:val="24"/>
          <w:szCs w:val="24"/>
          <w:vertAlign w:val="superscript"/>
          <w:lang w:val="en-US"/>
        </w:rPr>
        <w:t>o</w:t>
      </w:r>
      <w:r w:rsidRPr="00014A7E">
        <w:rPr>
          <w:rFonts w:eastAsia="Calibri"/>
          <w:iCs/>
          <w:sz w:val="24"/>
          <w:szCs w:val="24"/>
          <w:lang w:val="en-US"/>
        </w:rPr>
        <w:t>,</w:t>
      </w:r>
      <w:r>
        <w:rPr>
          <w:rFonts w:eastAsia="Calibri"/>
          <w:iCs/>
          <w:sz w:val="24"/>
          <w:szCs w:val="24"/>
          <w:lang w:val="en-US"/>
        </w:rPr>
        <w:t>Con</w:t>
      </w:r>
      <w:r w:rsidRPr="00014A7E">
        <w:rPr>
          <w:rFonts w:eastAsia="Calibri"/>
          <w:iCs/>
          <w:sz w:val="24"/>
          <w:szCs w:val="24"/>
          <w:lang w:val="en-US"/>
        </w:rPr>
        <w:t xml:space="preserve">2&gt;0.44. </w:t>
      </w:r>
    </w:p>
    <w:p w:rsidR="00E249BC" w:rsidRPr="00014A7E" w:rsidRDefault="00E249BC" w:rsidP="00E249BC">
      <w:pPr>
        <w:ind w:firstLine="567"/>
        <w:jc w:val="both"/>
        <w:rPr>
          <w:rFonts w:eastAsia="Calibri"/>
          <w:sz w:val="24"/>
          <w:szCs w:val="24"/>
          <w:lang w:val="en-US"/>
        </w:rPr>
      </w:pPr>
    </w:p>
    <w:p w:rsidR="00E249BC" w:rsidRDefault="00E249BC" w:rsidP="00E249BC">
      <w:pPr>
        <w:ind w:firstLine="567"/>
        <w:jc w:val="both"/>
        <w:rPr>
          <w:rFonts w:eastAsia="SimSun"/>
          <w:sz w:val="24"/>
          <w:szCs w:val="24"/>
          <w:lang w:val="en-US"/>
        </w:rPr>
      </w:pPr>
      <w:r>
        <w:rPr>
          <w:rFonts w:eastAsia="Calibri"/>
          <w:sz w:val="24"/>
          <w:szCs w:val="24"/>
          <w:lang w:val="en-US"/>
        </w:rPr>
        <w:t>In</w:t>
      </w:r>
      <w:r w:rsidRPr="00014A7E">
        <w:rPr>
          <w:rFonts w:eastAsia="Calibri"/>
          <w:sz w:val="24"/>
          <w:szCs w:val="24"/>
          <w:lang w:val="en-US"/>
        </w:rPr>
        <w:t xml:space="preserve"> </w:t>
      </w:r>
      <w:r>
        <w:rPr>
          <w:rFonts w:eastAsia="Calibri"/>
          <w:sz w:val="24"/>
          <w:szCs w:val="24"/>
          <w:lang w:val="en-US"/>
        </w:rPr>
        <w:t>the</w:t>
      </w:r>
      <w:r w:rsidRPr="00014A7E">
        <w:rPr>
          <w:rFonts w:eastAsia="Calibri"/>
          <w:sz w:val="24"/>
          <w:szCs w:val="24"/>
          <w:lang w:val="en-US"/>
        </w:rPr>
        <w:t xml:space="preserve"> </w:t>
      </w:r>
      <w:r>
        <w:rPr>
          <w:rFonts w:eastAsia="Calibri"/>
          <w:sz w:val="24"/>
          <w:szCs w:val="24"/>
          <w:lang w:val="en-US"/>
        </w:rPr>
        <w:t>region</w:t>
      </w:r>
      <w:r w:rsidRPr="00014A7E">
        <w:rPr>
          <w:rFonts w:eastAsia="Calibri"/>
          <w:sz w:val="24"/>
          <w:szCs w:val="24"/>
          <w:lang w:val="en-US"/>
        </w:rPr>
        <w:t xml:space="preserve"> </w:t>
      </w:r>
      <w:r>
        <w:rPr>
          <w:rFonts w:eastAsia="Calibri"/>
          <w:sz w:val="24"/>
          <w:szCs w:val="24"/>
          <w:lang w:val="en-US"/>
        </w:rPr>
        <w:t>α</w:t>
      </w:r>
      <w:r w:rsidRPr="00014A7E">
        <w:rPr>
          <w:rFonts w:eastAsia="Calibri"/>
          <w:sz w:val="24"/>
          <w:szCs w:val="24"/>
          <w:lang w:val="en-US"/>
        </w:rPr>
        <w:t xml:space="preserve">&lt;10, </w:t>
      </w:r>
      <w:r>
        <w:rPr>
          <w:rFonts w:eastAsia="Calibri"/>
          <w:sz w:val="24"/>
          <w:szCs w:val="24"/>
          <w:lang w:val="en-US"/>
        </w:rPr>
        <w:t>37 showers with a significance of</w:t>
      </w:r>
      <w:r w:rsidRPr="00014A7E">
        <w:rPr>
          <w:rFonts w:eastAsia="Calibri"/>
          <w:sz w:val="24"/>
          <w:szCs w:val="24"/>
          <w:lang w:val="en-US"/>
        </w:rPr>
        <w:t xml:space="preserve"> 5</w:t>
      </w:r>
      <w:r w:rsidRPr="00014A7E">
        <w:rPr>
          <w:rFonts w:eastAsia="SimSun"/>
          <w:sz w:val="24"/>
          <w:szCs w:val="24"/>
          <w:lang w:val="en-US"/>
        </w:rPr>
        <w:t>.77</w:t>
      </w:r>
      <w:r>
        <w:rPr>
          <w:rFonts w:eastAsia="SimSun"/>
          <w:sz w:val="24"/>
          <w:szCs w:val="24"/>
        </w:rPr>
        <w:t>σ</w:t>
      </w:r>
      <w:r>
        <w:rPr>
          <w:rFonts w:eastAsia="SimSun"/>
          <w:sz w:val="24"/>
          <w:szCs w:val="24"/>
          <w:lang w:val="en-US"/>
        </w:rPr>
        <w:t xml:space="preserve"> were registered</w:t>
      </w:r>
      <w:r w:rsidRPr="00014A7E">
        <w:rPr>
          <w:rFonts w:eastAsia="SimSun"/>
          <w:sz w:val="24"/>
          <w:szCs w:val="24"/>
          <w:lang w:val="en-US"/>
        </w:rPr>
        <w:t xml:space="preserve">, </w:t>
      </w:r>
      <w:r>
        <w:rPr>
          <w:rFonts w:eastAsia="SimSun"/>
          <w:sz w:val="24"/>
          <w:szCs w:val="24"/>
          <w:lang w:val="en-US"/>
        </w:rPr>
        <w:t xml:space="preserve">and in the region </w:t>
      </w:r>
      <w:r>
        <w:rPr>
          <w:rFonts w:eastAsia="Calibri"/>
          <w:sz w:val="24"/>
          <w:szCs w:val="24"/>
          <w:lang w:val="en-US"/>
        </w:rPr>
        <w:t>α</w:t>
      </w:r>
      <w:r w:rsidRPr="00014A7E">
        <w:rPr>
          <w:rFonts w:eastAsia="SimSun"/>
          <w:sz w:val="24"/>
          <w:szCs w:val="24"/>
          <w:lang w:val="en-US"/>
        </w:rPr>
        <w:t>&lt;6</w:t>
      </w:r>
      <w:r>
        <w:rPr>
          <w:rFonts w:eastAsia="SimSun"/>
          <w:sz w:val="24"/>
          <w:szCs w:val="24"/>
          <w:vertAlign w:val="superscript"/>
          <w:lang w:val="en-US"/>
        </w:rPr>
        <w:t>o</w:t>
      </w:r>
      <w:r>
        <w:rPr>
          <w:rFonts w:eastAsia="SimSun"/>
          <w:sz w:val="24"/>
          <w:szCs w:val="24"/>
          <w:lang w:val="en-US"/>
        </w:rPr>
        <w:t>Exc</w:t>
      </w:r>
      <w:r w:rsidRPr="00014A7E">
        <w:rPr>
          <w:rFonts w:eastAsia="SimSun"/>
          <w:sz w:val="24"/>
          <w:szCs w:val="24"/>
          <w:lang w:val="en-US"/>
        </w:rPr>
        <w:t xml:space="preserve">=141 </w:t>
      </w:r>
      <w:r>
        <w:rPr>
          <w:rFonts w:eastAsia="SimSun"/>
          <w:sz w:val="24"/>
          <w:szCs w:val="24"/>
          <w:lang w:val="en-US"/>
        </w:rPr>
        <w:t>events with a significance of about</w:t>
      </w:r>
      <w:r w:rsidRPr="00014A7E">
        <w:rPr>
          <w:rFonts w:eastAsia="SimSun"/>
          <w:sz w:val="24"/>
          <w:szCs w:val="24"/>
          <w:lang w:val="en-US"/>
        </w:rPr>
        <w:t xml:space="preserve"> 5</w:t>
      </w:r>
      <w:r>
        <w:rPr>
          <w:rFonts w:eastAsia="SimSun"/>
          <w:sz w:val="24"/>
          <w:szCs w:val="24"/>
        </w:rPr>
        <w:t>σ</w:t>
      </w:r>
      <w:r w:rsidRPr="00014A7E">
        <w:rPr>
          <w:rFonts w:eastAsia="SimSun"/>
          <w:sz w:val="24"/>
          <w:szCs w:val="24"/>
          <w:lang w:val="en-US"/>
        </w:rPr>
        <w:t xml:space="preserve">, </w:t>
      </w:r>
      <w:r>
        <w:rPr>
          <w:rFonts w:eastAsia="SimSun"/>
          <w:sz w:val="24"/>
          <w:szCs w:val="24"/>
          <w:lang w:val="en-US"/>
        </w:rPr>
        <w:t>at a threshold energy of about</w:t>
      </w:r>
      <w:r w:rsidRPr="00014A7E">
        <w:rPr>
          <w:rFonts w:eastAsia="SimSun"/>
          <w:sz w:val="24"/>
          <w:szCs w:val="24"/>
          <w:lang w:val="en-US"/>
        </w:rPr>
        <w:t xml:space="preserve"> 3 </w:t>
      </w:r>
      <w:r>
        <w:rPr>
          <w:rFonts w:eastAsia="SimSun"/>
          <w:sz w:val="24"/>
          <w:szCs w:val="24"/>
          <w:lang w:val="en-US"/>
        </w:rPr>
        <w:t>TeV</w:t>
      </w:r>
      <w:r w:rsidRPr="00014A7E">
        <w:rPr>
          <w:rFonts w:eastAsia="SimSun"/>
          <w:sz w:val="24"/>
          <w:szCs w:val="24"/>
          <w:lang w:val="en-US"/>
        </w:rPr>
        <w:t xml:space="preserve">. </w:t>
      </w:r>
      <w:r>
        <w:rPr>
          <w:rFonts w:eastAsia="SimSun"/>
          <w:sz w:val="24"/>
          <w:szCs w:val="24"/>
          <w:lang w:val="en-US"/>
        </w:rPr>
        <w:t>The observation was carried out according to the IACT01 work.</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SimSun"/>
          <w:sz w:val="24"/>
          <w:szCs w:val="24"/>
          <w:lang w:val="en-US"/>
        </w:rPr>
        <w:tab/>
      </w:r>
      <w:r w:rsidRPr="00014A7E">
        <w:rPr>
          <w:rFonts w:eastAsia="NotoSans-Regular"/>
          <w:sz w:val="24"/>
          <w:szCs w:val="24"/>
          <w:lang w:val="en-US" w:eastAsia="ru-RU"/>
        </w:rPr>
        <w:t>The Blazar Mrk 501 is located at a distance from the Earth with a redshift of z=0.034. To</w:t>
      </w:r>
      <w:r>
        <w:rPr>
          <w:rFonts w:eastAsia="NotoSans-Regular"/>
          <w:sz w:val="24"/>
          <w:szCs w:val="24"/>
          <w:lang w:val="en-US" w:eastAsia="ru-RU"/>
        </w:rPr>
        <w:t xml:space="preserve"> </w:t>
      </w:r>
      <w:r w:rsidRPr="00014A7E">
        <w:rPr>
          <w:rFonts w:eastAsia="NotoSans-Regular"/>
          <w:sz w:val="24"/>
          <w:szCs w:val="24"/>
          <w:lang w:val="en-US" w:eastAsia="ru-RU"/>
        </w:rPr>
        <w:t>date, the data for 2019-2020 from March to May have been processed and analyzed. The</w:t>
      </w:r>
      <w:r>
        <w:rPr>
          <w:rFonts w:eastAsia="NotoSans-Regular"/>
          <w:sz w:val="24"/>
          <w:szCs w:val="24"/>
          <w:lang w:val="en-US" w:eastAsia="ru-RU"/>
        </w:rPr>
        <w:t xml:space="preserve"> </w:t>
      </w:r>
      <w:r w:rsidRPr="00014A7E">
        <w:rPr>
          <w:rFonts w:eastAsia="NotoSans-Regular"/>
          <w:sz w:val="24"/>
          <w:szCs w:val="24"/>
          <w:lang w:val="en-US" w:eastAsia="ru-RU"/>
        </w:rPr>
        <w:t>total observation time during this period was</w:t>
      </w:r>
      <w:r>
        <w:rPr>
          <w:rFonts w:eastAsia="NotoSansMath-Regular"/>
          <w:sz w:val="24"/>
          <w:szCs w:val="24"/>
          <w:lang w:val="en-US" w:eastAsia="ru-RU"/>
        </w:rPr>
        <w:t xml:space="preserve"> ~ </w:t>
      </w:r>
      <w:r w:rsidRPr="00014A7E">
        <w:rPr>
          <w:rFonts w:eastAsia="NotoSans-Regular"/>
          <w:sz w:val="24"/>
          <w:szCs w:val="24"/>
          <w:lang w:val="en-US" w:eastAsia="ru-RU"/>
        </w:rPr>
        <w:t>27 hours. To identify gamma-like showers, we</w:t>
      </w:r>
      <w:r>
        <w:rPr>
          <w:rFonts w:eastAsia="NotoSans-Regular"/>
          <w:sz w:val="24"/>
          <w:szCs w:val="24"/>
          <w:lang w:val="en-US" w:eastAsia="ru-RU"/>
        </w:rPr>
        <w:t xml:space="preserve"> </w:t>
      </w:r>
      <w:r w:rsidRPr="00014A7E">
        <w:rPr>
          <w:rFonts w:eastAsia="NotoSans-Regular"/>
          <w:sz w:val="24"/>
          <w:szCs w:val="24"/>
          <w:lang w:val="en-US" w:eastAsia="ru-RU"/>
        </w:rPr>
        <w:t>used an approach tested on the registration of radiation from the Crab Nebula. The excess</w:t>
      </w:r>
      <w:r>
        <w:rPr>
          <w:rFonts w:eastAsia="NotoSans-Regular"/>
          <w:sz w:val="24"/>
          <w:szCs w:val="24"/>
          <w:lang w:val="en-US" w:eastAsia="ru-RU"/>
        </w:rPr>
        <w:t xml:space="preserve"> </w:t>
      </w:r>
      <w:r w:rsidRPr="00014A7E">
        <w:rPr>
          <w:rFonts w:eastAsia="NotoSans-Regular"/>
          <w:sz w:val="24"/>
          <w:szCs w:val="24"/>
          <w:lang w:val="en-US" w:eastAsia="ru-RU"/>
        </w:rPr>
        <w:t>is about 30 events. But the significance is not high - about 2.5 sigma.</w:t>
      </w:r>
    </w:p>
    <w:p w:rsidR="00E249BC" w:rsidRPr="00014A7E" w:rsidRDefault="00E249BC" w:rsidP="00E249BC">
      <w:pPr>
        <w:suppressAutoHyphens w:val="0"/>
        <w:autoSpaceDE w:val="0"/>
        <w:autoSpaceDN w:val="0"/>
        <w:adjustRightInd w:val="0"/>
        <w:spacing w:line="276" w:lineRule="auto"/>
        <w:jc w:val="both"/>
        <w:rPr>
          <w:rFonts w:eastAsia="NotoSans-Regular"/>
          <w:sz w:val="24"/>
          <w:szCs w:val="24"/>
          <w:lang w:val="en-US" w:eastAsia="ru-RU"/>
        </w:rPr>
      </w:pPr>
    </w:p>
    <w:p w:rsidR="00E249BC" w:rsidRPr="00014A7E" w:rsidRDefault="00E249BC" w:rsidP="00E249BC">
      <w:pPr>
        <w:pStyle w:val="Heading3"/>
        <w:spacing w:line="276" w:lineRule="auto"/>
        <w:rPr>
          <w:lang w:val="en-US"/>
        </w:rPr>
      </w:pPr>
      <w:r>
        <w:rPr>
          <w:lang w:val="en-US"/>
        </w:rPr>
        <w:t>Pulsar Dragonfly Nebula</w:t>
      </w:r>
    </w:p>
    <w:p w:rsidR="00E249BC" w:rsidRDefault="00E249BC" w:rsidP="00E249BC">
      <w:pPr>
        <w:suppressAutoHyphens w:val="0"/>
        <w:autoSpaceDE w:val="0"/>
        <w:autoSpaceDN w:val="0"/>
        <w:adjustRightInd w:val="0"/>
        <w:spacing w:line="276" w:lineRule="auto"/>
        <w:jc w:val="both"/>
        <w:rPr>
          <w:lang w:val="en-US"/>
        </w:rPr>
      </w:pPr>
      <w:bookmarkStart w:id="4" w:name="_Toc131525068"/>
      <w:r>
        <w:rPr>
          <w:rFonts w:eastAsia="NotoSans-Regular"/>
          <w:sz w:val="24"/>
          <w:szCs w:val="24"/>
          <w:lang w:val="en-US" w:eastAsia="ru-RU"/>
        </w:rPr>
        <w:tab/>
      </w:r>
      <w:r w:rsidRPr="00014A7E">
        <w:rPr>
          <w:rFonts w:eastAsia="NotoSans-Regular"/>
          <w:sz w:val="24"/>
          <w:szCs w:val="24"/>
          <w:lang w:val="en-US" w:eastAsia="ru-RU"/>
        </w:rPr>
        <w:t>This is a pulsar nebula in the region of the well-known constellation Cygnus, in which the</w:t>
      </w:r>
      <w:r>
        <w:rPr>
          <w:rFonts w:eastAsia="NotoSans-Regular"/>
          <w:sz w:val="24"/>
          <w:szCs w:val="24"/>
          <w:lang w:val="en-US" w:eastAsia="ru-RU"/>
        </w:rPr>
        <w:t xml:space="preserve"> </w:t>
      </w:r>
      <w:r w:rsidRPr="00014A7E">
        <w:rPr>
          <w:rFonts w:eastAsia="NotoSans-Regular"/>
          <w:sz w:val="24"/>
          <w:szCs w:val="24"/>
          <w:lang w:val="en-US" w:eastAsia="ru-RU"/>
        </w:rPr>
        <w:t>process of star formation is underway. The nebula was created and is fueled by the rotational energy</w:t>
      </w:r>
      <w:r>
        <w:rPr>
          <w:rFonts w:eastAsia="NotoSans-Regular"/>
          <w:sz w:val="24"/>
          <w:szCs w:val="24"/>
          <w:lang w:val="en-US" w:eastAsia="ru-RU"/>
        </w:rPr>
        <w:t xml:space="preserve"> of </w:t>
      </w:r>
      <w:r w:rsidRPr="00014A7E">
        <w:rPr>
          <w:rFonts w:eastAsia="NotoSans-Regular"/>
          <w:sz w:val="24"/>
          <w:szCs w:val="24"/>
          <w:lang w:val="en-US" w:eastAsia="ru-RU"/>
        </w:rPr>
        <w:t>the pulsar PSR J2021+3651. It is characterized by high-energy TeV radiation, previously detected</w:t>
      </w:r>
      <w:r>
        <w:rPr>
          <w:rFonts w:eastAsia="NotoSans-Regular"/>
          <w:sz w:val="24"/>
          <w:szCs w:val="24"/>
          <w:lang w:val="en-US" w:eastAsia="ru-RU"/>
        </w:rPr>
        <w:t xml:space="preserve"> </w:t>
      </w:r>
      <w:r w:rsidRPr="00014A7E">
        <w:rPr>
          <w:rFonts w:eastAsia="NotoSans-Regular"/>
          <w:sz w:val="24"/>
          <w:szCs w:val="24"/>
          <w:lang w:val="en-US" w:eastAsia="ru-RU"/>
        </w:rPr>
        <w:t>by VERITAS and HAWC: in the 10 TeV region, the radiation intensity is comparable to the Crab</w:t>
      </w:r>
      <w:r>
        <w:rPr>
          <w:rFonts w:eastAsia="NotoSans-Regular"/>
          <w:sz w:val="24"/>
          <w:szCs w:val="24"/>
          <w:lang w:val="en-US" w:eastAsia="ru-RU"/>
        </w:rPr>
        <w:t xml:space="preserve"> </w:t>
      </w:r>
      <w:r w:rsidRPr="00014A7E">
        <w:rPr>
          <w:rFonts w:eastAsia="NotoSans-Regular"/>
          <w:sz w:val="24"/>
          <w:szCs w:val="24"/>
          <w:lang w:val="en-US" w:eastAsia="ru-RU"/>
        </w:rPr>
        <w:t>radiation, but decreases exponentially at energies above 37 TeV, although events in the 100 TeV</w:t>
      </w:r>
      <w:r>
        <w:rPr>
          <w:rFonts w:eastAsia="NotoSans-Regular"/>
          <w:sz w:val="24"/>
          <w:szCs w:val="24"/>
          <w:lang w:val="en-US" w:eastAsia="ru-RU"/>
        </w:rPr>
        <w:t xml:space="preserve"> </w:t>
      </w:r>
      <w:r w:rsidRPr="00014A7E">
        <w:rPr>
          <w:rFonts w:eastAsia="NotoSans-Regular"/>
          <w:sz w:val="24"/>
          <w:szCs w:val="24"/>
          <w:lang w:val="en-US" w:eastAsia="ru-RU"/>
        </w:rPr>
        <w:t>region are also observed. Therefore, this source is considered as one of the most promising. The</w:t>
      </w:r>
      <w:r>
        <w:rPr>
          <w:rFonts w:eastAsia="NotoSans-Regular"/>
          <w:sz w:val="24"/>
          <w:szCs w:val="24"/>
          <w:lang w:val="en-US" w:eastAsia="ru-RU"/>
        </w:rPr>
        <w:t xml:space="preserve"> </w:t>
      </w:r>
      <w:r w:rsidRPr="00014A7E">
        <w:rPr>
          <w:rFonts w:eastAsia="NotoSans-Regular"/>
          <w:sz w:val="24"/>
          <w:szCs w:val="24"/>
          <w:lang w:val="en-US" w:eastAsia="ru-RU"/>
        </w:rPr>
        <w:t>processing of the data from this source was carried out in stereo mode. Total observation hours 40.</w:t>
      </w:r>
      <w:r>
        <w:rPr>
          <w:rFonts w:eastAsia="NotoSans-Regular"/>
          <w:sz w:val="24"/>
          <w:szCs w:val="24"/>
          <w:lang w:val="en-US" w:eastAsia="ru-RU"/>
        </w:rPr>
        <w:t xml:space="preserve"> </w:t>
      </w:r>
      <w:r w:rsidRPr="00014A7E">
        <w:rPr>
          <w:rFonts w:eastAsia="NotoSans-Regular"/>
          <w:sz w:val="24"/>
          <w:szCs w:val="24"/>
          <w:lang w:val="en-US" w:eastAsia="ru-RU"/>
        </w:rPr>
        <w:t>In total, 144 ON-events and 100 OFF-events were registered for two samples with different angles,</w:t>
      </w:r>
      <w:r>
        <w:rPr>
          <w:rFonts w:eastAsia="NotoSans-Regular"/>
          <w:sz w:val="24"/>
          <w:szCs w:val="24"/>
          <w:lang w:val="en-US" w:eastAsia="ru-RU"/>
        </w:rPr>
        <w:t xml:space="preserve"> </w:t>
      </w:r>
      <w:r w:rsidRPr="00014A7E">
        <w:rPr>
          <w:rFonts w:eastAsia="NotoSans-Regular"/>
          <w:sz w:val="24"/>
          <w:szCs w:val="24"/>
          <w:lang w:val="en-US" w:eastAsia="ru-RU"/>
        </w:rPr>
        <w:t>the excess was 44 events, and taking into account the choice of 5 background points, this</w:t>
      </w:r>
      <w:r>
        <w:rPr>
          <w:rFonts w:eastAsia="NotoSans-Regular"/>
          <w:sz w:val="24"/>
          <w:szCs w:val="24"/>
          <w:lang w:val="en-US" w:eastAsia="ru-RU"/>
        </w:rPr>
        <w:t xml:space="preserve"> </w:t>
      </w:r>
      <w:r w:rsidRPr="00014A7E">
        <w:rPr>
          <w:rFonts w:eastAsia="NotoSans-Regular"/>
          <w:sz w:val="24"/>
          <w:szCs w:val="24"/>
          <w:lang w:val="en-US" w:eastAsia="ru-RU"/>
        </w:rPr>
        <w:t>corresponds to a significance of 3.37sigma.</w:t>
      </w:r>
      <w:bookmarkEnd w:id="4"/>
    </w:p>
    <w:p w:rsidR="00E249BC" w:rsidRDefault="00E249BC" w:rsidP="00E249BC">
      <w:pPr>
        <w:suppressAutoHyphens w:val="0"/>
        <w:autoSpaceDE w:val="0"/>
        <w:autoSpaceDN w:val="0"/>
        <w:adjustRightInd w:val="0"/>
        <w:spacing w:line="276" w:lineRule="auto"/>
        <w:jc w:val="both"/>
        <w:rPr>
          <w:lang w:val="en-US"/>
        </w:rPr>
      </w:pPr>
    </w:p>
    <w:p w:rsidR="00E249BC" w:rsidRDefault="00E249BC" w:rsidP="00E249BC">
      <w:pPr>
        <w:suppressAutoHyphens w:val="0"/>
        <w:autoSpaceDE w:val="0"/>
        <w:autoSpaceDN w:val="0"/>
        <w:adjustRightInd w:val="0"/>
        <w:spacing w:line="276" w:lineRule="auto"/>
        <w:jc w:val="both"/>
        <w:rPr>
          <w:b/>
          <w:sz w:val="24"/>
          <w:szCs w:val="24"/>
          <w:lang w:val="en-US"/>
        </w:rPr>
      </w:pPr>
      <w:r>
        <w:rPr>
          <w:b/>
          <w:sz w:val="24"/>
          <w:szCs w:val="24"/>
          <w:lang w:val="en-US"/>
        </w:rPr>
        <w:t>Search for high-energy gamma-rays from the Boomerang source</w:t>
      </w:r>
    </w:p>
    <w:p w:rsidR="00E249BC" w:rsidRPr="00014A7E"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014A7E">
        <w:rPr>
          <w:rFonts w:eastAsia="NotoSans-Regular"/>
          <w:sz w:val="24"/>
          <w:szCs w:val="24"/>
          <w:lang w:val="en-US" w:eastAsia="ru-RU"/>
        </w:rPr>
        <w:t>During the 3 observation seasons of</w:t>
      </w:r>
      <w:r>
        <w:rPr>
          <w:rFonts w:eastAsia="NotoSans-Regular"/>
          <w:sz w:val="24"/>
          <w:szCs w:val="24"/>
          <w:lang w:val="en-US" w:eastAsia="ru-RU"/>
        </w:rPr>
        <w:t xml:space="preserve"> </w:t>
      </w:r>
      <w:r w:rsidRPr="00014A7E">
        <w:rPr>
          <w:rFonts w:eastAsia="NotoSans-Regular"/>
          <w:sz w:val="24"/>
          <w:szCs w:val="24"/>
          <w:lang w:val="en-US" w:eastAsia="ru-RU"/>
        </w:rPr>
        <w:t xml:space="preserve"> 2019-2022, about 140 hours of observation of the</w:t>
      </w:r>
      <w:r>
        <w:rPr>
          <w:rFonts w:eastAsia="NotoSans-Regular"/>
          <w:sz w:val="24"/>
          <w:szCs w:val="24"/>
          <w:lang w:val="en-US" w:eastAsia="ru-RU"/>
        </w:rPr>
        <w:t xml:space="preserve"> source </w:t>
      </w:r>
      <w:r w:rsidRPr="00014A7E">
        <w:rPr>
          <w:rFonts w:eastAsia="NotoSans-Regular"/>
          <w:sz w:val="24"/>
          <w:szCs w:val="24"/>
          <w:lang w:val="en-US" w:eastAsia="ru-RU"/>
        </w:rPr>
        <w:t>for IACT01 and about 100 hours for IACT02 were collected. From an astrophysical</w:t>
      </w:r>
      <w:r>
        <w:rPr>
          <w:rFonts w:eastAsia="NotoSans-Regular"/>
          <w:sz w:val="24"/>
          <w:szCs w:val="24"/>
          <w:lang w:val="en-US" w:eastAsia="ru-RU"/>
        </w:rPr>
        <w:t xml:space="preserve"> </w:t>
      </w:r>
      <w:r w:rsidRPr="00014A7E">
        <w:rPr>
          <w:rFonts w:eastAsia="NotoSans-Regular"/>
          <w:sz w:val="24"/>
          <w:szCs w:val="24"/>
          <w:lang w:val="en-US" w:eastAsia="ru-RU"/>
        </w:rPr>
        <w:t>point of view, this is a very interesting source. The pulsar nebula associated with pulsar</w:t>
      </w:r>
      <w:r>
        <w:rPr>
          <w:rFonts w:eastAsia="NotoSans-Regular"/>
          <w:sz w:val="24"/>
          <w:szCs w:val="24"/>
          <w:lang w:val="en-US" w:eastAsia="ru-RU"/>
        </w:rPr>
        <w:t xml:space="preserve"> </w:t>
      </w:r>
      <w:r w:rsidRPr="00014A7E">
        <w:rPr>
          <w:rFonts w:eastAsia="NotoSans-Regular"/>
          <w:sz w:val="24"/>
          <w:szCs w:val="24"/>
          <w:lang w:val="en-US" w:eastAsia="ru-RU"/>
        </w:rPr>
        <w:t>J2229+6114 and the supernova remnant (SNR) G106.3+2.7 are thought to be the result of</w:t>
      </w:r>
      <w:r>
        <w:rPr>
          <w:rFonts w:eastAsia="NotoSans-Regular"/>
          <w:sz w:val="24"/>
          <w:szCs w:val="24"/>
          <w:lang w:val="en-US" w:eastAsia="ru-RU"/>
        </w:rPr>
        <w:t xml:space="preserve"> </w:t>
      </w:r>
      <w:r w:rsidRPr="00014A7E">
        <w:rPr>
          <w:rFonts w:eastAsia="NotoSans-Regular"/>
          <w:sz w:val="24"/>
          <w:szCs w:val="24"/>
          <w:lang w:val="en-US" w:eastAsia="ru-RU"/>
        </w:rPr>
        <w:t>the same supernova explosion, since the whole structure is located on the edge of a bubble</w:t>
      </w:r>
      <w:r>
        <w:rPr>
          <w:rFonts w:eastAsia="NotoSans-Regular"/>
          <w:sz w:val="24"/>
          <w:szCs w:val="24"/>
          <w:lang w:val="en-US" w:eastAsia="ru-RU"/>
        </w:rPr>
        <w:t xml:space="preserve"> </w:t>
      </w:r>
      <w:r w:rsidRPr="00014A7E">
        <w:rPr>
          <w:rFonts w:eastAsia="NotoSans-Regular"/>
          <w:sz w:val="24"/>
          <w:szCs w:val="24"/>
          <w:lang w:val="en-US" w:eastAsia="ru-RU"/>
        </w:rPr>
        <w:t xml:space="preserve">with extended regions of molecular gas inside and </w:t>
      </w:r>
      <w:r w:rsidRPr="00014A7E">
        <w:rPr>
          <w:rFonts w:eastAsia="NotoSans-Regular"/>
          <w:sz w:val="24"/>
          <w:szCs w:val="24"/>
          <w:lang w:val="en-US" w:eastAsia="ru-RU"/>
        </w:rPr>
        <w:lastRenderedPageBreak/>
        <w:t>about 800 ps, and the supernova</w:t>
      </w:r>
      <w:r>
        <w:rPr>
          <w:rFonts w:eastAsia="NotoSans-Regular"/>
          <w:sz w:val="24"/>
          <w:szCs w:val="24"/>
          <w:lang w:val="en-US" w:eastAsia="ru-RU"/>
        </w:rPr>
        <w:t xml:space="preserve"> </w:t>
      </w:r>
      <w:r w:rsidRPr="00014A7E">
        <w:rPr>
          <w:rFonts w:eastAsia="NotoSans-Regular"/>
          <w:sz w:val="24"/>
          <w:szCs w:val="24"/>
          <w:lang w:val="en-US" w:eastAsia="ru-RU"/>
        </w:rPr>
        <w:t>explosion occurred in the region of active star formation. From an experimental point of</w:t>
      </w:r>
      <w:r>
        <w:rPr>
          <w:rFonts w:eastAsia="NotoSans-Regular"/>
          <w:sz w:val="24"/>
          <w:szCs w:val="24"/>
          <w:lang w:val="en-US" w:eastAsia="ru-RU"/>
        </w:rPr>
        <w:t xml:space="preserve"> </w:t>
      </w:r>
      <w:r w:rsidRPr="00014A7E">
        <w:rPr>
          <w:rFonts w:eastAsia="NotoSans-Regular"/>
          <w:sz w:val="24"/>
          <w:szCs w:val="24"/>
          <w:lang w:val="en-US" w:eastAsia="ru-RU"/>
        </w:rPr>
        <w:t>view, its spectrum, measured in the Milagro and HAWC experiments, is of interest; the</w:t>
      </w:r>
      <w:r>
        <w:rPr>
          <w:rFonts w:eastAsia="NotoSans-Regular"/>
          <w:sz w:val="24"/>
          <w:szCs w:val="24"/>
          <w:lang w:val="en-US" w:eastAsia="ru-RU"/>
        </w:rPr>
        <w:t xml:space="preserve"> </w:t>
      </w:r>
      <w:r w:rsidRPr="00014A7E">
        <w:rPr>
          <w:rFonts w:eastAsia="NotoSans-Regular"/>
          <w:sz w:val="24"/>
          <w:szCs w:val="24"/>
          <w:lang w:val="en-US" w:eastAsia="ru-RU"/>
        </w:rPr>
        <w:t>measured intensity in the region of 100 TeV is comparable to the intensity from the Crab</w:t>
      </w:r>
      <w:r>
        <w:rPr>
          <w:rFonts w:eastAsia="NotoSans-Regular"/>
          <w:sz w:val="24"/>
          <w:szCs w:val="24"/>
          <w:lang w:val="en-US" w:eastAsia="ru-RU"/>
        </w:rPr>
        <w:t xml:space="preserve"> </w:t>
      </w:r>
      <w:r w:rsidRPr="00014A7E">
        <w:rPr>
          <w:rFonts w:eastAsia="NotoSans-Regular"/>
          <w:sz w:val="24"/>
          <w:szCs w:val="24"/>
          <w:lang w:val="en-US" w:eastAsia="ru-RU"/>
        </w:rPr>
        <w:t>Nebula. However, in the region of about 5-10 TeV it is an order of magnitude lower.</w:t>
      </w:r>
    </w:p>
    <w:p w:rsidR="00E249BC" w:rsidRPr="00014A7E" w:rsidRDefault="00E249BC" w:rsidP="00E249BC">
      <w:pPr>
        <w:suppressAutoHyphens w:val="0"/>
        <w:autoSpaceDE w:val="0"/>
        <w:autoSpaceDN w:val="0"/>
        <w:adjustRightInd w:val="0"/>
        <w:spacing w:line="276" w:lineRule="auto"/>
        <w:jc w:val="both"/>
        <w:rPr>
          <w:lang w:val="en-US"/>
        </w:rPr>
      </w:pPr>
    </w:p>
    <w:p w:rsidR="00E249BC" w:rsidRDefault="00E249BC" w:rsidP="00E249BC">
      <w:pPr>
        <w:pStyle w:val="Heading3"/>
        <w:rPr>
          <w:lang w:val="en-US"/>
        </w:rPr>
      </w:pPr>
      <w:r>
        <w:rPr>
          <w:lang w:val="en-US"/>
        </w:rPr>
        <w:t>Monte-Carlo calculations of the telescope response and their experimental calibration</w:t>
      </w:r>
    </w:p>
    <w:p w:rsidR="00E249BC" w:rsidRDefault="00E249BC" w:rsidP="00E249BC">
      <w:pPr>
        <w:suppressAutoHyphens w:val="0"/>
        <w:autoSpaceDE w:val="0"/>
        <w:autoSpaceDN w:val="0"/>
        <w:adjustRightInd w:val="0"/>
        <w:spacing w:line="276" w:lineRule="auto"/>
        <w:jc w:val="both"/>
        <w:rPr>
          <w:rFonts w:eastAsia="NotoSans-Regular"/>
          <w:color w:val="000000"/>
          <w:sz w:val="24"/>
          <w:szCs w:val="24"/>
          <w:lang w:val="en-US" w:eastAsia="ru-RU"/>
        </w:rPr>
      </w:pPr>
      <w:r>
        <w:rPr>
          <w:rFonts w:eastAsia="NotoSans-Regular"/>
          <w:color w:val="000000"/>
          <w:sz w:val="24"/>
          <w:szCs w:val="24"/>
          <w:lang w:val="en-US" w:eastAsia="ru-RU"/>
        </w:rPr>
        <w:tab/>
      </w:r>
      <w:r w:rsidRPr="00014A7E">
        <w:rPr>
          <w:rFonts w:eastAsia="NotoSans-Regular"/>
          <w:color w:val="000000"/>
          <w:sz w:val="24"/>
          <w:szCs w:val="24"/>
          <w:lang w:val="en-US" w:eastAsia="ru-RU"/>
        </w:rPr>
        <w:t>In the TAIGA experiment, EAS modeling is performed using the CORSIKA version 7.35 package</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with the QGSJET-II-04 model for high-energy interactions and GHEISHA-2002d for low-energy</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interactions. Details and references can be found in reference [16]. A set of image parameters was</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determined that made it possible to most effectively suppress the background and register gamma</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quanta. One of the most important parameters for reconstructing the EAS energy is the coefficient of</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transition from the number of photoelectrons in the image size to the photon flux I(phot/m2) falling</w:t>
      </w:r>
      <w:r>
        <w:rPr>
          <w:rFonts w:eastAsia="NotoSans-Regular"/>
          <w:color w:val="000000"/>
          <w:sz w:val="24"/>
          <w:szCs w:val="24"/>
          <w:lang w:val="en-US" w:eastAsia="ru-RU"/>
        </w:rPr>
        <w:t xml:space="preserve"> on </w:t>
      </w:r>
      <w:r w:rsidRPr="00014A7E">
        <w:rPr>
          <w:rFonts w:eastAsia="NotoSans-Regular"/>
          <w:color w:val="000000"/>
          <w:sz w:val="24"/>
          <w:szCs w:val="24"/>
          <w:lang w:val="en-US" w:eastAsia="ru-RU"/>
        </w:rPr>
        <w:t>the telescope mirrors, R= size/I. In Monte Carlo calculations, estimates of this coefficient (RMK) are</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associated with a number of uncertainties (reflection of light from mirrors, allowance for the passage</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of light through the entrance window of the camera, reflection of light from Winston cones, quantum</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sensitivity of photomultipliers, etc.), therefore, an independent estimate of this value is required. In</w:t>
      </w:r>
      <w:r>
        <w:rPr>
          <w:rFonts w:eastAsia="NotoSans-Regular"/>
          <w:color w:val="000000"/>
          <w:sz w:val="24"/>
          <w:szCs w:val="24"/>
          <w:lang w:val="en-US" w:eastAsia="ru-RU"/>
        </w:rPr>
        <w:t xml:space="preserve"> the </w:t>
      </w:r>
      <w:r w:rsidRPr="00014A7E">
        <w:rPr>
          <w:rFonts w:eastAsia="NotoSans-Regular"/>
          <w:color w:val="000000"/>
          <w:sz w:val="24"/>
          <w:szCs w:val="24"/>
          <w:lang w:val="en-US" w:eastAsia="ru-RU"/>
        </w:rPr>
        <w:t>TAIGA experiment, the ratio of size to the photon flux (Rexp) was obtained from hybrid events</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recorded by the telescope and HiSCORE stations. For such events, the energy E, reconstructed from</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the photon density at a distance of 200 m from the EAS axis, and the photon spatial distribution</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function (PDF) reconstructed from the data of the HiSCORE stations are known with an accuracy of</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about 10% [</w:t>
      </w:r>
      <w:r w:rsidRPr="00014A7E">
        <w:rPr>
          <w:rFonts w:eastAsia="NotoSans-Regular"/>
          <w:color w:val="FF0000"/>
          <w:sz w:val="24"/>
          <w:szCs w:val="24"/>
          <w:lang w:val="en-US" w:eastAsia="ru-RU"/>
        </w:rPr>
        <w:t>17</w:t>
      </w:r>
      <w:r w:rsidRPr="00014A7E">
        <w:rPr>
          <w:rFonts w:eastAsia="NotoSans-Regular"/>
          <w:color w:val="000000"/>
          <w:sz w:val="24"/>
          <w:szCs w:val="24"/>
          <w:lang w:val="en-US" w:eastAsia="ru-RU"/>
        </w:rPr>
        <w:t>].</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ascii="NotoSans-Regular" w:eastAsia="NotoSans-Regular" w:cs="NotoSans-Regular"/>
          <w:lang w:val="en-US" w:eastAsia="ru-RU"/>
        </w:rPr>
        <w:tab/>
      </w:r>
      <w:r w:rsidRPr="00693CDF">
        <w:rPr>
          <w:rFonts w:eastAsia="NotoSans-Regular"/>
          <w:sz w:val="24"/>
          <w:szCs w:val="24"/>
          <w:lang w:val="en-US" w:eastAsia="ru-RU"/>
        </w:rPr>
        <w:t>Using the PDF, one can obtain the number of photons at the telescope position I, compare with the</w:t>
      </w:r>
      <w:r>
        <w:rPr>
          <w:rFonts w:eastAsia="NotoSans-Regular"/>
          <w:sz w:val="24"/>
          <w:szCs w:val="24"/>
          <w:lang w:val="en-US" w:eastAsia="ru-RU"/>
        </w:rPr>
        <w:t xml:space="preserve"> </w:t>
      </w:r>
      <w:r w:rsidRPr="00693CDF">
        <w:rPr>
          <w:rFonts w:eastAsia="NotoSans-Regular"/>
          <w:sz w:val="24"/>
          <w:szCs w:val="24"/>
          <w:lang w:val="en-US" w:eastAsia="ru-RU"/>
        </w:rPr>
        <w:t>number of photoelectrons in the image recorded by the telescope, and obtain the value of the ratio Rexp=</w:t>
      </w:r>
      <w:r>
        <w:rPr>
          <w:rFonts w:eastAsia="NotoSans-Regular"/>
          <w:sz w:val="24"/>
          <w:szCs w:val="24"/>
          <w:lang w:val="en-US" w:eastAsia="ru-RU"/>
        </w:rPr>
        <w:t xml:space="preserve"> </w:t>
      </w:r>
      <w:r w:rsidRPr="00693CDF">
        <w:rPr>
          <w:rFonts w:eastAsia="NotoSans-Regular"/>
          <w:sz w:val="24"/>
          <w:szCs w:val="24"/>
          <w:lang w:val="en-US" w:eastAsia="ru-RU"/>
        </w:rPr>
        <w:t>size/ I. The coefficient obtained from the event bank turned out to be equal to Rexp= 0.56 ±0.03</w:t>
      </w:r>
      <w:r>
        <w:rPr>
          <w:rFonts w:eastAsia="NotoSans-Regular"/>
          <w:sz w:val="24"/>
          <w:szCs w:val="24"/>
          <w:lang w:val="en-US" w:eastAsia="ru-RU"/>
        </w:rPr>
        <w:t xml:space="preserve"> </w:t>
      </w:r>
      <w:r w:rsidRPr="00693CDF">
        <w:rPr>
          <w:rFonts w:eastAsia="NotoSans-Regular"/>
          <w:sz w:val="24"/>
          <w:szCs w:val="24"/>
          <w:lang w:val="en-US" w:eastAsia="ru-RU"/>
        </w:rPr>
        <w:t>+ 0.07syst. In Monte Carlo calculations R</w:t>
      </w:r>
      <w:r w:rsidRPr="00693CDF">
        <w:rPr>
          <w:rFonts w:eastAsia="NotoSans-Regular"/>
          <w:sz w:val="24"/>
          <w:szCs w:val="24"/>
          <w:vertAlign w:val="subscript"/>
          <w:lang w:val="en-US" w:eastAsia="ru-RU"/>
        </w:rPr>
        <w:t>M-K</w:t>
      </w:r>
      <w:r w:rsidRPr="00693CDF">
        <w:rPr>
          <w:rFonts w:eastAsia="NotoSans-Regular"/>
          <w:sz w:val="24"/>
          <w:szCs w:val="24"/>
          <w:lang w:val="en-US" w:eastAsia="ru-RU"/>
        </w:rPr>
        <w:t>=0.63 pe +/- 0.03, which agrees with the experimental</w:t>
      </w:r>
      <w:r>
        <w:rPr>
          <w:rFonts w:eastAsia="NotoSans-Regular"/>
          <w:sz w:val="24"/>
          <w:szCs w:val="24"/>
          <w:lang w:val="en-US" w:eastAsia="ru-RU"/>
        </w:rPr>
        <w:t xml:space="preserve"> </w:t>
      </w:r>
      <w:r w:rsidRPr="00693CDF">
        <w:rPr>
          <w:rFonts w:eastAsia="NotoSans-Regular"/>
          <w:sz w:val="24"/>
          <w:szCs w:val="24"/>
          <w:lang w:val="en-US" w:eastAsia="ru-RU"/>
        </w:rPr>
        <w:t>value within the error and confirms the correctness of the performed simulation. An example of</w:t>
      </w:r>
      <w:r>
        <w:rPr>
          <w:rFonts w:eastAsia="NotoSans-Regular"/>
          <w:sz w:val="24"/>
          <w:szCs w:val="24"/>
          <w:lang w:val="en-US" w:eastAsia="ru-RU"/>
        </w:rPr>
        <w:t xml:space="preserve"> </w:t>
      </w:r>
      <w:r w:rsidRPr="00693CDF">
        <w:rPr>
          <w:rFonts w:eastAsia="NotoSans-Regular"/>
          <w:sz w:val="24"/>
          <w:szCs w:val="24"/>
          <w:lang w:val="en-US" w:eastAsia="ru-RU"/>
        </w:rPr>
        <w:t xml:space="preserve">a hybrid event is shown in fig. </w:t>
      </w:r>
      <w:r w:rsidR="00066AFE">
        <w:rPr>
          <w:rFonts w:eastAsia="NotoSans-Regular"/>
          <w:sz w:val="24"/>
          <w:szCs w:val="24"/>
          <w:lang w:val="en-US" w:eastAsia="ru-RU"/>
        </w:rPr>
        <w:t>5</w:t>
      </w:r>
      <w:r w:rsidRPr="00693CDF">
        <w:rPr>
          <w:rFonts w:eastAsia="NotoSans-Regular"/>
          <w:sz w:val="24"/>
          <w:szCs w:val="24"/>
          <w:lang w:val="en-US" w:eastAsia="ru-RU"/>
        </w:rPr>
        <w:t xml:space="preserve"> A. Black dots are the experimentally measured PDFs for the</w:t>
      </w:r>
      <w:r>
        <w:rPr>
          <w:rFonts w:eastAsia="NotoSans-Regular"/>
          <w:sz w:val="24"/>
          <w:szCs w:val="24"/>
          <w:lang w:val="en-US" w:eastAsia="ru-RU"/>
        </w:rPr>
        <w:t xml:space="preserve"> </w:t>
      </w:r>
      <w:r w:rsidRPr="00693CDF">
        <w:rPr>
          <w:rFonts w:eastAsia="NotoSans-Regular"/>
          <w:sz w:val="24"/>
          <w:szCs w:val="24"/>
          <w:lang w:val="en-US" w:eastAsia="ru-RU"/>
        </w:rPr>
        <w:t>Hi</w:t>
      </w:r>
      <w:r>
        <w:rPr>
          <w:rFonts w:eastAsia="NotoSans-Regular"/>
          <w:sz w:val="24"/>
          <w:szCs w:val="24"/>
          <w:lang w:val="en-US" w:eastAsia="ru-RU"/>
        </w:rPr>
        <w:t>-</w:t>
      </w:r>
      <w:r w:rsidRPr="00693CDF">
        <w:rPr>
          <w:rFonts w:eastAsia="NotoSans-Regular"/>
          <w:sz w:val="24"/>
          <w:szCs w:val="24"/>
          <w:lang w:val="en-US" w:eastAsia="ru-RU"/>
        </w:rPr>
        <w:t>SCORE stations, the solid line is an approximation of this PDF, a square</w:t>
      </w:r>
      <w:r>
        <w:rPr>
          <w:rFonts w:eastAsia="NotoSans-Regular"/>
          <w:sz w:val="24"/>
          <w:szCs w:val="24"/>
          <w:lang w:val="en-US" w:eastAsia="ru-RU"/>
        </w:rPr>
        <w:t xml:space="preserve"> </w:t>
      </w:r>
      <w:r w:rsidRPr="00693CDF">
        <w:rPr>
          <w:rFonts w:eastAsia="NotoSans-Regular"/>
          <w:sz w:val="24"/>
          <w:szCs w:val="24"/>
          <w:lang w:val="en-US" w:eastAsia="ru-RU"/>
        </w:rPr>
        <w:t>is the light flux at the point where the telescope is located. R distribution</w:t>
      </w:r>
      <w:r w:rsidRPr="00693CDF">
        <w:rPr>
          <w:rFonts w:eastAsia="NotoSans-Regular"/>
          <w:sz w:val="24"/>
          <w:szCs w:val="24"/>
          <w:vertAlign w:val="subscript"/>
          <w:lang w:val="en-US" w:eastAsia="ru-RU"/>
        </w:rPr>
        <w:t xml:space="preserve">exp </w:t>
      </w:r>
      <w:r w:rsidR="00066AFE">
        <w:rPr>
          <w:rFonts w:eastAsia="NotoSans-Regular"/>
          <w:sz w:val="24"/>
          <w:szCs w:val="24"/>
          <w:lang w:val="en-US" w:eastAsia="ru-RU"/>
        </w:rPr>
        <w:t>shown in fig. 5</w:t>
      </w:r>
      <w:r w:rsidRPr="00693CDF">
        <w:rPr>
          <w:rFonts w:eastAsia="NotoSans-Regular"/>
          <w:sz w:val="24"/>
          <w:szCs w:val="24"/>
          <w:lang w:val="en-US" w:eastAsia="ru-RU"/>
        </w:rPr>
        <w:t xml:space="preserve"> B.</w:t>
      </w:r>
    </w:p>
    <w:p w:rsidR="00E249BC" w:rsidRPr="00066AFE" w:rsidRDefault="00E249BC" w:rsidP="00E249BC">
      <w:pPr>
        <w:jc w:val="both"/>
        <w:rPr>
          <w:lang w:val="en-US"/>
        </w:rPr>
      </w:pPr>
      <w:r>
        <w:rPr>
          <w:noProof/>
          <w:lang w:eastAsia="ru-RU"/>
        </w:rPr>
        <w:drawing>
          <wp:inline distT="0" distB="0" distL="0" distR="0">
            <wp:extent cx="6119495" cy="271780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pic:cNvPicPr>
                      <a:picLocks noChangeAspect="1" noChangeArrowheads="1"/>
                    </pic:cNvPicPr>
                  </pic:nvPicPr>
                  <pic:blipFill>
                    <a:blip r:embed="rId11"/>
                    <a:stretch>
                      <a:fillRect/>
                    </a:stretch>
                  </pic:blipFill>
                  <pic:spPr bwMode="auto">
                    <a:xfrm>
                      <a:off x="0" y="0"/>
                      <a:ext cx="6119495" cy="2717800"/>
                    </a:xfrm>
                    <a:prstGeom prst="rect">
                      <a:avLst/>
                    </a:prstGeom>
                  </pic:spPr>
                </pic:pic>
              </a:graphicData>
            </a:graphic>
          </wp:inline>
        </w:drawing>
      </w:r>
    </w:p>
    <w:tbl>
      <w:tblPr>
        <w:tblW w:w="10031" w:type="dxa"/>
        <w:tblCellMar>
          <w:left w:w="113" w:type="dxa"/>
        </w:tblCellMar>
        <w:tblLook w:val="0000"/>
      </w:tblPr>
      <w:tblGrid>
        <w:gridCol w:w="4928"/>
        <w:gridCol w:w="5103"/>
      </w:tblGrid>
      <w:tr w:rsidR="00E249BC" w:rsidRPr="00066AFE" w:rsidTr="004D1ECB">
        <w:tc>
          <w:tcPr>
            <w:tcW w:w="4928" w:type="dxa"/>
            <w:shd w:val="clear" w:color="auto" w:fill="auto"/>
          </w:tcPr>
          <w:p w:rsidR="00E249BC" w:rsidRPr="00066AFE" w:rsidRDefault="00E249BC" w:rsidP="004D1ECB">
            <w:pPr>
              <w:jc w:val="center"/>
              <w:rPr>
                <w:rFonts w:eastAsia="Calibri"/>
                <w:sz w:val="24"/>
                <w:szCs w:val="24"/>
                <w:lang w:val="en-US" w:eastAsia="en-US"/>
              </w:rPr>
            </w:pPr>
            <w:r>
              <w:rPr>
                <w:rFonts w:eastAsia="Calibri"/>
                <w:sz w:val="24"/>
                <w:szCs w:val="24"/>
                <w:lang w:eastAsia="en-US"/>
              </w:rPr>
              <w:t>А</w:t>
            </w:r>
          </w:p>
        </w:tc>
        <w:tc>
          <w:tcPr>
            <w:tcW w:w="5103" w:type="dxa"/>
            <w:shd w:val="clear" w:color="auto" w:fill="auto"/>
          </w:tcPr>
          <w:p w:rsidR="00E249BC" w:rsidRPr="00066AFE" w:rsidRDefault="00E249BC" w:rsidP="004D1ECB">
            <w:pPr>
              <w:jc w:val="center"/>
              <w:rPr>
                <w:rFonts w:eastAsia="Calibri"/>
                <w:sz w:val="24"/>
                <w:szCs w:val="24"/>
                <w:lang w:val="en-US" w:eastAsia="en-US"/>
              </w:rPr>
            </w:pPr>
            <w:r>
              <w:rPr>
                <w:rFonts w:eastAsia="Calibri"/>
                <w:sz w:val="24"/>
                <w:szCs w:val="24"/>
                <w:lang w:eastAsia="en-US"/>
              </w:rPr>
              <w:t>Б</w:t>
            </w:r>
          </w:p>
        </w:tc>
      </w:tr>
    </w:tbl>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00066AFE">
        <w:rPr>
          <w:rFonts w:eastAsia="NotoSans-Regular"/>
          <w:sz w:val="24"/>
          <w:szCs w:val="24"/>
          <w:lang w:val="en-US" w:eastAsia="ru-RU"/>
        </w:rPr>
        <w:t>Fig. 5</w:t>
      </w:r>
      <w:r w:rsidRPr="00693CDF">
        <w:rPr>
          <w:rFonts w:eastAsia="NotoSans-Regular"/>
          <w:sz w:val="24"/>
          <w:szCs w:val="24"/>
          <w:lang w:val="en-US" w:eastAsia="ru-RU"/>
        </w:rPr>
        <w:t>. A: An example of a hybrid event. The black circles are the experimental points of the</w:t>
      </w:r>
    </w:p>
    <w:p w:rsidR="00E249BC" w:rsidRDefault="00E249BC" w:rsidP="00E249BC">
      <w:pPr>
        <w:suppressAutoHyphens w:val="0"/>
        <w:autoSpaceDE w:val="0"/>
        <w:autoSpaceDN w:val="0"/>
        <w:adjustRightInd w:val="0"/>
        <w:spacing w:line="276" w:lineRule="auto"/>
        <w:jc w:val="both"/>
        <w:rPr>
          <w:rFonts w:eastAsia="NotoSans-Regular"/>
          <w:sz w:val="24"/>
          <w:szCs w:val="24"/>
          <w:vertAlign w:val="subscript"/>
          <w:lang w:val="en-US" w:eastAsia="ru-RU"/>
        </w:rPr>
      </w:pPr>
      <w:r w:rsidRPr="00693CDF">
        <w:rPr>
          <w:rFonts w:eastAsia="NotoSans-Regular"/>
          <w:sz w:val="24"/>
          <w:szCs w:val="24"/>
          <w:lang w:val="en-US" w:eastAsia="ru-RU"/>
        </w:rPr>
        <w:lastRenderedPageBreak/>
        <w:t>PDF for the HiSCORE stations, the solid curve is an approximation of this PDF, the black square is</w:t>
      </w:r>
      <w:r>
        <w:rPr>
          <w:rFonts w:eastAsia="NotoSans-Regular"/>
          <w:sz w:val="24"/>
          <w:szCs w:val="24"/>
          <w:lang w:val="en-US" w:eastAsia="ru-RU"/>
        </w:rPr>
        <w:t xml:space="preserve"> </w:t>
      </w:r>
      <w:r w:rsidRPr="00693CDF">
        <w:rPr>
          <w:rFonts w:eastAsia="NotoSans-Regular"/>
          <w:sz w:val="24"/>
          <w:szCs w:val="24"/>
          <w:lang w:val="en-US" w:eastAsia="ru-RU"/>
        </w:rPr>
        <w:t>the light flux at the telescope location, recalculated from the event recorded by the telescope</w:t>
      </w:r>
      <w:r>
        <w:rPr>
          <w:rFonts w:eastAsia="NotoSans-Regular"/>
          <w:sz w:val="24"/>
          <w:szCs w:val="24"/>
          <w:lang w:val="en-US" w:eastAsia="ru-RU"/>
        </w:rPr>
        <w:t xml:space="preserve"> </w:t>
      </w:r>
      <w:r w:rsidRPr="00693CDF">
        <w:rPr>
          <w:rFonts w:eastAsia="NotoSans-Regular"/>
          <w:sz w:val="24"/>
          <w:szCs w:val="24"/>
          <w:lang w:val="en-US" w:eastAsia="ru-RU"/>
        </w:rPr>
        <w:t>with the coefficient R</w:t>
      </w:r>
      <w:r w:rsidRPr="00693CDF">
        <w:rPr>
          <w:rFonts w:eastAsia="NotoSans-Regular"/>
          <w:sz w:val="24"/>
          <w:szCs w:val="24"/>
          <w:vertAlign w:val="subscript"/>
          <w:lang w:val="en-US" w:eastAsia="ru-RU"/>
        </w:rPr>
        <w:t>m-k</w:t>
      </w:r>
      <w:r w:rsidRPr="00693CDF">
        <w:rPr>
          <w:rFonts w:eastAsia="NotoSans-Regular"/>
          <w:sz w:val="24"/>
          <w:szCs w:val="24"/>
          <w:lang w:val="en-US" w:eastAsia="ru-RU"/>
        </w:rPr>
        <w:t>=0.63. B Distribution by coefficient R</w:t>
      </w:r>
      <w:r w:rsidRPr="00693CDF">
        <w:rPr>
          <w:rFonts w:eastAsia="NotoSans-Regular"/>
          <w:sz w:val="24"/>
          <w:szCs w:val="24"/>
          <w:vertAlign w:val="subscript"/>
          <w:lang w:val="en-US" w:eastAsia="ru-RU"/>
        </w:rPr>
        <w:t>exp</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p>
    <w:p w:rsidR="00E249BC" w:rsidRPr="00693CDF" w:rsidRDefault="00E249BC" w:rsidP="00E249BC">
      <w:pPr>
        <w:pStyle w:val="Heading2"/>
        <w:spacing w:line="276" w:lineRule="auto"/>
        <w:rPr>
          <w:szCs w:val="24"/>
          <w:lang w:val="en-US"/>
        </w:rPr>
      </w:pPr>
      <w:bookmarkStart w:id="5" w:name="_Toc131525070"/>
      <w:r w:rsidRPr="00693CDF">
        <w:rPr>
          <w:szCs w:val="24"/>
          <w:lang w:val="en-US"/>
        </w:rPr>
        <w:t>3.</w:t>
      </w:r>
      <w:bookmarkEnd w:id="5"/>
      <w:r w:rsidRPr="00693CDF">
        <w:rPr>
          <w:szCs w:val="24"/>
          <w:lang w:val="en-US"/>
        </w:rPr>
        <w:t xml:space="preserve"> Program for the development of the astrophysical complex</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The immediate development of the TAIGA astronomical complex is associated with the creation</w:t>
      </w:r>
      <w:r>
        <w:rPr>
          <w:rFonts w:eastAsia="NotoSans-Regular"/>
          <w:sz w:val="24"/>
          <w:szCs w:val="24"/>
          <w:lang w:val="en-US" w:eastAsia="ru-RU"/>
        </w:rPr>
        <w:t xml:space="preserve"> </w:t>
      </w:r>
      <w:r w:rsidRPr="00693CDF">
        <w:rPr>
          <w:rFonts w:eastAsia="NotoSans-Regular"/>
          <w:sz w:val="24"/>
          <w:szCs w:val="24"/>
          <w:lang w:val="en-US" w:eastAsia="ru-RU"/>
        </w:rPr>
        <w:t>of two more atmospheric Cherenkov telescopes and a significant increase in the area of muon</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693CDF">
        <w:rPr>
          <w:rFonts w:eastAsia="NotoSans-Regular"/>
          <w:sz w:val="24"/>
          <w:szCs w:val="24"/>
          <w:lang w:val="en-US" w:eastAsia="ru-RU"/>
        </w:rPr>
        <w:t>detectors (TAIGA-MUON facility).</w:t>
      </w:r>
      <w:r>
        <w:rPr>
          <w:rFonts w:eastAsia="NotoSans-Regular"/>
          <w:sz w:val="24"/>
          <w:szCs w:val="24"/>
          <w:lang w:val="en-US" w:eastAsia="ru-RU"/>
        </w:rPr>
        <w:t xml:space="preserve"> </w:t>
      </w:r>
      <w:r w:rsidRPr="00693CDF">
        <w:rPr>
          <w:rFonts w:eastAsia="NotoSans-Regular"/>
          <w:sz w:val="24"/>
          <w:szCs w:val="24"/>
          <w:lang w:val="en-US" w:eastAsia="ru-RU"/>
        </w:rPr>
        <w:t>One of the shortcomings of the hybrid approach in the existing version of the</w:t>
      </w:r>
      <w:r>
        <w:rPr>
          <w:rFonts w:eastAsia="NotoSans-Regular"/>
          <w:sz w:val="24"/>
          <w:szCs w:val="24"/>
          <w:lang w:val="en-US" w:eastAsia="ru-RU"/>
        </w:rPr>
        <w:t xml:space="preserve"> </w:t>
      </w:r>
      <w:r w:rsidRPr="00693CDF">
        <w:rPr>
          <w:rFonts w:eastAsia="NotoSans-Regular"/>
          <w:sz w:val="24"/>
          <w:szCs w:val="24"/>
          <w:lang w:val="en-US" w:eastAsia="ru-RU"/>
        </w:rPr>
        <w:t>astrophysical complex is the significant difference between the angular aperture of the</w:t>
      </w:r>
      <w:r>
        <w:rPr>
          <w:rFonts w:eastAsia="NotoSans-Regular"/>
          <w:sz w:val="24"/>
          <w:szCs w:val="24"/>
          <w:lang w:val="en-US" w:eastAsia="ru-RU"/>
        </w:rPr>
        <w:t xml:space="preserve"> </w:t>
      </w:r>
      <w:r w:rsidRPr="00693CDF">
        <w:rPr>
          <w:rFonts w:eastAsia="NotoSans-Regular"/>
          <w:sz w:val="24"/>
          <w:szCs w:val="24"/>
          <w:lang w:val="en-US" w:eastAsia="ru-RU"/>
        </w:rPr>
        <w:t>Cherenkov telescopes and the aperture of the TAIGA-HiSCORE facility, leading to the possibility</w:t>
      </w:r>
      <w:r>
        <w:rPr>
          <w:rFonts w:eastAsia="NotoSans-Regular"/>
          <w:sz w:val="24"/>
          <w:szCs w:val="24"/>
          <w:lang w:val="en-US" w:eastAsia="ru-RU"/>
        </w:rPr>
        <w:t xml:space="preserve"> </w:t>
      </w:r>
      <w:r w:rsidRPr="00693CDF">
        <w:rPr>
          <w:rFonts w:eastAsia="NotoSans-Regular"/>
          <w:sz w:val="24"/>
          <w:szCs w:val="24"/>
          <w:lang w:val="en-US" w:eastAsia="ru-RU"/>
        </w:rPr>
        <w:t>of observing only one source at a given time. To correct this situation, it is planned to create</w:t>
      </w:r>
      <w:r>
        <w:rPr>
          <w:rFonts w:eastAsia="NotoSans-Regular"/>
          <w:sz w:val="24"/>
          <w:szCs w:val="24"/>
          <w:lang w:val="en-US" w:eastAsia="ru-RU"/>
        </w:rPr>
        <w:t xml:space="preserve"> </w:t>
      </w:r>
      <w:r w:rsidRPr="00693CDF">
        <w:rPr>
          <w:rFonts w:eastAsia="NotoSans-Regular"/>
          <w:sz w:val="24"/>
          <w:szCs w:val="24"/>
          <w:lang w:val="en-US" w:eastAsia="ru-RU"/>
        </w:rPr>
        <w:t>small imaging Cherenkov telescopes (SIT) with an angular aperture of 25-30 degrees and an</w:t>
      </w:r>
      <w:r>
        <w:rPr>
          <w:rFonts w:eastAsia="NotoSans-Regular"/>
          <w:sz w:val="24"/>
          <w:szCs w:val="24"/>
          <w:lang w:val="en-US" w:eastAsia="ru-RU"/>
        </w:rPr>
        <w:t xml:space="preserve"> </w:t>
      </w:r>
      <w:r w:rsidRPr="00693CDF">
        <w:rPr>
          <w:rFonts w:eastAsia="NotoSans-Regular"/>
          <w:sz w:val="24"/>
          <w:szCs w:val="24"/>
          <w:lang w:val="en-US" w:eastAsia="ru-RU"/>
        </w:rPr>
        <w:t>energy threshold of 80-100 TeV. The joint operation of such telescopes and the TAIGA-HiSCORE</w:t>
      </w:r>
      <w:r>
        <w:rPr>
          <w:rFonts w:eastAsia="NotoSans-Regular"/>
          <w:sz w:val="24"/>
          <w:szCs w:val="24"/>
          <w:lang w:val="en-US" w:eastAsia="ru-RU"/>
        </w:rPr>
        <w:t xml:space="preserve"> facility </w:t>
      </w:r>
      <w:r w:rsidRPr="00693CDF">
        <w:rPr>
          <w:rFonts w:eastAsia="NotoSans-Regular"/>
          <w:sz w:val="24"/>
          <w:szCs w:val="24"/>
          <w:lang w:val="en-US" w:eastAsia="ru-RU"/>
        </w:rPr>
        <w:t>will increase the number of hybrid events by almost 10 times, for which gamma rays can</w:t>
      </w:r>
      <w:r>
        <w:rPr>
          <w:rFonts w:eastAsia="NotoSans-Regular"/>
          <w:sz w:val="24"/>
          <w:szCs w:val="24"/>
          <w:lang w:val="en-US" w:eastAsia="ru-RU"/>
        </w:rPr>
        <w:t xml:space="preserve"> </w:t>
      </w:r>
      <w:r w:rsidRPr="00693CDF">
        <w:rPr>
          <w:rFonts w:eastAsia="NotoSans-Regular"/>
          <w:sz w:val="24"/>
          <w:szCs w:val="24"/>
          <w:lang w:val="en-US" w:eastAsia="ru-RU"/>
        </w:rPr>
        <w:t>be extracted against the background of cosmic ray events. Further development of the</w:t>
      </w:r>
      <w:r>
        <w:rPr>
          <w:rFonts w:eastAsia="NotoSans-Regular"/>
          <w:sz w:val="24"/>
          <w:szCs w:val="24"/>
          <w:lang w:val="en-US" w:eastAsia="ru-RU"/>
        </w:rPr>
        <w:t xml:space="preserve"> </w:t>
      </w:r>
      <w:r w:rsidRPr="00693CDF">
        <w:rPr>
          <w:rFonts w:eastAsia="NotoSans-Regular"/>
          <w:sz w:val="24"/>
          <w:szCs w:val="24"/>
          <w:lang w:val="en-US" w:eastAsia="ru-RU"/>
        </w:rPr>
        <w:t>astrophysical complex, most likely elsewhere, is associated with the expansion of the TAIGA</w:t>
      </w:r>
      <w:r>
        <w:rPr>
          <w:rFonts w:eastAsia="NotoSans-Regular"/>
          <w:sz w:val="24"/>
          <w:szCs w:val="24"/>
          <w:lang w:val="en-US" w:eastAsia="ru-RU"/>
        </w:rPr>
        <w:t xml:space="preserve"> </w:t>
      </w:r>
      <w:r w:rsidRPr="00693CDF">
        <w:rPr>
          <w:rFonts w:eastAsia="NotoSans-Regular"/>
          <w:sz w:val="24"/>
          <w:szCs w:val="24"/>
          <w:lang w:val="en-US" w:eastAsia="ru-RU"/>
        </w:rPr>
        <w:t>Hi</w:t>
      </w:r>
      <w:r>
        <w:rPr>
          <w:rFonts w:eastAsia="NotoSans-Regular"/>
          <w:sz w:val="24"/>
          <w:szCs w:val="24"/>
          <w:lang w:val="en-US" w:eastAsia="ru-RU"/>
        </w:rPr>
        <w:t>-</w:t>
      </w:r>
      <w:r w:rsidRPr="00693CDF">
        <w:rPr>
          <w:rFonts w:eastAsia="NotoSans-Regular"/>
          <w:sz w:val="24"/>
          <w:szCs w:val="24"/>
          <w:lang w:val="en-US" w:eastAsia="ru-RU"/>
        </w:rPr>
        <w:t>SCORE</w:t>
      </w:r>
      <w:r>
        <w:rPr>
          <w:rFonts w:eastAsia="NotoSans-Regular"/>
          <w:sz w:val="24"/>
          <w:szCs w:val="24"/>
          <w:lang w:val="en-US" w:eastAsia="ru-RU"/>
        </w:rPr>
        <w:t xml:space="preserve"> facility to an area 10 </w:t>
      </w:r>
      <w:r w:rsidRPr="00693CDF">
        <w:rPr>
          <w:rFonts w:eastAsia="NotoSans-Regular"/>
          <w:sz w:val="24"/>
          <w:szCs w:val="24"/>
          <w:lang w:val="en-US" w:eastAsia="ru-RU"/>
        </w:rPr>
        <w:t>times larger and supplemented by small imaging Cherenkov</w:t>
      </w:r>
      <w:r>
        <w:rPr>
          <w:rFonts w:eastAsia="NotoSans-Regular"/>
          <w:sz w:val="24"/>
          <w:szCs w:val="24"/>
          <w:lang w:val="en-US" w:eastAsia="ru-RU"/>
        </w:rPr>
        <w:t xml:space="preserve"> </w:t>
      </w:r>
      <w:r w:rsidRPr="00693CDF">
        <w:rPr>
          <w:rFonts w:eastAsia="NotoSans-Regular"/>
          <w:sz w:val="24"/>
          <w:szCs w:val="24"/>
          <w:lang w:val="en-US" w:eastAsia="ru-RU"/>
        </w:rPr>
        <w:t>telescopes.</w:t>
      </w:r>
    </w:p>
    <w:p w:rsidR="00E249BC" w:rsidRDefault="00E249BC" w:rsidP="00E249BC">
      <w:pPr>
        <w:pStyle w:val="Heading3"/>
        <w:rPr>
          <w:lang w:val="en-US"/>
        </w:rPr>
      </w:pPr>
      <w:r>
        <w:rPr>
          <w:lang w:val="en-US"/>
        </w:rPr>
        <w:t>Cherenkov telescopes</w:t>
      </w:r>
    </w:p>
    <w:p w:rsidR="00E249BC"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sidRPr="00693CDF">
        <w:rPr>
          <w:rFonts w:eastAsia="NotoSans-Regular"/>
          <w:sz w:val="24"/>
          <w:szCs w:val="24"/>
          <w:lang w:val="en-US" w:eastAsia="ru-RU"/>
        </w:rPr>
        <w:t>The mechanical part of the fourth Cherenkov telescope was manufactured at JINR,</w:t>
      </w:r>
      <w:r>
        <w:rPr>
          <w:rFonts w:eastAsia="NotoSans-Regular"/>
          <w:sz w:val="24"/>
          <w:szCs w:val="24"/>
          <w:lang w:val="en-US" w:eastAsia="ru-RU"/>
        </w:rPr>
        <w:t xml:space="preserve"> </w:t>
      </w:r>
      <w:r w:rsidRPr="00693CDF">
        <w:rPr>
          <w:rFonts w:eastAsia="NotoSans-Regular"/>
          <w:sz w:val="24"/>
          <w:szCs w:val="24"/>
          <w:lang w:val="en-US" w:eastAsia="ru-RU"/>
        </w:rPr>
        <w:t>shipped and as</w:t>
      </w:r>
      <w:r w:rsidR="00066AFE">
        <w:rPr>
          <w:rFonts w:eastAsia="NotoSans-Regular"/>
          <w:sz w:val="24"/>
          <w:szCs w:val="24"/>
          <w:lang w:val="en-US" w:eastAsia="ru-RU"/>
        </w:rPr>
        <w:t>sembled at the test site (Fig. 6</w:t>
      </w:r>
      <w:r w:rsidRPr="00693CDF">
        <w:rPr>
          <w:rFonts w:eastAsia="NotoSans-Regular"/>
          <w:sz w:val="24"/>
          <w:szCs w:val="24"/>
          <w:lang w:val="en-US" w:eastAsia="ru-RU"/>
        </w:rPr>
        <w:t>). Three telescopes are operating as planned.</w:t>
      </w:r>
      <w:r>
        <w:rPr>
          <w:rFonts w:eastAsia="NotoSans-Regular"/>
          <w:sz w:val="24"/>
          <w:szCs w:val="24"/>
          <w:lang w:val="en-US" w:eastAsia="ru-RU"/>
        </w:rPr>
        <w:t xml:space="preserve"> </w:t>
      </w:r>
      <w:r w:rsidRPr="00693CDF">
        <w:rPr>
          <w:rFonts w:eastAsia="NotoSans-Regular"/>
          <w:sz w:val="24"/>
          <w:szCs w:val="24"/>
          <w:lang w:val="en-US" w:eastAsia="ru-RU"/>
        </w:rPr>
        <w:t>Planned work is underway to manufacture the upgraded fifth telescope.</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p>
    <w:p w:rsidR="00E249BC" w:rsidRDefault="00E249BC" w:rsidP="00E249BC">
      <w:pPr>
        <w:jc w:val="both"/>
      </w:pPr>
      <w:r>
        <w:rPr>
          <w:noProof/>
          <w:lang w:eastAsia="ru-RU"/>
        </w:rPr>
        <w:drawing>
          <wp:inline distT="0" distB="0" distL="0" distR="0">
            <wp:extent cx="6480175" cy="3194050"/>
            <wp:effectExtent l="0" t="0" r="0" b="0"/>
            <wp:docPr id="23" name="Рисунок 45" descr="Три телеск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5" descr="Три телескопа.jpg"/>
                    <pic:cNvPicPr>
                      <a:picLocks noChangeAspect="1" noChangeArrowheads="1"/>
                    </pic:cNvPicPr>
                  </pic:nvPicPr>
                  <pic:blipFill>
                    <a:blip r:embed="rId12"/>
                    <a:stretch>
                      <a:fillRect/>
                    </a:stretch>
                  </pic:blipFill>
                  <pic:spPr bwMode="auto">
                    <a:xfrm>
                      <a:off x="0" y="0"/>
                      <a:ext cx="6480175" cy="3194050"/>
                    </a:xfrm>
                    <a:prstGeom prst="rect">
                      <a:avLst/>
                    </a:prstGeom>
                  </pic:spPr>
                </pic:pic>
              </a:graphicData>
            </a:graphic>
          </wp:inline>
        </w:drawing>
      </w:r>
    </w:p>
    <w:p w:rsidR="00E249BC" w:rsidRDefault="00E249BC" w:rsidP="00E249BC">
      <w:pPr>
        <w:ind w:firstLine="567"/>
        <w:jc w:val="both"/>
        <w:rPr>
          <w:sz w:val="24"/>
          <w:szCs w:val="24"/>
        </w:rPr>
      </w:pPr>
    </w:p>
    <w:p w:rsidR="00E249BC" w:rsidRPr="00693CDF" w:rsidRDefault="00E249BC" w:rsidP="00E249BC">
      <w:pPr>
        <w:spacing w:line="276" w:lineRule="auto"/>
        <w:ind w:firstLine="567"/>
        <w:jc w:val="both"/>
        <w:rPr>
          <w:sz w:val="24"/>
          <w:szCs w:val="24"/>
          <w:lang w:val="en-US"/>
        </w:rPr>
      </w:pPr>
      <w:r>
        <w:rPr>
          <w:sz w:val="24"/>
          <w:szCs w:val="24"/>
          <w:lang w:val="en-US"/>
        </w:rPr>
        <w:t>Fig</w:t>
      </w:r>
      <w:r w:rsidRPr="00693CDF">
        <w:rPr>
          <w:sz w:val="24"/>
          <w:szCs w:val="24"/>
          <w:lang w:val="en-US"/>
        </w:rPr>
        <w:t xml:space="preserve">. </w:t>
      </w:r>
      <w:r w:rsidR="00066AFE">
        <w:rPr>
          <w:sz w:val="24"/>
          <w:szCs w:val="24"/>
          <w:lang w:val="en-US"/>
        </w:rPr>
        <w:t>6</w:t>
      </w:r>
      <w:r w:rsidRPr="00693CDF">
        <w:rPr>
          <w:sz w:val="24"/>
          <w:szCs w:val="24"/>
          <w:lang w:val="en-US"/>
        </w:rPr>
        <w:t xml:space="preserve"> </w:t>
      </w:r>
      <w:r w:rsidRPr="00693CDF">
        <w:rPr>
          <w:rFonts w:eastAsia="NotoSans-Regular"/>
          <w:sz w:val="24"/>
          <w:szCs w:val="24"/>
          <w:lang w:val="en-US" w:eastAsia="ru-RU"/>
        </w:rPr>
        <w:t>The first, fourth and third telescopes at the test site in the Tunka Valley</w:t>
      </w:r>
      <w:r w:rsidRPr="00693CDF">
        <w:rPr>
          <w:sz w:val="24"/>
          <w:szCs w:val="24"/>
          <w:lang w:val="en-US"/>
        </w:rPr>
        <w:t>.</w:t>
      </w:r>
    </w:p>
    <w:p w:rsidR="00E249BC" w:rsidRPr="00693CDF" w:rsidRDefault="00E249BC" w:rsidP="00E249BC">
      <w:pPr>
        <w:ind w:firstLine="567"/>
        <w:jc w:val="both"/>
        <w:rPr>
          <w:sz w:val="24"/>
          <w:szCs w:val="24"/>
          <w:lang w:val="en-US"/>
        </w:rPr>
      </w:pPr>
    </w:p>
    <w:p w:rsidR="00E249BC" w:rsidRDefault="00E249BC" w:rsidP="00E249BC">
      <w:pPr>
        <w:pStyle w:val="Heading3"/>
        <w:rPr>
          <w:lang w:val="en-US"/>
        </w:rPr>
      </w:pPr>
      <w:r>
        <w:rPr>
          <w:lang w:val="en-US"/>
        </w:rPr>
        <w:t>Wide-angle telescope</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As part of the work on promising areas to expand the TAIGA project, JINR participated</w:t>
      </w:r>
      <w:r>
        <w:rPr>
          <w:rFonts w:eastAsia="NotoSans-Regular"/>
          <w:sz w:val="24"/>
          <w:szCs w:val="24"/>
          <w:lang w:val="en-US" w:eastAsia="ru-RU"/>
        </w:rPr>
        <w:t xml:space="preserve"> </w:t>
      </w:r>
      <w:r w:rsidRPr="00693CDF">
        <w:rPr>
          <w:rFonts w:eastAsia="NotoSans-Regular"/>
          <w:sz w:val="24"/>
          <w:szCs w:val="24"/>
          <w:lang w:val="en-US" w:eastAsia="ru-RU"/>
        </w:rPr>
        <w:t>in the discussion of modeling and manufacturing a prototype of a wide-field Cherenkov</w:t>
      </w:r>
      <w:r>
        <w:rPr>
          <w:rFonts w:eastAsia="NotoSans-Regular"/>
          <w:sz w:val="24"/>
          <w:szCs w:val="24"/>
          <w:lang w:val="en-US" w:eastAsia="ru-RU"/>
        </w:rPr>
        <w:t xml:space="preserve"> </w:t>
      </w:r>
      <w:r w:rsidRPr="00693CDF">
        <w:rPr>
          <w:rFonts w:eastAsia="NotoSans-Regular"/>
          <w:sz w:val="24"/>
          <w:szCs w:val="24"/>
          <w:lang w:val="en-US" w:eastAsia="ru-RU"/>
        </w:rPr>
        <w:t>telescope. The use of such telescopes in conjunction with distributed detectors will make it</w:t>
      </w:r>
      <w:r>
        <w:rPr>
          <w:rFonts w:eastAsia="NotoSans-Regular"/>
          <w:sz w:val="24"/>
          <w:szCs w:val="24"/>
          <w:lang w:val="en-US" w:eastAsia="ru-RU"/>
        </w:rPr>
        <w:t xml:space="preserve"> </w:t>
      </w:r>
      <w:r w:rsidRPr="00693CDF">
        <w:rPr>
          <w:rFonts w:eastAsia="NotoSans-Regular"/>
          <w:sz w:val="24"/>
          <w:szCs w:val="24"/>
          <w:lang w:val="en-US" w:eastAsia="ru-RU"/>
        </w:rPr>
        <w:t xml:space="preserve">possible to obtain large statistics </w:t>
      </w:r>
      <w:r w:rsidRPr="00693CDF">
        <w:rPr>
          <w:rFonts w:eastAsia="NotoSans-Regular"/>
          <w:sz w:val="24"/>
          <w:szCs w:val="24"/>
          <w:lang w:val="en-US" w:eastAsia="ru-RU"/>
        </w:rPr>
        <w:lastRenderedPageBreak/>
        <w:t>of joint events in the high-energy region due to the large</w:t>
      </w:r>
      <w:r>
        <w:rPr>
          <w:rFonts w:eastAsia="NotoSans-Regular"/>
          <w:sz w:val="24"/>
          <w:szCs w:val="24"/>
          <w:lang w:val="en-US" w:eastAsia="ru-RU"/>
        </w:rPr>
        <w:t xml:space="preserve"> </w:t>
      </w:r>
      <w:r w:rsidRPr="00693CDF">
        <w:rPr>
          <w:rFonts w:eastAsia="NotoSans-Regular"/>
          <w:sz w:val="24"/>
          <w:szCs w:val="24"/>
          <w:lang w:val="en-US" w:eastAsia="ru-RU"/>
        </w:rPr>
        <w:t>field of view of the telescope. The parameters of the telescope prototype are presented in</w:t>
      </w:r>
      <w:r>
        <w:rPr>
          <w:rFonts w:eastAsia="NotoSans-Regular"/>
          <w:sz w:val="24"/>
          <w:szCs w:val="24"/>
          <w:lang w:val="en-US" w:eastAsia="ru-RU"/>
        </w:rPr>
        <w:t xml:space="preserve"> </w:t>
      </w:r>
      <w:r w:rsidRPr="00693CDF">
        <w:rPr>
          <w:rFonts w:eastAsia="NotoSans-Regular"/>
          <w:sz w:val="24"/>
          <w:szCs w:val="24"/>
          <w:lang w:val="en-US" w:eastAsia="ru-RU"/>
        </w:rPr>
        <w:t>Table 1.</w:t>
      </w:r>
    </w:p>
    <w:p w:rsidR="00E249BC" w:rsidRDefault="00E249BC" w:rsidP="00E249BC">
      <w:pPr>
        <w:ind w:firstLine="567"/>
        <w:jc w:val="right"/>
        <w:rPr>
          <w:sz w:val="24"/>
          <w:szCs w:val="24"/>
        </w:rPr>
      </w:pPr>
      <w:r>
        <w:rPr>
          <w:sz w:val="24"/>
          <w:szCs w:val="24"/>
          <w:lang w:val="en-US"/>
        </w:rPr>
        <w:t>Table 1</w:t>
      </w:r>
      <w:r>
        <w:rPr>
          <w:sz w:val="24"/>
          <w:szCs w:val="24"/>
        </w:rPr>
        <w:t>.</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45"/>
        <w:gridCol w:w="2682"/>
      </w:tblGrid>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b/>
                <w:color w:val="2C2D2E"/>
                <w:sz w:val="24"/>
                <w:szCs w:val="24"/>
                <w:lang w:eastAsia="en-US"/>
              </w:rPr>
            </w:pP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firstLine="567"/>
              <w:jc w:val="both"/>
              <w:rPr>
                <w:rFonts w:eastAsia="Calibri"/>
                <w:color w:val="2C2D2E"/>
                <w:sz w:val="24"/>
                <w:szCs w:val="24"/>
                <w:lang w:val="en-US" w:eastAsia="en-US"/>
              </w:rPr>
            </w:pPr>
            <w:r>
              <w:rPr>
                <w:rFonts w:eastAsia="Calibri"/>
                <w:color w:val="2C2D2E"/>
                <w:sz w:val="24"/>
                <w:szCs w:val="24"/>
                <w:lang w:val="en-US" w:eastAsia="en-US"/>
              </w:rPr>
              <w:t>Value</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b/>
                <w:color w:val="2C2D2E"/>
                <w:sz w:val="24"/>
                <w:szCs w:val="24"/>
                <w:lang w:val="en-US" w:eastAsia="en-US"/>
              </w:rPr>
            </w:pPr>
            <w:r>
              <w:rPr>
                <w:rFonts w:eastAsia="Calibri"/>
                <w:b/>
                <w:color w:val="2C2D2E"/>
                <w:sz w:val="24"/>
                <w:szCs w:val="24"/>
                <w:lang w:val="en-US" w:eastAsia="en-US"/>
              </w:rPr>
              <w:t>Lens</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val="en-US" w:eastAsia="en-US"/>
              </w:rPr>
              <w:t>Lens diameter</w:t>
            </w:r>
            <w:r>
              <w:rPr>
                <w:rFonts w:eastAsia="Calibri"/>
                <w:color w:val="2C2D2E"/>
                <w:sz w:val="24"/>
                <w:szCs w:val="24"/>
                <w:lang w:eastAsia="en-US"/>
              </w:rPr>
              <w:t xml:space="preserve">, </w:t>
            </w:r>
            <w:r>
              <w:rPr>
                <w:rFonts w:eastAsia="Calibri"/>
                <w:color w:val="2C2D2E"/>
                <w:sz w:val="24"/>
                <w:szCs w:val="24"/>
                <w:lang w:val="en-US" w:eastAsia="en-US"/>
              </w:rPr>
              <w:t>mm</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820</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left="176"/>
              <w:jc w:val="both"/>
              <w:rPr>
                <w:rFonts w:eastAsia="Calibri"/>
                <w:color w:val="2C2D2E"/>
                <w:sz w:val="24"/>
                <w:szCs w:val="24"/>
                <w:lang w:eastAsia="en-US"/>
              </w:rPr>
            </w:pPr>
            <w:r>
              <w:rPr>
                <w:rFonts w:eastAsia="Calibri"/>
                <w:color w:val="2C2D2E"/>
                <w:sz w:val="24"/>
                <w:szCs w:val="24"/>
                <w:lang w:val="en-US" w:eastAsia="en-US"/>
              </w:rPr>
              <w:t>Focal length</w:t>
            </w:r>
            <w:r>
              <w:rPr>
                <w:rFonts w:eastAsia="Calibri"/>
                <w:color w:val="2C2D2E"/>
                <w:sz w:val="24"/>
                <w:szCs w:val="24"/>
                <w:lang w:eastAsia="en-US"/>
              </w:rPr>
              <w:t xml:space="preserve">, </w:t>
            </w:r>
            <w:r>
              <w:rPr>
                <w:rFonts w:eastAsia="Calibri"/>
                <w:color w:val="2C2D2E"/>
                <w:sz w:val="24"/>
                <w:szCs w:val="24"/>
                <w:lang w:val="en-US" w:eastAsia="en-US"/>
              </w:rPr>
              <w:t>mm</w:t>
            </w:r>
            <w:r>
              <w:rPr>
                <w:rFonts w:eastAsia="Calibri"/>
                <w:color w:val="2C2D2E"/>
                <w:sz w:val="24"/>
                <w:szCs w:val="24"/>
                <w:lang w:eastAsia="en-US"/>
              </w:rPr>
              <w:t xml:space="preserve">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3666±100</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val="en-US" w:eastAsia="en-US"/>
              </w:rPr>
              <w:t>Maximum field of view, degrees</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±7,5</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val="en-US" w:eastAsia="en-US"/>
              </w:rPr>
              <w:t>Maximum field of view, mm</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940</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val="en-US" w:eastAsia="en-US"/>
              </w:rPr>
              <w:t>The siz of the field of view used, mm</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600</w:t>
            </w:r>
          </w:p>
        </w:tc>
      </w:tr>
      <w:tr w:rsidR="00E249BC" w:rsidTr="004D1ECB">
        <w:trPr>
          <w:trHeight w:val="627"/>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val="en-US" w:eastAsia="en-US"/>
              </w:rPr>
              <w:t>Telescope</w:t>
            </w:r>
            <w:r w:rsidRPr="00693CDF">
              <w:rPr>
                <w:rFonts w:eastAsia="Calibri"/>
                <w:color w:val="2C2D2E"/>
                <w:sz w:val="24"/>
                <w:szCs w:val="24"/>
                <w:lang w:val="en-US" w:eastAsia="en-US"/>
              </w:rPr>
              <w:t xml:space="preserve"> </w:t>
            </w:r>
            <w:r>
              <w:rPr>
                <w:rFonts w:eastAsia="Calibri"/>
                <w:color w:val="2C2D2E"/>
                <w:sz w:val="24"/>
                <w:szCs w:val="24"/>
                <w:lang w:val="en-US" w:eastAsia="en-US"/>
              </w:rPr>
              <w:t>positions</w:t>
            </w:r>
            <w:r w:rsidRPr="00693CDF">
              <w:rPr>
                <w:rFonts w:eastAsia="Calibri"/>
                <w:color w:val="2C2D2E"/>
                <w:sz w:val="24"/>
                <w:szCs w:val="24"/>
                <w:lang w:val="en-US" w:eastAsia="en-US"/>
              </w:rPr>
              <w:t xml:space="preserve">, ° </w:t>
            </w:r>
            <w:r>
              <w:rPr>
                <w:rFonts w:eastAsia="Calibri"/>
                <w:color w:val="2C2D2E"/>
                <w:sz w:val="24"/>
                <w:szCs w:val="24"/>
                <w:lang w:val="en-US" w:eastAsia="en-US"/>
              </w:rPr>
              <w:t>from vertical</w:t>
            </w:r>
            <w:r w:rsidRPr="00693CDF">
              <w:rPr>
                <w:rFonts w:eastAsia="Calibri"/>
                <w:color w:val="2C2D2E"/>
                <w:sz w:val="24"/>
                <w:szCs w:val="24"/>
                <w:lang w:val="en-US" w:eastAsia="en-US"/>
              </w:rPr>
              <w:t xml:space="preserve"> (</w:t>
            </w:r>
            <w:r>
              <w:rPr>
                <w:rFonts w:eastAsia="Calibri"/>
                <w:color w:val="2C2D2E"/>
                <w:sz w:val="24"/>
                <w:szCs w:val="24"/>
                <w:lang w:val="en-US" w:eastAsia="en-US"/>
              </w:rPr>
              <w:t>telescope oriented to the South</w:t>
            </w:r>
            <w:r w:rsidRPr="00693CDF">
              <w:rPr>
                <w:rFonts w:eastAsia="Calibri"/>
                <w:color w:val="2C2D2E"/>
                <w:sz w:val="24"/>
                <w:szCs w:val="24"/>
                <w:lang w:val="en-US" w:eastAsia="en-US"/>
              </w:rPr>
              <w:t>)</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0, 35, 90</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b/>
                <w:bCs/>
                <w:color w:val="2C2D2E"/>
                <w:sz w:val="24"/>
                <w:szCs w:val="24"/>
                <w:lang w:val="en-US" w:eastAsia="en-US"/>
              </w:rPr>
            </w:pPr>
            <w:r>
              <w:rPr>
                <w:rFonts w:eastAsia="Calibri"/>
                <w:b/>
                <w:bCs/>
                <w:color w:val="2C2D2E"/>
                <w:sz w:val="24"/>
                <w:szCs w:val="24"/>
                <w:lang w:val="en-US" w:eastAsia="en-US"/>
              </w:rPr>
              <w:t>Camera</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eastAsia="en-US"/>
              </w:rPr>
              <w:t>FOV of one pixel</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 0.4 °</w:t>
            </w:r>
          </w:p>
        </w:tc>
      </w:tr>
      <w:tr w:rsidR="00E249BC" w:rsidTr="004D1ECB">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E249BC" w:rsidRPr="00693CDF" w:rsidRDefault="00E249BC" w:rsidP="004D1ECB">
            <w:pPr>
              <w:ind w:left="176"/>
              <w:jc w:val="both"/>
              <w:rPr>
                <w:rFonts w:eastAsia="Calibri"/>
                <w:color w:val="2C2D2E"/>
                <w:sz w:val="24"/>
                <w:szCs w:val="24"/>
                <w:lang w:val="en-US" w:eastAsia="en-US"/>
              </w:rPr>
            </w:pPr>
            <w:r>
              <w:rPr>
                <w:rFonts w:eastAsia="Calibri"/>
                <w:color w:val="2C2D2E"/>
                <w:sz w:val="24"/>
                <w:szCs w:val="24"/>
                <w:lang w:val="en-US" w:eastAsia="en-US"/>
              </w:rPr>
              <w:t>Number of pixels</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E249BC" w:rsidRDefault="00E249BC" w:rsidP="004D1ECB">
            <w:pPr>
              <w:ind w:firstLine="567"/>
              <w:jc w:val="both"/>
              <w:rPr>
                <w:rFonts w:eastAsia="Calibri"/>
                <w:color w:val="2C2D2E"/>
                <w:sz w:val="24"/>
                <w:szCs w:val="24"/>
                <w:lang w:eastAsia="en-US"/>
              </w:rPr>
            </w:pPr>
            <w:r>
              <w:rPr>
                <w:rFonts w:eastAsia="Calibri"/>
                <w:color w:val="2C2D2E"/>
                <w:sz w:val="24"/>
                <w:szCs w:val="24"/>
                <w:lang w:eastAsia="en-US"/>
              </w:rPr>
              <w:t>1000 - 1200</w:t>
            </w:r>
          </w:p>
        </w:tc>
      </w:tr>
    </w:tbl>
    <w:p w:rsidR="00E249BC" w:rsidRDefault="00E249BC" w:rsidP="00E249BC">
      <w:pPr>
        <w:ind w:firstLine="567"/>
        <w:jc w:val="both"/>
        <w:rPr>
          <w:sz w:val="24"/>
          <w:szCs w:val="24"/>
        </w:rPr>
      </w:pPr>
    </w:p>
    <w:p w:rsidR="00E249BC" w:rsidRDefault="00E249BC" w:rsidP="00E249BC">
      <w:pPr>
        <w:ind w:firstLine="567"/>
        <w:jc w:val="both"/>
        <w:rPr>
          <w:sz w:val="24"/>
          <w:szCs w:val="24"/>
          <w:highlight w:val="yellow"/>
        </w:rPr>
      </w:pP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It can be noted that such a telescope will work together with HiSCORE stations, the</w:t>
      </w:r>
      <w:r>
        <w:rPr>
          <w:rFonts w:eastAsia="NotoSans-Regular"/>
          <w:sz w:val="24"/>
          <w:szCs w:val="24"/>
          <w:lang w:val="en-US" w:eastAsia="ru-RU"/>
        </w:rPr>
        <w:t xml:space="preserve"> </w:t>
      </w:r>
      <w:r w:rsidRPr="00693CDF">
        <w:rPr>
          <w:rFonts w:eastAsia="NotoSans-Regular"/>
          <w:sz w:val="24"/>
          <w:szCs w:val="24"/>
          <w:lang w:val="en-US" w:eastAsia="ru-RU"/>
        </w:rPr>
        <w:t>energy threshold of which is about 70 TeV. Thus, it can be seen that in the region of joint</w:t>
      </w:r>
      <w:r>
        <w:rPr>
          <w:rFonts w:eastAsia="NotoSans-Regular"/>
          <w:sz w:val="24"/>
          <w:szCs w:val="24"/>
          <w:lang w:val="en-US" w:eastAsia="ru-RU"/>
        </w:rPr>
        <w:t xml:space="preserve"> </w:t>
      </w:r>
      <w:r w:rsidRPr="00693CDF">
        <w:rPr>
          <w:rFonts w:eastAsia="NotoSans-Regular"/>
          <w:sz w:val="24"/>
          <w:szCs w:val="24"/>
          <w:lang w:val="en-US" w:eastAsia="ru-RU"/>
        </w:rPr>
        <w:t>work energies, the effective area covers dozens of stations and can help the EAS analysis by</w:t>
      </w:r>
      <w:r>
        <w:rPr>
          <w:rFonts w:eastAsia="NotoSans-Regular"/>
          <w:sz w:val="24"/>
          <w:szCs w:val="24"/>
          <w:lang w:val="en-US" w:eastAsia="ru-RU"/>
        </w:rPr>
        <w:t xml:space="preserve"> </w:t>
      </w:r>
      <w:r w:rsidRPr="00693CDF">
        <w:rPr>
          <w:rFonts w:eastAsia="NotoSans-Regular"/>
          <w:sz w:val="24"/>
          <w:szCs w:val="24"/>
          <w:lang w:val="en-US" w:eastAsia="ru-RU"/>
        </w:rPr>
        <w:t>having a spatial pattern in several pixels.</w:t>
      </w:r>
    </w:p>
    <w:p w:rsidR="00E249BC" w:rsidRPr="00693CDF" w:rsidRDefault="00E249BC" w:rsidP="00E249B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A prototype of a wide-angle lens Cherenkov telescope has been successfully manufactured and</w:t>
      </w:r>
      <w:r>
        <w:rPr>
          <w:rFonts w:eastAsia="NotoSans-Regular"/>
          <w:sz w:val="24"/>
          <w:szCs w:val="24"/>
          <w:lang w:val="en-US" w:eastAsia="ru-RU"/>
        </w:rPr>
        <w:t xml:space="preserve"> </w:t>
      </w:r>
      <w:r w:rsidRPr="00693CDF">
        <w:rPr>
          <w:rFonts w:eastAsia="NotoSans-Regular"/>
          <w:sz w:val="24"/>
          <w:szCs w:val="24"/>
          <w:lang w:val="en-US" w:eastAsia="ru-RU"/>
        </w:rPr>
        <w:t>installed at the test site. At present, the camera is expected to be manufactured and the telescope can</w:t>
      </w:r>
      <w:r>
        <w:rPr>
          <w:rFonts w:eastAsia="NotoSans-Regular"/>
          <w:sz w:val="24"/>
          <w:szCs w:val="24"/>
          <w:lang w:val="en-US" w:eastAsia="ru-RU"/>
        </w:rPr>
        <w:t xml:space="preserve"> </w:t>
      </w:r>
      <w:r w:rsidRPr="00693CDF">
        <w:rPr>
          <w:rFonts w:eastAsia="NotoSans-Regular"/>
          <w:sz w:val="24"/>
          <w:szCs w:val="24"/>
          <w:lang w:val="en-US" w:eastAsia="ru-RU"/>
        </w:rPr>
        <w:t>start working.</w:t>
      </w:r>
    </w:p>
    <w:p w:rsidR="00E249BC" w:rsidRPr="00693CDF" w:rsidRDefault="00E249BC" w:rsidP="00E249BC">
      <w:pPr>
        <w:ind w:firstLine="567"/>
        <w:jc w:val="both"/>
        <w:rPr>
          <w:sz w:val="24"/>
          <w:szCs w:val="24"/>
          <w:highlight w:val="yellow"/>
          <w:lang w:val="en-US"/>
        </w:rPr>
      </w:pPr>
    </w:p>
    <w:p w:rsidR="00E249BC" w:rsidRPr="00693CDF" w:rsidRDefault="00E249BC" w:rsidP="00E249BC">
      <w:pPr>
        <w:pStyle w:val="Heading2"/>
        <w:rPr>
          <w:lang w:val="en-US"/>
        </w:rPr>
      </w:pPr>
      <w:r>
        <w:rPr>
          <w:lang w:val="en-US"/>
        </w:rPr>
        <w:t>Bibliography</w:t>
      </w:r>
    </w:p>
    <w:p w:rsidR="00E249BC" w:rsidRDefault="00E249BC" w:rsidP="00E249BC">
      <w:pPr>
        <w:spacing w:line="240" w:lineRule="atLeast"/>
        <w:ind w:left="567" w:hanging="567"/>
        <w:rPr>
          <w:sz w:val="24"/>
          <w:szCs w:val="24"/>
          <w:lang w:val="en-US"/>
        </w:rPr>
      </w:pPr>
    </w:p>
    <w:p w:rsidR="00E249BC" w:rsidRDefault="00E249BC" w:rsidP="00E249BC">
      <w:pPr>
        <w:spacing w:line="240" w:lineRule="atLeast"/>
        <w:ind w:left="567" w:hanging="567"/>
        <w:rPr>
          <w:sz w:val="24"/>
          <w:szCs w:val="24"/>
          <w:lang w:val="en-US"/>
        </w:rPr>
      </w:pPr>
      <w:r>
        <w:rPr>
          <w:sz w:val="24"/>
          <w:szCs w:val="24"/>
          <w:lang w:val="en-US"/>
        </w:rPr>
        <w:t>1. F.Aharonian (HESS Collaboration)//Astroparticle Physics 34(2011) 738-747</w:t>
      </w:r>
    </w:p>
    <w:p w:rsidR="00E249BC" w:rsidRDefault="00E249BC" w:rsidP="00E249BC">
      <w:pPr>
        <w:spacing w:line="240" w:lineRule="atLeast"/>
        <w:ind w:left="567" w:hanging="567"/>
        <w:rPr>
          <w:sz w:val="24"/>
          <w:szCs w:val="24"/>
          <w:lang w:val="en-US"/>
        </w:rPr>
      </w:pPr>
      <w:r>
        <w:rPr>
          <w:sz w:val="24"/>
          <w:szCs w:val="24"/>
          <w:lang w:val="en-US"/>
        </w:rPr>
        <w:t>2. V.Acciari (VERITAS Collaboaration) Ap.J Letters 730 (2011) L20</w:t>
      </w:r>
    </w:p>
    <w:p w:rsidR="00E249BC" w:rsidRDefault="00E249BC" w:rsidP="00E249BC">
      <w:pPr>
        <w:spacing w:line="240" w:lineRule="atLeast"/>
        <w:ind w:left="567" w:hanging="567"/>
        <w:rPr>
          <w:sz w:val="24"/>
          <w:szCs w:val="24"/>
          <w:lang w:val="en-US"/>
        </w:rPr>
      </w:pPr>
      <w:r>
        <w:rPr>
          <w:sz w:val="24"/>
          <w:szCs w:val="24"/>
          <w:lang w:val="en-US"/>
        </w:rPr>
        <w:t>3. Albert et al (MAGIC)// Astrophys.J.639:761-765,2006</w:t>
      </w:r>
    </w:p>
    <w:p w:rsidR="00E249BC" w:rsidRDefault="00E249BC" w:rsidP="00E249BC">
      <w:pPr>
        <w:spacing w:line="240" w:lineRule="atLeast"/>
        <w:ind w:left="567" w:hanging="567"/>
        <w:rPr>
          <w:sz w:val="24"/>
          <w:szCs w:val="24"/>
          <w:lang w:val="en-US"/>
        </w:rPr>
      </w:pPr>
      <w:r>
        <w:rPr>
          <w:sz w:val="24"/>
          <w:szCs w:val="24"/>
          <w:lang w:val="en-US"/>
        </w:rPr>
        <w:t>4. Abdo A.A. et al.,(Milagro) 2007, ApJ 664, L91</w:t>
      </w:r>
    </w:p>
    <w:p w:rsidR="00E249BC" w:rsidRDefault="00E249BC" w:rsidP="00E249BC">
      <w:pPr>
        <w:spacing w:line="240" w:lineRule="atLeast"/>
        <w:ind w:left="567" w:hanging="567"/>
        <w:rPr>
          <w:sz w:val="24"/>
          <w:szCs w:val="24"/>
          <w:lang w:val="en-US"/>
        </w:rPr>
      </w:pPr>
      <w:r>
        <w:rPr>
          <w:sz w:val="24"/>
          <w:szCs w:val="24"/>
          <w:lang w:val="en-US"/>
        </w:rPr>
        <w:t>5. A.Abdo et al. (Milagro)//arxiV: 1403.0161</w:t>
      </w:r>
    </w:p>
    <w:p w:rsidR="00E249BC" w:rsidRDefault="00E249BC" w:rsidP="00E249BC">
      <w:pPr>
        <w:spacing w:line="240" w:lineRule="atLeast"/>
        <w:ind w:left="567" w:hanging="567"/>
        <w:rPr>
          <w:sz w:val="24"/>
          <w:szCs w:val="24"/>
          <w:lang w:val="en-US"/>
        </w:rPr>
      </w:pPr>
      <w:r>
        <w:rPr>
          <w:sz w:val="24"/>
          <w:szCs w:val="24"/>
          <w:lang w:val="en-US"/>
        </w:rPr>
        <w:t>6. N. Budnev et al. (TAIGA Collaboration), Jour.Phys: Conf. Series 718 052006 (2016)</w:t>
      </w:r>
    </w:p>
    <w:p w:rsidR="00E249BC" w:rsidRDefault="00E249BC" w:rsidP="00E249BC">
      <w:pPr>
        <w:spacing w:line="240" w:lineRule="atLeast"/>
        <w:ind w:left="567" w:hanging="567"/>
        <w:rPr>
          <w:sz w:val="24"/>
          <w:szCs w:val="24"/>
          <w:lang w:val="en-US"/>
        </w:rPr>
      </w:pPr>
      <w:r>
        <w:rPr>
          <w:sz w:val="24"/>
          <w:szCs w:val="24"/>
          <w:lang w:val="en-US"/>
        </w:rPr>
        <w:t>7. Budnev N. et al., (TAIGA Collaboration), NIMA 845, 384 (2017)</w:t>
      </w:r>
    </w:p>
    <w:p w:rsidR="00E249BC" w:rsidRDefault="00E249BC" w:rsidP="00E249BC">
      <w:pPr>
        <w:spacing w:line="240" w:lineRule="atLeast"/>
        <w:ind w:left="567" w:hanging="567"/>
        <w:rPr>
          <w:sz w:val="24"/>
          <w:szCs w:val="24"/>
          <w:lang w:val="en-US"/>
        </w:rPr>
      </w:pPr>
      <w:r>
        <w:rPr>
          <w:sz w:val="24"/>
          <w:szCs w:val="24"/>
          <w:lang w:val="en-US"/>
        </w:rPr>
        <w:t>8. Tluczykont, D. Hampf, D. Horns, L.Kuzmichev et al.  Astropart. Phys., 56:42, 2014.</w:t>
      </w:r>
    </w:p>
    <w:p w:rsidR="00E249BC" w:rsidRDefault="00E249BC" w:rsidP="00E249BC">
      <w:pPr>
        <w:spacing w:line="240" w:lineRule="atLeast"/>
        <w:ind w:left="567" w:hanging="567"/>
        <w:rPr>
          <w:sz w:val="24"/>
          <w:szCs w:val="24"/>
          <w:lang w:val="en-US"/>
        </w:rPr>
      </w:pPr>
      <w:r>
        <w:rPr>
          <w:sz w:val="24"/>
          <w:szCs w:val="24"/>
          <w:lang w:val="en-US"/>
        </w:rPr>
        <w:t>9. G.Di.Sciascio (LHAASO collaboration) //arXiv: 1602.07600</w:t>
      </w:r>
    </w:p>
    <w:p w:rsidR="00E249BC" w:rsidRDefault="00E249BC" w:rsidP="00E249BC">
      <w:pPr>
        <w:spacing w:line="240" w:lineRule="atLeast"/>
        <w:ind w:left="567" w:hanging="567"/>
        <w:rPr>
          <w:sz w:val="24"/>
          <w:szCs w:val="24"/>
          <w:lang w:val="en-US"/>
        </w:rPr>
      </w:pPr>
      <w:r>
        <w:rPr>
          <w:sz w:val="24"/>
          <w:szCs w:val="24"/>
          <w:lang w:val="en-US"/>
        </w:rPr>
        <w:t>10. B.S.Acharya et al. (CTA collaboration) Astroparticle Physics 43 (2013) 3-18;</w:t>
      </w:r>
    </w:p>
    <w:p w:rsidR="00E249BC" w:rsidRDefault="00E249BC" w:rsidP="00E249BC">
      <w:pPr>
        <w:spacing w:line="240" w:lineRule="atLeast"/>
        <w:ind w:left="567" w:hanging="567"/>
        <w:rPr>
          <w:sz w:val="24"/>
          <w:szCs w:val="24"/>
          <w:lang w:val="en-US"/>
        </w:rPr>
      </w:pPr>
      <w:r>
        <w:rPr>
          <w:sz w:val="24"/>
          <w:szCs w:val="24"/>
          <w:lang w:val="en-US"/>
        </w:rPr>
        <w:t>11. Schioppa E.J. et al. [CTA SST-1M Project Collaboration] // arXiv:1508.06453.</w:t>
      </w:r>
    </w:p>
    <w:p w:rsidR="00E249BC" w:rsidRDefault="00E249BC" w:rsidP="00E249BC">
      <w:pPr>
        <w:spacing w:line="240" w:lineRule="atLeast"/>
        <w:ind w:left="567" w:hanging="567"/>
        <w:rPr>
          <w:sz w:val="24"/>
          <w:szCs w:val="24"/>
          <w:lang w:val="en-US"/>
        </w:rPr>
      </w:pPr>
      <w:r>
        <w:rPr>
          <w:sz w:val="24"/>
          <w:szCs w:val="24"/>
          <w:lang w:val="en-US"/>
        </w:rPr>
        <w:t>12. G.Sinnis. Nucl.Instrum.Meth.A623:410-412,2010</w:t>
      </w:r>
    </w:p>
    <w:p w:rsidR="00E249BC" w:rsidRDefault="00E249BC" w:rsidP="00E249BC">
      <w:pPr>
        <w:spacing w:line="240" w:lineRule="atLeast"/>
        <w:ind w:left="567" w:hanging="567"/>
        <w:rPr>
          <w:sz w:val="24"/>
          <w:szCs w:val="24"/>
          <w:lang w:val="en-US"/>
        </w:rPr>
      </w:pPr>
      <w:r>
        <w:rPr>
          <w:sz w:val="24"/>
          <w:szCs w:val="24"/>
          <w:lang w:val="en-US"/>
        </w:rPr>
        <w:t>13. Home pager of HAWC: www.hawc-observatory.org</w:t>
      </w:r>
    </w:p>
    <w:p w:rsidR="00E249BC" w:rsidRDefault="00E249BC" w:rsidP="00E249BC">
      <w:pPr>
        <w:spacing w:line="240" w:lineRule="atLeast"/>
        <w:ind w:left="567" w:hanging="567"/>
        <w:rPr>
          <w:sz w:val="24"/>
          <w:szCs w:val="24"/>
          <w:lang w:val="en-US"/>
        </w:rPr>
      </w:pPr>
      <w:r>
        <w:rPr>
          <w:sz w:val="24"/>
          <w:szCs w:val="24"/>
          <w:lang w:val="en-US"/>
        </w:rPr>
        <w:t>14. HAWC collaboration. Astroparticle Physics 50-52(2013) 26-32</w:t>
      </w:r>
    </w:p>
    <w:p w:rsidR="00E249BC" w:rsidRPr="00592330" w:rsidRDefault="00E249BC" w:rsidP="00E249BC">
      <w:pPr>
        <w:spacing w:line="240" w:lineRule="atLeast"/>
        <w:ind w:left="567" w:hanging="567"/>
        <w:rPr>
          <w:lang w:val="en-US"/>
        </w:rPr>
      </w:pPr>
      <w:r>
        <w:rPr>
          <w:sz w:val="24"/>
          <w:szCs w:val="24"/>
          <w:lang w:val="en-US"/>
        </w:rPr>
        <w:t>15. Tibet AS</w:t>
      </w:r>
      <w:r>
        <w:rPr>
          <w:sz w:val="24"/>
          <w:szCs w:val="24"/>
        </w:rPr>
        <w:t>γ</w:t>
      </w:r>
      <w:r>
        <w:rPr>
          <w:sz w:val="24"/>
          <w:szCs w:val="24"/>
          <w:lang w:val="en-US"/>
        </w:rPr>
        <w:t xml:space="preserve"> (the Tibet air-shower array) [15]</w:t>
      </w:r>
    </w:p>
    <w:p w:rsidR="00E249BC" w:rsidRDefault="00E249BC" w:rsidP="00E249BC">
      <w:pPr>
        <w:spacing w:line="240" w:lineRule="atLeast"/>
        <w:ind w:left="567" w:hanging="567"/>
        <w:rPr>
          <w:sz w:val="24"/>
          <w:szCs w:val="24"/>
          <w:lang w:val="en-US"/>
        </w:rPr>
      </w:pPr>
      <w:r>
        <w:rPr>
          <w:sz w:val="24"/>
          <w:szCs w:val="24"/>
          <w:lang w:val="en-US"/>
        </w:rPr>
        <w:t>16. M. Peresano, R. Mirzoyan, I. Vovk, P. Temnikov et al. for the MAGIC Collaboration, PoS(ICRC2019)759</w:t>
      </w:r>
    </w:p>
    <w:p w:rsidR="00E249BC" w:rsidRDefault="00E249BC" w:rsidP="00E249BC">
      <w:pPr>
        <w:spacing w:line="240" w:lineRule="atLeast"/>
        <w:ind w:left="567" w:hanging="567"/>
        <w:rPr>
          <w:sz w:val="24"/>
          <w:szCs w:val="24"/>
          <w:lang w:val="en-US"/>
        </w:rPr>
      </w:pPr>
      <w:r>
        <w:rPr>
          <w:sz w:val="24"/>
          <w:szCs w:val="24"/>
          <w:lang w:val="en-US"/>
        </w:rPr>
        <w:t>17. K. Malone for the HAWC Collaboration PoS(ICRC2019)734</w:t>
      </w:r>
    </w:p>
    <w:p w:rsidR="00E249BC" w:rsidRDefault="00E249BC" w:rsidP="00E249BC">
      <w:pPr>
        <w:spacing w:line="240" w:lineRule="atLeast"/>
        <w:ind w:left="567" w:hanging="567"/>
        <w:rPr>
          <w:sz w:val="24"/>
          <w:szCs w:val="24"/>
          <w:lang w:val="en-US"/>
        </w:rPr>
      </w:pPr>
      <w:r>
        <w:rPr>
          <w:sz w:val="24"/>
          <w:szCs w:val="24"/>
          <w:lang w:val="en-US"/>
        </w:rPr>
        <w:t>18. K. Kawata for Tibet AS gamma Collaboration, PoS(ICRC2019)712</w:t>
      </w:r>
    </w:p>
    <w:p w:rsidR="00E249BC" w:rsidRDefault="00E249BC" w:rsidP="00E249BC">
      <w:pPr>
        <w:spacing w:line="240" w:lineRule="atLeast"/>
        <w:ind w:left="567" w:hanging="567"/>
        <w:rPr>
          <w:sz w:val="24"/>
          <w:szCs w:val="24"/>
          <w:lang w:val="en-US"/>
        </w:rPr>
      </w:pPr>
      <w:r>
        <w:rPr>
          <w:sz w:val="24"/>
          <w:szCs w:val="24"/>
          <w:lang w:val="en-US"/>
        </w:rPr>
        <w:t>19. Q.An et al et// Nucl.Instrum.Meth.A644:11-17,2011</w:t>
      </w:r>
    </w:p>
    <w:p w:rsidR="00E249BC" w:rsidRDefault="00E249BC" w:rsidP="00E249BC">
      <w:pPr>
        <w:spacing w:line="240" w:lineRule="atLeast"/>
        <w:ind w:left="567" w:hanging="567"/>
        <w:rPr>
          <w:sz w:val="24"/>
          <w:szCs w:val="24"/>
          <w:lang w:val="en-US"/>
        </w:rPr>
      </w:pPr>
      <w:r>
        <w:rPr>
          <w:sz w:val="24"/>
          <w:szCs w:val="24"/>
          <w:lang w:val="en-US"/>
        </w:rPr>
        <w:t>20. G.Di.Sciascio (LHAASO collaboration) //arXiv: 1602.07600</w:t>
      </w:r>
    </w:p>
    <w:p w:rsidR="00E249BC" w:rsidRDefault="00E249BC" w:rsidP="00E249BC">
      <w:pPr>
        <w:spacing w:line="240" w:lineRule="atLeast"/>
        <w:ind w:left="567" w:hanging="567"/>
        <w:rPr>
          <w:sz w:val="24"/>
          <w:szCs w:val="24"/>
          <w:lang w:val="en-US"/>
        </w:rPr>
      </w:pPr>
      <w:r>
        <w:rPr>
          <w:sz w:val="24"/>
          <w:szCs w:val="24"/>
          <w:lang w:val="en-US"/>
        </w:rPr>
        <w:t xml:space="preserve">21. R. Mirzoyan et al., Nuclear Instr. And methods A351 (1994) 513-526. DOI: 10.1016/0168-9002(94)91381-1. </w:t>
      </w:r>
    </w:p>
    <w:p w:rsidR="00E249BC" w:rsidRDefault="00E249BC" w:rsidP="00E249BC">
      <w:pPr>
        <w:spacing w:line="240" w:lineRule="atLeast"/>
        <w:ind w:left="567" w:hanging="567"/>
        <w:rPr>
          <w:sz w:val="24"/>
          <w:szCs w:val="24"/>
          <w:lang w:val="en-US"/>
        </w:rPr>
      </w:pPr>
      <w:r>
        <w:rPr>
          <w:sz w:val="24"/>
          <w:szCs w:val="24"/>
          <w:lang w:val="en-US"/>
        </w:rPr>
        <w:lastRenderedPageBreak/>
        <w:t xml:space="preserve">22. I.I. Yashin et al. (TAIGA Coll.), Journal of Physics: Conference Series 675 (2016) 032037. </w:t>
      </w:r>
    </w:p>
    <w:p w:rsidR="00E249BC" w:rsidRDefault="00E249BC" w:rsidP="00E249BC">
      <w:pPr>
        <w:spacing w:line="240" w:lineRule="atLeast"/>
        <w:ind w:left="567" w:hanging="567"/>
        <w:rPr>
          <w:sz w:val="24"/>
          <w:szCs w:val="24"/>
          <w:lang w:val="en-US"/>
        </w:rPr>
      </w:pPr>
      <w:r>
        <w:rPr>
          <w:sz w:val="24"/>
          <w:szCs w:val="24"/>
          <w:lang w:val="en-US"/>
        </w:rPr>
        <w:t>23. I.I. Yashin et al. (TAIGA Coll.), PoS(ICRC2015)986.</w:t>
      </w:r>
    </w:p>
    <w:p w:rsidR="00E249BC" w:rsidRDefault="00E249BC" w:rsidP="00E249BC">
      <w:pPr>
        <w:spacing w:line="240" w:lineRule="atLeast"/>
        <w:ind w:left="567" w:hanging="567"/>
        <w:rPr>
          <w:sz w:val="24"/>
          <w:szCs w:val="24"/>
          <w:lang w:val="en-US"/>
        </w:rPr>
      </w:pPr>
      <w:r>
        <w:rPr>
          <w:sz w:val="24"/>
          <w:szCs w:val="24"/>
          <w:lang w:val="en-US"/>
        </w:rPr>
        <w:t xml:space="preserve">24. H. Anderhub et al., JINST 8 (2013) P06008 [arXiv:1304.1710]. </w:t>
      </w:r>
    </w:p>
    <w:p w:rsidR="00E249BC" w:rsidRDefault="00E249BC" w:rsidP="00E249BC">
      <w:pPr>
        <w:spacing w:line="240" w:lineRule="atLeast"/>
        <w:ind w:left="567" w:hanging="567"/>
        <w:rPr>
          <w:sz w:val="24"/>
          <w:szCs w:val="24"/>
          <w:lang w:val="en-US"/>
        </w:rPr>
      </w:pPr>
      <w:r>
        <w:rPr>
          <w:sz w:val="24"/>
          <w:szCs w:val="24"/>
          <w:lang w:val="en-US"/>
        </w:rPr>
        <w:t xml:space="preserve">25. A. Nepomuk Otte, D. Garcia, T. Nguyen and D. Purushotham, Nucl. Instrum. Meth. A846 (2017) 106 [arXiv:1606.05186]. </w:t>
      </w:r>
    </w:p>
    <w:p w:rsidR="00E249BC" w:rsidRDefault="00E249BC" w:rsidP="00E249BC">
      <w:pPr>
        <w:spacing w:line="240" w:lineRule="atLeast"/>
        <w:ind w:left="567" w:hanging="567"/>
        <w:rPr>
          <w:sz w:val="24"/>
          <w:szCs w:val="24"/>
          <w:lang w:val="en-US"/>
        </w:rPr>
      </w:pPr>
      <w:r>
        <w:rPr>
          <w:sz w:val="24"/>
          <w:szCs w:val="24"/>
          <w:lang w:val="en-US"/>
        </w:rPr>
        <w:t>26. M. Heller et al., PoS(ICRC2019)694 (2019) .</w:t>
      </w:r>
    </w:p>
    <w:p w:rsidR="00E249BC" w:rsidRDefault="00E249BC" w:rsidP="00E249BC">
      <w:pPr>
        <w:spacing w:line="240" w:lineRule="atLeast"/>
        <w:ind w:left="567" w:hanging="567"/>
        <w:rPr>
          <w:sz w:val="24"/>
          <w:szCs w:val="24"/>
          <w:lang w:val="en-US"/>
        </w:rPr>
      </w:pPr>
      <w:r>
        <w:rPr>
          <w:sz w:val="24"/>
          <w:szCs w:val="24"/>
          <w:lang w:val="en-US"/>
        </w:rPr>
        <w:t xml:space="preserve">27. J. A. Aguilar et al., Nucl. Instrum. Meth. A830 (2016) 219. </w:t>
      </w:r>
    </w:p>
    <w:p w:rsidR="00E249BC" w:rsidRDefault="00E249BC" w:rsidP="00E249BC">
      <w:pPr>
        <w:spacing w:line="240" w:lineRule="atLeast"/>
        <w:ind w:left="567" w:hanging="567"/>
        <w:rPr>
          <w:sz w:val="24"/>
          <w:szCs w:val="24"/>
          <w:lang w:val="en-US"/>
        </w:rPr>
      </w:pPr>
      <w:r>
        <w:rPr>
          <w:sz w:val="24"/>
          <w:szCs w:val="24"/>
          <w:lang w:val="en-US"/>
        </w:rPr>
        <w:t>28. P. Rajda et al., PoS(ICRC2015)931 (2015) [arXiv:1508.06082].</w:t>
      </w:r>
    </w:p>
    <w:p w:rsidR="00E249BC" w:rsidRDefault="00E249BC" w:rsidP="00E249BC">
      <w:pPr>
        <w:spacing w:line="240" w:lineRule="atLeast"/>
        <w:ind w:left="567" w:hanging="567"/>
        <w:rPr>
          <w:sz w:val="24"/>
          <w:szCs w:val="24"/>
          <w:lang w:val="en-US"/>
        </w:rPr>
      </w:pPr>
      <w:r>
        <w:rPr>
          <w:sz w:val="24"/>
          <w:szCs w:val="24"/>
          <w:lang w:val="en-US"/>
        </w:rPr>
        <w:t>29. V.Prosin et al. (Tunka Collaboration)  NIM A 756, 94 (2014)</w:t>
      </w:r>
    </w:p>
    <w:p w:rsidR="00E249BC" w:rsidRDefault="00E249BC" w:rsidP="00E249BC">
      <w:pPr>
        <w:spacing w:line="240" w:lineRule="atLeast"/>
        <w:ind w:left="567" w:hanging="567"/>
        <w:rPr>
          <w:sz w:val="24"/>
          <w:szCs w:val="24"/>
          <w:lang w:val="en-US"/>
        </w:rPr>
      </w:pPr>
      <w:r>
        <w:rPr>
          <w:sz w:val="24"/>
          <w:szCs w:val="24"/>
          <w:lang w:val="en-US"/>
        </w:rPr>
        <w:t>30. N.Lubsandorzhiev et al., PoS(ICRC2019)729.</w:t>
      </w:r>
    </w:p>
    <w:p w:rsidR="00E249BC" w:rsidRDefault="00E249BC" w:rsidP="00E249BC">
      <w:pPr>
        <w:spacing w:line="240" w:lineRule="atLeast"/>
        <w:ind w:left="567" w:hanging="567"/>
        <w:rPr>
          <w:sz w:val="24"/>
          <w:szCs w:val="24"/>
          <w:lang w:val="en-US"/>
        </w:rPr>
      </w:pPr>
      <w:r>
        <w:rPr>
          <w:sz w:val="24"/>
          <w:szCs w:val="24"/>
          <w:lang w:val="en-US"/>
        </w:rPr>
        <w:t>31. Y. Sagan et al., PoS(ICRC2019)776</w:t>
      </w:r>
    </w:p>
    <w:p w:rsidR="00E249BC" w:rsidRDefault="00E249BC" w:rsidP="00E249BC">
      <w:pPr>
        <w:spacing w:line="240" w:lineRule="atLeast"/>
        <w:ind w:left="567" w:hanging="567"/>
        <w:rPr>
          <w:sz w:val="24"/>
          <w:szCs w:val="24"/>
          <w:lang w:val="en-US"/>
        </w:rPr>
      </w:pPr>
      <w:r>
        <w:rPr>
          <w:sz w:val="24"/>
          <w:szCs w:val="24"/>
          <w:lang w:val="en-US"/>
        </w:rPr>
        <w:t>32. E.B. Postnikov et al. Bulletin of the Russian Academy of Sciences: Physics, 2017, Vol. 81, No. 4, pp. 428-430</w:t>
      </w:r>
    </w:p>
    <w:p w:rsidR="00E249BC" w:rsidRDefault="00E249BC" w:rsidP="00E249BC">
      <w:pPr>
        <w:spacing w:line="240" w:lineRule="atLeast"/>
        <w:ind w:left="567" w:hanging="567"/>
        <w:rPr>
          <w:sz w:val="24"/>
          <w:szCs w:val="24"/>
          <w:lang w:val="en-US"/>
        </w:rPr>
      </w:pPr>
      <w:r>
        <w:rPr>
          <w:sz w:val="24"/>
          <w:szCs w:val="24"/>
          <w:lang w:val="en-US"/>
        </w:rPr>
        <w:t>33. E.B. Postnikov, A.A,Grinyuk  et al. Proceedings of ISVHECRI-2016</w:t>
      </w:r>
    </w:p>
    <w:p w:rsidR="00E249BC" w:rsidRDefault="00E249BC" w:rsidP="00E249BC">
      <w:pPr>
        <w:spacing w:line="240" w:lineRule="atLeast"/>
        <w:ind w:left="567" w:hanging="567"/>
        <w:rPr>
          <w:sz w:val="24"/>
          <w:szCs w:val="24"/>
          <w:lang w:val="en-US"/>
        </w:rPr>
      </w:pPr>
      <w:r>
        <w:rPr>
          <w:sz w:val="24"/>
          <w:szCs w:val="24"/>
          <w:lang w:val="en-US"/>
        </w:rPr>
        <w:t>34. Heck D., Knapp J., et al. // Report FZKA 6019. Forschungszent. Karlsruhe. 1998.</w:t>
      </w:r>
    </w:p>
    <w:p w:rsidR="00E249BC" w:rsidRDefault="00E249BC" w:rsidP="00E249BC">
      <w:pPr>
        <w:spacing w:line="240" w:lineRule="atLeast"/>
        <w:ind w:left="567" w:hanging="567"/>
        <w:rPr>
          <w:sz w:val="24"/>
          <w:szCs w:val="24"/>
          <w:lang w:val="en-US"/>
        </w:rPr>
      </w:pPr>
      <w:r>
        <w:rPr>
          <w:sz w:val="24"/>
          <w:szCs w:val="24"/>
          <w:lang w:val="en-US"/>
        </w:rPr>
        <w:t>35. Hillas A.M. // Proc. 19nd ICRC. La Jolla. NASA Conf. Publ., 1985. V. 3. P. 445.</w:t>
      </w:r>
    </w:p>
    <w:p w:rsidR="00E249BC" w:rsidRDefault="00E249BC" w:rsidP="00E249BC">
      <w:pPr>
        <w:spacing w:line="240" w:lineRule="atLeast"/>
        <w:ind w:left="567" w:hanging="567"/>
        <w:rPr>
          <w:sz w:val="24"/>
          <w:szCs w:val="24"/>
          <w:lang w:val="en-US"/>
        </w:rPr>
      </w:pPr>
      <w:r>
        <w:rPr>
          <w:sz w:val="24"/>
          <w:szCs w:val="24"/>
          <w:lang w:val="en-US"/>
        </w:rPr>
        <w:t>36. Li, T.-P., &amp; Ma, Y.-Q. 1983, ApJ, 272, L317.</w:t>
      </w:r>
    </w:p>
    <w:p w:rsidR="00E249BC" w:rsidRDefault="00E249BC" w:rsidP="00E249BC">
      <w:pPr>
        <w:spacing w:line="240" w:lineRule="atLeast"/>
        <w:ind w:left="567" w:hanging="567"/>
        <w:rPr>
          <w:sz w:val="24"/>
          <w:szCs w:val="24"/>
          <w:lang w:val="en-US"/>
        </w:rPr>
      </w:pPr>
      <w:r>
        <w:rPr>
          <w:sz w:val="24"/>
          <w:szCs w:val="24"/>
          <w:lang w:val="en-US"/>
        </w:rPr>
        <w:t xml:space="preserve">37. L.Kuzmichev et al., NIM A  952 (2020 ) 161830. </w:t>
      </w:r>
    </w:p>
    <w:p w:rsidR="00E249BC" w:rsidRDefault="00E249BC" w:rsidP="00E249BC">
      <w:pPr>
        <w:spacing w:line="240" w:lineRule="atLeast"/>
        <w:ind w:left="567" w:hanging="567"/>
        <w:rPr>
          <w:lang w:val="en-US"/>
        </w:rPr>
      </w:pPr>
      <w:r>
        <w:rPr>
          <w:sz w:val="24"/>
          <w:szCs w:val="24"/>
          <w:lang w:val="en-US"/>
        </w:rPr>
        <w:t xml:space="preserve">38. M.Heller, A.N.Borodin et al. </w:t>
      </w:r>
      <w:r w:rsidRPr="00C33D33">
        <w:rPr>
          <w:sz w:val="24"/>
          <w:szCs w:val="24"/>
          <w:lang w:val="en-US"/>
        </w:rPr>
        <w:t>PEPAN</w:t>
      </w:r>
      <w:r w:rsidRPr="0035180C">
        <w:rPr>
          <w:sz w:val="24"/>
          <w:szCs w:val="24"/>
          <w:lang w:val="en-US"/>
        </w:rPr>
        <w:t xml:space="preserve"> </w:t>
      </w:r>
      <w:r w:rsidRPr="00C33D33">
        <w:rPr>
          <w:sz w:val="24"/>
          <w:szCs w:val="24"/>
          <w:lang w:val="en-US"/>
        </w:rPr>
        <w:t>Letters</w:t>
      </w:r>
      <w:r w:rsidRPr="0035180C">
        <w:rPr>
          <w:sz w:val="24"/>
          <w:szCs w:val="24"/>
          <w:lang w:val="en-US"/>
        </w:rPr>
        <w:t xml:space="preserve"> (2020 </w:t>
      </w:r>
      <w:r>
        <w:rPr>
          <w:sz w:val="24"/>
          <w:szCs w:val="24"/>
        </w:rPr>
        <w:t>г</w:t>
      </w:r>
      <w:r w:rsidRPr="0035180C">
        <w:rPr>
          <w:sz w:val="24"/>
          <w:szCs w:val="24"/>
          <w:lang w:val="en-US"/>
        </w:rPr>
        <w:t>.)</w:t>
      </w:r>
      <w:bookmarkStart w:id="6" w:name="_Toc131525074"/>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E249BC" w:rsidRDefault="00E249BC" w:rsidP="00E249BC">
      <w:pPr>
        <w:spacing w:line="240" w:lineRule="atLeast"/>
        <w:ind w:left="567" w:hanging="567"/>
        <w:rPr>
          <w:lang w:val="en-US"/>
        </w:rPr>
      </w:pPr>
    </w:p>
    <w:p w:rsidR="00386748" w:rsidRPr="00E249BC" w:rsidRDefault="00E249BC" w:rsidP="00E249BC">
      <w:pPr>
        <w:spacing w:line="240" w:lineRule="atLeast"/>
        <w:ind w:left="567" w:hanging="567"/>
        <w:rPr>
          <w:b/>
          <w:sz w:val="24"/>
          <w:szCs w:val="24"/>
          <w:lang w:val="en-US"/>
        </w:rPr>
      </w:pPr>
      <w:r>
        <w:rPr>
          <w:b/>
          <w:sz w:val="24"/>
          <w:szCs w:val="24"/>
          <w:lang w:val="en-US"/>
        </w:rPr>
        <w:lastRenderedPageBreak/>
        <w:t>REPORT on the activity of "Experiment OLVE-HERO"</w:t>
      </w:r>
      <w:bookmarkEnd w:id="6"/>
    </w:p>
    <w:p w:rsidR="00386748" w:rsidRPr="00E249BC" w:rsidRDefault="00386748">
      <w:pPr>
        <w:rPr>
          <w:sz w:val="24"/>
          <w:szCs w:val="24"/>
          <w:lang w:val="en-US"/>
        </w:rPr>
      </w:pPr>
    </w:p>
    <w:p w:rsidR="00E249BC" w:rsidRDefault="00E249BC" w:rsidP="00E249BC">
      <w:pPr>
        <w:suppressAutoHyphens w:val="0"/>
        <w:autoSpaceDE w:val="0"/>
        <w:autoSpaceDN w:val="0"/>
        <w:adjustRightInd w:val="0"/>
        <w:spacing w:line="276" w:lineRule="auto"/>
        <w:jc w:val="both"/>
        <w:rPr>
          <w:sz w:val="24"/>
          <w:szCs w:val="24"/>
          <w:lang w:val="en-US"/>
        </w:rPr>
      </w:pPr>
      <w:r>
        <w:rPr>
          <w:rFonts w:ascii="NotoSans-Regular" w:eastAsia="NotoSans-Regular" w:cs="NotoSans-Regular"/>
          <w:sz w:val="21"/>
          <w:szCs w:val="21"/>
          <w:lang w:val="en-US" w:eastAsia="ru-RU"/>
        </w:rPr>
        <w:tab/>
      </w:r>
      <w:r w:rsidRPr="00E249BC">
        <w:rPr>
          <w:rFonts w:eastAsia="NotoSans-Regular"/>
          <w:sz w:val="24"/>
          <w:szCs w:val="24"/>
          <w:lang w:val="en-US" w:eastAsia="ru-RU"/>
        </w:rPr>
        <w:t>The lead organization in the preparation of the OLVE-HERO experiment is SINP MSU. Within</w:t>
      </w:r>
      <w:r>
        <w:rPr>
          <w:rFonts w:eastAsia="NotoSans-Regular"/>
          <w:sz w:val="24"/>
          <w:szCs w:val="24"/>
          <w:lang w:val="en-US" w:eastAsia="ru-RU"/>
        </w:rPr>
        <w:t xml:space="preserve"> </w:t>
      </w:r>
      <w:r w:rsidRPr="00E249BC">
        <w:rPr>
          <w:rFonts w:eastAsia="NotoSans-Regular"/>
          <w:sz w:val="24"/>
          <w:szCs w:val="24"/>
          <w:lang w:val="en-US" w:eastAsia="ru-RU"/>
        </w:rPr>
        <w:t xml:space="preserve">the </w:t>
      </w:r>
      <w:r w:rsidR="00066AFE">
        <w:rPr>
          <w:rFonts w:eastAsia="NotoSans-Regular"/>
          <w:sz w:val="24"/>
          <w:szCs w:val="24"/>
          <w:lang w:val="en-US" w:eastAsia="ru-RU"/>
        </w:rPr>
        <w:t>list</w:t>
      </w:r>
      <w:r w:rsidRPr="00E249BC">
        <w:rPr>
          <w:rFonts w:eastAsia="NotoSans-Regular"/>
          <w:sz w:val="24"/>
          <w:szCs w:val="24"/>
          <w:lang w:val="en-US" w:eastAsia="ru-RU"/>
        </w:rPr>
        <w:t xml:space="preserve"> of the Federal Space Program (FSP) for 2016-2025. R&amp;D of OLVE-HERO is being</w:t>
      </w:r>
      <w:r>
        <w:rPr>
          <w:rFonts w:eastAsia="NotoSans-Regular"/>
          <w:sz w:val="24"/>
          <w:szCs w:val="24"/>
          <w:lang w:val="en-US" w:eastAsia="ru-RU"/>
        </w:rPr>
        <w:t xml:space="preserve"> </w:t>
      </w:r>
      <w:r w:rsidRPr="00E249BC">
        <w:rPr>
          <w:rFonts w:eastAsia="NotoSans-Regular"/>
          <w:sz w:val="24"/>
          <w:szCs w:val="24"/>
          <w:lang w:val="en-US" w:eastAsia="ru-RU"/>
        </w:rPr>
        <w:t>carried out. Proposals have been formulated for the creation of a complex of scientific equipment</w:t>
      </w:r>
      <w:r>
        <w:rPr>
          <w:rFonts w:eastAsia="NotoSans-Regular"/>
          <w:sz w:val="24"/>
          <w:szCs w:val="24"/>
          <w:lang w:val="en-US" w:eastAsia="ru-RU"/>
        </w:rPr>
        <w:t xml:space="preserve"> </w:t>
      </w:r>
      <w:r w:rsidRPr="00E249BC">
        <w:rPr>
          <w:rFonts w:eastAsia="NotoSans-Regular"/>
          <w:sz w:val="24"/>
          <w:szCs w:val="24"/>
          <w:lang w:val="en-US" w:eastAsia="ru-RU"/>
        </w:rPr>
        <w:t>(SPA) with a total mass of up to 16 tons, subject to launch into low Earth orbit using a heavy launch</w:t>
      </w:r>
      <w:r>
        <w:rPr>
          <w:rFonts w:eastAsia="NotoSans-Regular"/>
          <w:sz w:val="24"/>
          <w:szCs w:val="24"/>
          <w:lang w:val="en-US" w:eastAsia="ru-RU"/>
        </w:rPr>
        <w:t xml:space="preserve"> </w:t>
      </w:r>
      <w:r w:rsidRPr="00E249BC">
        <w:rPr>
          <w:rFonts w:eastAsia="NotoSans-Regular"/>
          <w:sz w:val="24"/>
          <w:szCs w:val="24"/>
          <w:lang w:val="en-US" w:eastAsia="ru-RU"/>
        </w:rPr>
        <w:t>vehicle (Proton or Angara). This project, as R&amp;D, has been included in the FKP since 2021, with a</w:t>
      </w:r>
      <w:r>
        <w:rPr>
          <w:rFonts w:eastAsia="NotoSans-Regular"/>
          <w:sz w:val="24"/>
          <w:szCs w:val="24"/>
          <w:lang w:val="en-US" w:eastAsia="ru-RU"/>
        </w:rPr>
        <w:t xml:space="preserve"> </w:t>
      </w:r>
      <w:r w:rsidRPr="00E249BC">
        <w:rPr>
          <w:rFonts w:eastAsia="NotoSans-Regular"/>
          <w:sz w:val="24"/>
          <w:szCs w:val="24"/>
          <w:lang w:val="en-US" w:eastAsia="ru-RU"/>
        </w:rPr>
        <w:t>launch in the period up to 2030.</w:t>
      </w:r>
    </w:p>
    <w:p w:rsidR="00066AFE" w:rsidRPr="0035180C" w:rsidRDefault="00066AFE" w:rsidP="00066AFE">
      <w:pPr>
        <w:suppressAutoHyphens w:val="0"/>
        <w:autoSpaceDE w:val="0"/>
        <w:autoSpaceDN w:val="0"/>
        <w:adjustRightInd w:val="0"/>
        <w:spacing w:line="276" w:lineRule="auto"/>
        <w:jc w:val="both"/>
        <w:rPr>
          <w:rFonts w:eastAsia="NotoSans-Regular"/>
          <w:sz w:val="24"/>
          <w:szCs w:val="24"/>
          <w:lang w:val="en-US" w:eastAsia="ru-RU"/>
        </w:rPr>
      </w:pPr>
      <w:r>
        <w:rPr>
          <w:rFonts w:ascii="NotoSans-Regular" w:eastAsia="NotoSans-Regular" w:cs="NotoSans-Regular"/>
          <w:sz w:val="23"/>
          <w:szCs w:val="23"/>
          <w:lang w:val="en-US" w:eastAsia="ru-RU"/>
        </w:rPr>
        <w:tab/>
      </w:r>
      <w:r w:rsidRPr="00066AFE">
        <w:rPr>
          <w:rFonts w:eastAsia="NotoSans-Regular"/>
          <w:sz w:val="24"/>
          <w:szCs w:val="24"/>
          <w:lang w:val="en-US" w:eastAsia="ru-RU"/>
        </w:rPr>
        <w:t>In preparation for this experiment at JINR, prototypes of boron calorimeters were</w:t>
      </w:r>
      <w:r>
        <w:rPr>
          <w:rFonts w:eastAsia="NotoSans-Regular"/>
          <w:sz w:val="24"/>
          <w:szCs w:val="24"/>
          <w:lang w:val="en-US" w:eastAsia="ru-RU"/>
        </w:rPr>
        <w:t xml:space="preserve"> </w:t>
      </w:r>
      <w:r w:rsidRPr="00066AFE">
        <w:rPr>
          <w:rFonts w:eastAsia="NotoSans-Regular"/>
          <w:sz w:val="24"/>
          <w:szCs w:val="24"/>
          <w:lang w:val="en-US" w:eastAsia="ru-RU"/>
        </w:rPr>
        <w:t>developed, manufactured and tested on SPS beams at CERN. The results obtained on</w:t>
      </w:r>
      <w:r>
        <w:rPr>
          <w:rFonts w:eastAsia="NotoSans-Regular"/>
          <w:sz w:val="24"/>
          <w:szCs w:val="24"/>
          <w:lang w:val="en-US" w:eastAsia="ru-RU"/>
        </w:rPr>
        <w:t xml:space="preserve"> </w:t>
      </w:r>
      <w:r w:rsidRPr="00066AFE">
        <w:rPr>
          <w:rFonts w:eastAsia="NotoSans-Regular"/>
          <w:sz w:val="24"/>
          <w:szCs w:val="24"/>
          <w:lang w:val="en-US" w:eastAsia="ru-RU"/>
        </w:rPr>
        <w:t>measuring the yield of alpha particles arising in the absorption of thermal neutrons by</w:t>
      </w:r>
      <w:r>
        <w:rPr>
          <w:rFonts w:eastAsia="NotoSans-Regular"/>
          <w:sz w:val="24"/>
          <w:szCs w:val="24"/>
          <w:lang w:val="en-US" w:eastAsia="ru-RU"/>
        </w:rPr>
        <w:t xml:space="preserve"> </w:t>
      </w:r>
      <w:r w:rsidRPr="00066AFE">
        <w:rPr>
          <w:rFonts w:eastAsia="NotoSans-Regular"/>
          <w:sz w:val="24"/>
          <w:szCs w:val="24"/>
          <w:lang w:val="en-US" w:eastAsia="ru-RU"/>
        </w:rPr>
        <w:t>boron-10 nuclei were reported at various conferences, including the international</w:t>
      </w:r>
      <w:r>
        <w:rPr>
          <w:rFonts w:eastAsia="NotoSans-Regular"/>
          <w:sz w:val="24"/>
          <w:szCs w:val="24"/>
          <w:lang w:val="en-US" w:eastAsia="ru-RU"/>
        </w:rPr>
        <w:t xml:space="preserve"> </w:t>
      </w:r>
      <w:r w:rsidRPr="00066AFE">
        <w:rPr>
          <w:rFonts w:eastAsia="NotoSans-Regular"/>
          <w:sz w:val="24"/>
          <w:szCs w:val="24"/>
          <w:lang w:val="en-US" w:eastAsia="ru-RU"/>
        </w:rPr>
        <w:t>conference ICRC-2019 in Madison, USA.</w:t>
      </w:r>
    </w:p>
    <w:p w:rsidR="00386748" w:rsidRDefault="00066AFE" w:rsidP="00066AF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066AFE">
        <w:rPr>
          <w:rFonts w:eastAsia="NotoSans-Regular"/>
          <w:sz w:val="24"/>
          <w:szCs w:val="24"/>
          <w:lang w:val="en-US" w:eastAsia="ru-RU"/>
        </w:rPr>
        <w:t>Due to the impossibility of carrying out the planned test of the OLHE-HERO prototype</w:t>
      </w:r>
      <w:r>
        <w:rPr>
          <w:rFonts w:eastAsia="NotoSans-Regular"/>
          <w:sz w:val="24"/>
          <w:szCs w:val="24"/>
          <w:lang w:val="en-US" w:eastAsia="ru-RU"/>
        </w:rPr>
        <w:t xml:space="preserve"> </w:t>
      </w:r>
      <w:r w:rsidRPr="00066AFE">
        <w:rPr>
          <w:rFonts w:eastAsia="NotoSans-Regular"/>
          <w:sz w:val="24"/>
          <w:szCs w:val="24"/>
          <w:lang w:val="en-US" w:eastAsia="ru-RU"/>
        </w:rPr>
        <w:t>on the heavy ion beam at the SPS at CERN, the DLNP Directorate asked the VBLHEP</w:t>
      </w:r>
      <w:r>
        <w:rPr>
          <w:rFonts w:eastAsia="NotoSans-Regular"/>
          <w:sz w:val="24"/>
          <w:szCs w:val="24"/>
          <w:lang w:val="en-US" w:eastAsia="ru-RU"/>
        </w:rPr>
        <w:t xml:space="preserve"> </w:t>
      </w:r>
      <w:r w:rsidRPr="00066AFE">
        <w:rPr>
          <w:rFonts w:eastAsia="NotoSans-Regular"/>
          <w:sz w:val="24"/>
          <w:szCs w:val="24"/>
          <w:lang w:val="en-US" w:eastAsia="ru-RU"/>
        </w:rPr>
        <w:t>Directorate to give permission to test the prototype on the xenon beam with an energy of</w:t>
      </w:r>
      <w:r>
        <w:rPr>
          <w:rFonts w:eastAsia="NotoSans-Regular"/>
          <w:sz w:val="24"/>
          <w:szCs w:val="24"/>
          <w:lang w:val="en-US" w:eastAsia="ru-RU"/>
        </w:rPr>
        <w:t xml:space="preserve"> </w:t>
      </w:r>
      <w:r w:rsidRPr="00066AFE">
        <w:rPr>
          <w:rFonts w:eastAsia="NotoSans-Regular"/>
          <w:sz w:val="24"/>
          <w:szCs w:val="24"/>
          <w:lang w:val="en-US" w:eastAsia="ru-RU"/>
        </w:rPr>
        <w:t>3-4 GeV/nucleon at the NUCLOTRON in November-December 2022 in the amount of 30-40</w:t>
      </w:r>
      <w:r>
        <w:rPr>
          <w:rFonts w:eastAsia="NotoSans-Regular"/>
          <w:sz w:val="24"/>
          <w:szCs w:val="24"/>
          <w:lang w:val="en-US" w:eastAsia="ru-RU"/>
        </w:rPr>
        <w:t xml:space="preserve"> </w:t>
      </w:r>
      <w:r w:rsidRPr="00066AFE">
        <w:rPr>
          <w:rFonts w:eastAsia="NotoSans-Regular"/>
          <w:sz w:val="24"/>
          <w:szCs w:val="24"/>
          <w:lang w:val="en-US" w:eastAsia="ru-RU"/>
        </w:rPr>
        <w:t>hours of beam time. Unfortunately, it was not possible to allocate a suitable place on the</w:t>
      </w:r>
      <w:r>
        <w:rPr>
          <w:rFonts w:eastAsia="NotoSans-Regular"/>
          <w:sz w:val="24"/>
          <w:szCs w:val="24"/>
          <w:lang w:val="en-US" w:eastAsia="ru-RU"/>
        </w:rPr>
        <w:t xml:space="preserve"> </w:t>
      </w:r>
      <w:r w:rsidRPr="00066AFE">
        <w:rPr>
          <w:rFonts w:eastAsia="NotoSans-Regular"/>
          <w:sz w:val="24"/>
          <w:szCs w:val="24"/>
          <w:lang w:val="en-US" w:eastAsia="ru-RU"/>
        </w:rPr>
        <w:t>beam and we were offered the only hard-to-reach place at a distance of ~1.5 meters from</w:t>
      </w:r>
      <w:r>
        <w:rPr>
          <w:rFonts w:eastAsia="NotoSans-Regular"/>
          <w:sz w:val="24"/>
          <w:szCs w:val="24"/>
          <w:lang w:val="en-US" w:eastAsia="ru-RU"/>
        </w:rPr>
        <w:t xml:space="preserve"> </w:t>
      </w:r>
      <w:r w:rsidRPr="00066AFE">
        <w:rPr>
          <w:rFonts w:eastAsia="NotoSans-Regular"/>
          <w:sz w:val="24"/>
          <w:szCs w:val="24"/>
          <w:lang w:val="en-US" w:eastAsia="ru-RU"/>
        </w:rPr>
        <w:t>the beam axis at the end of the</w:t>
      </w:r>
      <w:r>
        <w:rPr>
          <w:rFonts w:eastAsia="NotoSans-Regular"/>
          <w:sz w:val="24"/>
          <w:szCs w:val="24"/>
          <w:lang w:val="en-US" w:eastAsia="ru-RU"/>
        </w:rPr>
        <w:t xml:space="preserve"> setup BM@N . As shown in Fig. 7</w:t>
      </w:r>
      <w:r w:rsidRPr="00066AFE">
        <w:rPr>
          <w:rFonts w:eastAsia="NotoSans-Regular"/>
          <w:sz w:val="24"/>
          <w:szCs w:val="24"/>
          <w:lang w:val="en-US" w:eastAsia="ru-RU"/>
        </w:rPr>
        <w:t>, the data set was carried</w:t>
      </w:r>
      <w:r>
        <w:rPr>
          <w:rFonts w:eastAsia="NotoSans-Regular"/>
          <w:sz w:val="24"/>
          <w:szCs w:val="24"/>
          <w:lang w:val="en-US" w:eastAsia="ru-RU"/>
        </w:rPr>
        <w:t xml:space="preserve"> </w:t>
      </w:r>
      <w:r w:rsidRPr="00066AFE">
        <w:rPr>
          <w:rFonts w:eastAsia="NotoSans-Regular"/>
          <w:sz w:val="24"/>
          <w:szCs w:val="24"/>
          <w:lang w:val="en-US" w:eastAsia="ru-RU"/>
        </w:rPr>
        <w:t>out in different ways.</w:t>
      </w:r>
    </w:p>
    <w:p w:rsidR="00066AFE" w:rsidRPr="00066AFE" w:rsidRDefault="00066AFE" w:rsidP="00066AFE">
      <w:pPr>
        <w:suppressAutoHyphens w:val="0"/>
        <w:autoSpaceDE w:val="0"/>
        <w:autoSpaceDN w:val="0"/>
        <w:adjustRightInd w:val="0"/>
        <w:spacing w:line="276" w:lineRule="auto"/>
        <w:jc w:val="both"/>
        <w:rPr>
          <w:rFonts w:eastAsia="NotoSans-Regular"/>
          <w:sz w:val="24"/>
          <w:szCs w:val="24"/>
          <w:lang w:val="en-US" w:eastAsia="ru-RU"/>
        </w:rPr>
      </w:pPr>
    </w:p>
    <w:p w:rsidR="00386748" w:rsidRDefault="000C5392">
      <w:pPr>
        <w:jc w:val="center"/>
      </w:pPr>
      <w:r>
        <w:rPr>
          <w:noProof/>
          <w:lang w:eastAsia="ru-RU"/>
        </w:rPr>
        <w:drawing>
          <wp:inline distT="0" distB="0" distL="19050" distR="0">
            <wp:extent cx="2173605" cy="2879725"/>
            <wp:effectExtent l="0" t="0" r="0" b="0"/>
            <wp:docPr id="12"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7"/>
                    <pic:cNvPicPr>
                      <a:picLocks noChangeAspect="1" noChangeArrowheads="1"/>
                    </pic:cNvPicPr>
                  </pic:nvPicPr>
                  <pic:blipFill>
                    <a:blip r:embed="rId13"/>
                    <a:srcRect t="21194" b="15530"/>
                    <a:stretch>
                      <a:fillRect/>
                    </a:stretch>
                  </pic:blipFill>
                  <pic:spPr bwMode="auto">
                    <a:xfrm>
                      <a:off x="0" y="0"/>
                      <a:ext cx="2173605" cy="2879725"/>
                    </a:xfrm>
                    <a:prstGeom prst="rect">
                      <a:avLst/>
                    </a:prstGeom>
                  </pic:spPr>
                </pic:pic>
              </a:graphicData>
            </a:graphic>
          </wp:inline>
        </w:drawing>
      </w:r>
    </w:p>
    <w:p w:rsidR="00386748" w:rsidRPr="00066AFE" w:rsidRDefault="00066AFE">
      <w:pPr>
        <w:jc w:val="center"/>
        <w:rPr>
          <w:lang w:val="en-US"/>
        </w:rPr>
      </w:pPr>
      <w:r>
        <w:rPr>
          <w:sz w:val="24"/>
          <w:szCs w:val="24"/>
          <w:lang w:val="en-US"/>
        </w:rPr>
        <w:t>Fig</w:t>
      </w:r>
      <w:r w:rsidRPr="00066AFE">
        <w:rPr>
          <w:sz w:val="24"/>
          <w:szCs w:val="24"/>
          <w:lang w:val="en-US"/>
        </w:rPr>
        <w:t>.</w:t>
      </w:r>
      <w:r>
        <w:rPr>
          <w:sz w:val="24"/>
          <w:szCs w:val="24"/>
          <w:lang w:val="en-US"/>
        </w:rPr>
        <w:t xml:space="preserve"> 7</w:t>
      </w:r>
      <w:r w:rsidR="000C5392" w:rsidRPr="00066AFE">
        <w:rPr>
          <w:sz w:val="24"/>
          <w:szCs w:val="24"/>
          <w:lang w:val="en-US"/>
        </w:rPr>
        <w:t xml:space="preserve">.  </w:t>
      </w:r>
      <w:r>
        <w:rPr>
          <w:sz w:val="24"/>
          <w:szCs w:val="24"/>
          <w:lang w:val="en-US"/>
        </w:rPr>
        <w:t>OLVE-HERO prototype on a beam in the installation BM@N</w:t>
      </w:r>
    </w:p>
    <w:p w:rsidR="00386748" w:rsidRPr="00066AFE" w:rsidRDefault="00386748">
      <w:pPr>
        <w:jc w:val="center"/>
        <w:rPr>
          <w:lang w:val="en-US"/>
        </w:rPr>
      </w:pPr>
    </w:p>
    <w:p w:rsidR="00066AFE" w:rsidRPr="00DE1CEC" w:rsidRDefault="00066AFE" w:rsidP="00DE1CE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066AFE">
        <w:rPr>
          <w:rFonts w:eastAsia="NotoSans-Regular"/>
          <w:sz w:val="24"/>
          <w:szCs w:val="24"/>
          <w:lang w:val="en-US" w:eastAsia="ru-RU"/>
        </w:rPr>
        <w:t>Fig. 8. shows the results on the yield of alpha particles as a function of time in the</w:t>
      </w:r>
      <w:r>
        <w:rPr>
          <w:rFonts w:eastAsia="NotoSans-Regular"/>
          <w:sz w:val="24"/>
          <w:szCs w:val="24"/>
          <w:lang w:val="en-US" w:eastAsia="ru-RU"/>
        </w:rPr>
        <w:t xml:space="preserve"> </w:t>
      </w:r>
      <w:r w:rsidRPr="00066AFE">
        <w:rPr>
          <w:rFonts w:eastAsia="NotoSans-Regular"/>
          <w:sz w:val="24"/>
          <w:szCs w:val="24"/>
          <w:lang w:val="en-US" w:eastAsia="ru-RU"/>
        </w:rPr>
        <w:t xml:space="preserve">range up to 4096 * 4 ns ~ 16 </w:t>
      </w:r>
      <w:r w:rsidRPr="00066AFE">
        <w:rPr>
          <w:rFonts w:eastAsia="NotoSans-Regular"/>
          <w:sz w:val="24"/>
          <w:szCs w:val="24"/>
          <w:lang w:eastAsia="ru-RU"/>
        </w:rPr>
        <w:t>μ</w:t>
      </w:r>
      <w:r w:rsidRPr="00066AFE">
        <w:rPr>
          <w:rFonts w:eastAsia="NotoSans-Regular"/>
          <w:sz w:val="24"/>
          <w:szCs w:val="24"/>
          <w:lang w:val="en-US" w:eastAsia="ru-RU"/>
        </w:rPr>
        <w:t>s in borated scintillators of the OLHE-HERO prototype,</w:t>
      </w:r>
      <w:r>
        <w:rPr>
          <w:rFonts w:eastAsia="NotoSans-Regular"/>
          <w:sz w:val="24"/>
          <w:szCs w:val="24"/>
          <w:lang w:val="en-US" w:eastAsia="ru-RU"/>
        </w:rPr>
        <w:t xml:space="preserve"> </w:t>
      </w:r>
      <w:r w:rsidRPr="00066AFE">
        <w:rPr>
          <w:rFonts w:eastAsia="NotoSans-Regular"/>
          <w:sz w:val="24"/>
          <w:szCs w:val="24"/>
          <w:lang w:val="en-US" w:eastAsia="ru-RU"/>
        </w:rPr>
        <w:t>obtained with a 13 GeV/nucleon heavy ion beam at SPS at CERN. The charge measurement</w:t>
      </w:r>
      <w:r>
        <w:rPr>
          <w:rFonts w:eastAsia="NotoSans-Regular"/>
          <w:sz w:val="24"/>
          <w:szCs w:val="24"/>
          <w:lang w:val="en-US" w:eastAsia="ru-RU"/>
        </w:rPr>
        <w:t xml:space="preserve"> </w:t>
      </w:r>
      <w:r w:rsidRPr="00066AFE">
        <w:rPr>
          <w:rFonts w:eastAsia="NotoSans-Regular"/>
          <w:sz w:val="24"/>
          <w:szCs w:val="24"/>
          <w:lang w:val="en-US" w:eastAsia="ru-RU"/>
        </w:rPr>
        <w:t>system (SIS) consists of 4 silicon detectors and measures the charges Z of incident nuclear</w:t>
      </w:r>
      <w:r>
        <w:rPr>
          <w:rFonts w:eastAsia="NotoSans-Regular"/>
          <w:sz w:val="24"/>
          <w:szCs w:val="24"/>
          <w:lang w:val="en-US" w:eastAsia="ru-RU"/>
        </w:rPr>
        <w:t xml:space="preserve"> </w:t>
      </w:r>
      <w:r w:rsidRPr="00066AFE">
        <w:rPr>
          <w:rFonts w:eastAsia="NotoSans-Regular"/>
          <w:sz w:val="24"/>
          <w:szCs w:val="24"/>
          <w:lang w:val="en-US" w:eastAsia="ru-RU"/>
        </w:rPr>
        <w:t>fragments in the range from 200 to 2000 arbitrary units. Figure 9 shows the measured</w:t>
      </w:r>
      <w:r>
        <w:rPr>
          <w:rFonts w:eastAsia="NotoSans-Regular"/>
          <w:sz w:val="24"/>
          <w:szCs w:val="24"/>
          <w:lang w:val="en-US" w:eastAsia="ru-RU"/>
        </w:rPr>
        <w:t xml:space="preserve"> </w:t>
      </w:r>
      <w:r w:rsidRPr="00066AFE">
        <w:rPr>
          <w:rFonts w:eastAsia="NotoSans-Regular"/>
          <w:sz w:val="24"/>
          <w:szCs w:val="24"/>
          <w:lang w:val="en-US" w:eastAsia="ru-RU"/>
        </w:rPr>
        <w:t>yields of alpha particles, divided using PPE into light (Z &lt; 750 a.u. - green), medium (750 &lt; Z</w:t>
      </w:r>
      <w:r>
        <w:rPr>
          <w:rFonts w:eastAsia="NotoSans-Regular"/>
          <w:sz w:val="24"/>
          <w:szCs w:val="24"/>
          <w:lang w:val="en-US" w:eastAsia="ru-RU"/>
        </w:rPr>
        <w:t xml:space="preserve"> </w:t>
      </w:r>
      <w:r w:rsidRPr="00066AFE">
        <w:rPr>
          <w:rFonts w:eastAsia="NotoSans-Regular"/>
          <w:sz w:val="24"/>
          <w:szCs w:val="24"/>
          <w:lang w:val="en-US" w:eastAsia="ru-RU"/>
        </w:rPr>
        <w:t>&lt; 1500 a.u. - red) and heavy (Z &gt; 1500 c.u. - blue color). Like</w:t>
      </w:r>
      <w:r w:rsidR="00DE1CEC">
        <w:rPr>
          <w:rFonts w:eastAsia="NotoSans-Regular"/>
          <w:sz w:val="24"/>
          <w:szCs w:val="24"/>
          <w:lang w:val="en-US" w:eastAsia="ru-RU"/>
        </w:rPr>
        <w:t xml:space="preserve"> i</w:t>
      </w:r>
      <w:r w:rsidR="00DE1CEC" w:rsidRPr="00DE1CEC">
        <w:rPr>
          <w:rFonts w:eastAsia="NotoSans-Regular"/>
          <w:sz w:val="24"/>
          <w:szCs w:val="24"/>
          <w:lang w:val="en-US" w:eastAsia="ru-RU"/>
        </w:rPr>
        <w:t>t was to be expected that the yield of alpha particles increases with an increase in the charge of the incident</w:t>
      </w:r>
      <w:r w:rsidR="00DE1CEC">
        <w:rPr>
          <w:rFonts w:eastAsia="NotoSans-Regular"/>
          <w:sz w:val="24"/>
          <w:szCs w:val="24"/>
          <w:lang w:val="en-US" w:eastAsia="ru-RU"/>
        </w:rPr>
        <w:t xml:space="preserve"> </w:t>
      </w:r>
      <w:r w:rsidR="00DE1CEC" w:rsidRPr="00DE1CEC">
        <w:rPr>
          <w:rFonts w:eastAsia="NotoSans-Regular"/>
          <w:sz w:val="24"/>
          <w:szCs w:val="24"/>
          <w:lang w:val="en-US" w:eastAsia="ru-RU"/>
        </w:rPr>
        <w:t>nucleus at the level of tens of percent, which is inconsistent with the results of the MS simulation presented in</w:t>
      </w:r>
      <w:r w:rsidR="00DE1CEC">
        <w:rPr>
          <w:rFonts w:eastAsia="NotoSans-Regular"/>
          <w:sz w:val="24"/>
          <w:szCs w:val="24"/>
          <w:lang w:val="en-US" w:eastAsia="ru-RU"/>
        </w:rPr>
        <w:t xml:space="preserve"> Fig. 9</w:t>
      </w:r>
      <w:r w:rsidR="00DE1CEC" w:rsidRPr="00DE1CEC">
        <w:rPr>
          <w:rFonts w:eastAsia="NotoSans-Regular"/>
          <w:sz w:val="24"/>
          <w:szCs w:val="24"/>
          <w:lang w:val="en-US" w:eastAsia="ru-RU"/>
        </w:rPr>
        <w:t>, where this growth is at the level of 10-50 times.</w:t>
      </w:r>
    </w:p>
    <w:p w:rsidR="00386748" w:rsidRDefault="000C5392">
      <w:pPr>
        <w:spacing w:line="240" w:lineRule="atLeast"/>
        <w:jc w:val="center"/>
      </w:pPr>
      <w:r>
        <w:rPr>
          <w:noProof/>
          <w:lang w:eastAsia="ru-RU"/>
        </w:rPr>
        <w:lastRenderedPageBreak/>
        <w:drawing>
          <wp:inline distT="0" distB="0" distL="19050" distR="3810">
            <wp:extent cx="5158740" cy="2705735"/>
            <wp:effectExtent l="0" t="0" r="0" b="0"/>
            <wp:docPr id="13"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8"/>
                    <pic:cNvPicPr>
                      <a:picLocks noChangeAspect="1" noChangeArrowheads="1"/>
                    </pic:cNvPicPr>
                  </pic:nvPicPr>
                  <pic:blipFill>
                    <a:blip r:embed="rId14"/>
                    <a:stretch>
                      <a:fillRect/>
                    </a:stretch>
                  </pic:blipFill>
                  <pic:spPr bwMode="auto">
                    <a:xfrm>
                      <a:off x="0" y="0"/>
                      <a:ext cx="5158740" cy="2705735"/>
                    </a:xfrm>
                    <a:prstGeom prst="rect">
                      <a:avLst/>
                    </a:prstGeom>
                  </pic:spPr>
                </pic:pic>
              </a:graphicData>
            </a:graphic>
          </wp:inline>
        </w:drawing>
      </w:r>
    </w:p>
    <w:p w:rsidR="00386748" w:rsidRDefault="00386748">
      <w:pPr>
        <w:spacing w:line="240" w:lineRule="atLeast"/>
        <w:rPr>
          <w:sz w:val="24"/>
          <w:szCs w:val="24"/>
        </w:rPr>
      </w:pPr>
    </w:p>
    <w:p w:rsidR="00386748" w:rsidRPr="00931B85" w:rsidRDefault="00931B85">
      <w:pPr>
        <w:spacing w:line="240" w:lineRule="atLeast"/>
        <w:rPr>
          <w:sz w:val="24"/>
          <w:szCs w:val="24"/>
          <w:lang w:val="en-US"/>
        </w:rPr>
      </w:pPr>
      <w:r>
        <w:rPr>
          <w:sz w:val="24"/>
          <w:szCs w:val="24"/>
          <w:lang w:val="en-US"/>
        </w:rPr>
        <w:t>Fig</w:t>
      </w:r>
      <w:r w:rsidRPr="00931B85">
        <w:rPr>
          <w:sz w:val="24"/>
          <w:szCs w:val="24"/>
          <w:lang w:val="en-US"/>
        </w:rPr>
        <w:t>.</w:t>
      </w:r>
      <w:r>
        <w:rPr>
          <w:sz w:val="24"/>
          <w:szCs w:val="24"/>
          <w:lang w:val="en-US"/>
        </w:rPr>
        <w:t>8</w:t>
      </w:r>
      <w:r w:rsidR="000C5392" w:rsidRPr="00931B85">
        <w:rPr>
          <w:sz w:val="24"/>
          <w:szCs w:val="24"/>
          <w:lang w:val="en-US"/>
        </w:rPr>
        <w:t xml:space="preserve">. </w:t>
      </w:r>
      <w:r>
        <w:rPr>
          <w:sz w:val="24"/>
          <w:szCs w:val="24"/>
          <w:lang w:val="en-US"/>
        </w:rPr>
        <w:t>Yield of alpha particles for light, medium and heavy nuclei with an energy of 13 GeV/n</w:t>
      </w:r>
    </w:p>
    <w:p w:rsidR="00386748" w:rsidRDefault="00386748">
      <w:pPr>
        <w:spacing w:line="240" w:lineRule="atLeast"/>
        <w:jc w:val="both"/>
        <w:rPr>
          <w:lang w:val="en-US"/>
        </w:rPr>
      </w:pPr>
    </w:p>
    <w:p w:rsidR="00386748" w:rsidRPr="00931B85" w:rsidRDefault="00931B85" w:rsidP="00931B85">
      <w:pPr>
        <w:suppressAutoHyphens w:val="0"/>
        <w:autoSpaceDE w:val="0"/>
        <w:autoSpaceDN w:val="0"/>
        <w:adjustRightInd w:val="0"/>
        <w:spacing w:line="276" w:lineRule="auto"/>
        <w:jc w:val="both"/>
        <w:rPr>
          <w:rFonts w:eastAsia="NotoSans-Regular"/>
          <w:sz w:val="24"/>
          <w:szCs w:val="24"/>
          <w:lang w:val="en-US" w:eastAsia="ru-RU"/>
        </w:rPr>
      </w:pPr>
      <w:r w:rsidRPr="00931B85">
        <w:rPr>
          <w:rFonts w:eastAsia="NotoSans-Regular"/>
          <w:sz w:val="24"/>
          <w:szCs w:val="24"/>
          <w:lang w:val="en-US" w:eastAsia="ru-RU"/>
        </w:rPr>
        <w:tab/>
        <w:t>For a more detailed analysis of the charge dependence of the yield of alpha particles, it was</w:t>
      </w:r>
      <w:r>
        <w:rPr>
          <w:rFonts w:eastAsia="NotoSans-Regular"/>
          <w:sz w:val="24"/>
          <w:szCs w:val="24"/>
          <w:lang w:val="en-US" w:eastAsia="ru-RU"/>
        </w:rPr>
        <w:t xml:space="preserve"> </w:t>
      </w:r>
      <w:r w:rsidRPr="00931B85">
        <w:rPr>
          <w:rFonts w:eastAsia="NotoSans-Regular"/>
          <w:sz w:val="24"/>
          <w:szCs w:val="24"/>
          <w:lang w:val="en-US" w:eastAsia="ru-RU"/>
        </w:rPr>
        <w:t>supposed to conduct an additional test of the prototype on a heavy ion beam at SPS in 2022, which was</w:t>
      </w:r>
      <w:r>
        <w:rPr>
          <w:rFonts w:eastAsia="NotoSans-Regular"/>
          <w:sz w:val="24"/>
          <w:szCs w:val="24"/>
          <w:lang w:val="en-US" w:eastAsia="ru-RU"/>
        </w:rPr>
        <w:t xml:space="preserve"> </w:t>
      </w:r>
      <w:r w:rsidRPr="00931B85">
        <w:rPr>
          <w:rFonts w:eastAsia="NotoSans-Regular"/>
          <w:sz w:val="24"/>
          <w:szCs w:val="24"/>
          <w:lang w:val="en-US" w:eastAsia="ru-RU"/>
        </w:rPr>
        <w:t>not performed due to a ban on exporting the prototype to CERN. The test</w:t>
      </w:r>
      <w:r>
        <w:rPr>
          <w:rFonts w:eastAsia="NotoSans-Regular"/>
          <w:sz w:val="24"/>
          <w:szCs w:val="24"/>
          <w:lang w:val="en-US" w:eastAsia="ru-RU"/>
        </w:rPr>
        <w:t xml:space="preserve"> on the extracted beam of </w:t>
      </w:r>
      <w:r w:rsidRPr="00931B85">
        <w:rPr>
          <w:rFonts w:eastAsia="NotoSans-Regular"/>
          <w:sz w:val="24"/>
          <w:szCs w:val="24"/>
          <w:lang w:val="en-US" w:eastAsia="ru-RU"/>
        </w:rPr>
        <w:t>xenon</w:t>
      </w:r>
      <w:r>
        <w:rPr>
          <w:rFonts w:eastAsia="NotoSans-Regular"/>
          <w:sz w:val="24"/>
          <w:szCs w:val="24"/>
          <w:lang w:val="en-US" w:eastAsia="ru-RU"/>
        </w:rPr>
        <w:t xml:space="preserve"> </w:t>
      </w:r>
      <w:r w:rsidRPr="00931B85">
        <w:rPr>
          <w:rFonts w:eastAsia="NotoSans-Regular"/>
          <w:sz w:val="24"/>
          <w:szCs w:val="24"/>
          <w:lang w:val="en-US" w:eastAsia="ru-RU"/>
        </w:rPr>
        <w:t>nuclei at the NUCLOTRON with an energy of 3.5 GeV/nucleon also turned out to be impossible due to the</w:t>
      </w:r>
      <w:r>
        <w:rPr>
          <w:rFonts w:eastAsia="NotoSans-Regular"/>
          <w:sz w:val="24"/>
          <w:szCs w:val="24"/>
          <w:lang w:val="en-US" w:eastAsia="ru-RU"/>
        </w:rPr>
        <w:t xml:space="preserve"> </w:t>
      </w:r>
      <w:r w:rsidRPr="00931B85">
        <w:rPr>
          <w:rFonts w:eastAsia="NotoSans-Regular"/>
          <w:sz w:val="24"/>
          <w:szCs w:val="24"/>
          <w:lang w:val="en-US" w:eastAsia="ru-RU"/>
        </w:rPr>
        <w:t>lack of space on the beam.</w:t>
      </w:r>
    </w:p>
    <w:p w:rsidR="00386748" w:rsidRDefault="000C5392">
      <w:pPr>
        <w:spacing w:line="240" w:lineRule="atLeast"/>
        <w:jc w:val="center"/>
      </w:pPr>
      <w:r>
        <w:rPr>
          <w:noProof/>
          <w:lang w:eastAsia="ru-RU"/>
        </w:rPr>
        <w:drawing>
          <wp:inline distT="0" distB="0" distL="19050" distR="0">
            <wp:extent cx="6120130" cy="2861310"/>
            <wp:effectExtent l="0" t="0" r="0" b="0"/>
            <wp:docPr id="14"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0"/>
                    <pic:cNvPicPr>
                      <a:picLocks noChangeAspect="1" noChangeArrowheads="1"/>
                    </pic:cNvPicPr>
                  </pic:nvPicPr>
                  <pic:blipFill>
                    <a:blip r:embed="rId15"/>
                    <a:stretch>
                      <a:fillRect/>
                    </a:stretch>
                  </pic:blipFill>
                  <pic:spPr bwMode="auto">
                    <a:xfrm>
                      <a:off x="0" y="0"/>
                      <a:ext cx="6120130" cy="2861310"/>
                    </a:xfrm>
                    <a:prstGeom prst="rect">
                      <a:avLst/>
                    </a:prstGeom>
                  </pic:spPr>
                </pic:pic>
              </a:graphicData>
            </a:graphic>
          </wp:inline>
        </w:drawing>
      </w:r>
    </w:p>
    <w:p w:rsidR="00386748" w:rsidRDefault="00386748">
      <w:pPr>
        <w:spacing w:line="240" w:lineRule="atLeast"/>
      </w:pPr>
    </w:p>
    <w:p w:rsidR="00386748" w:rsidRPr="00931B85" w:rsidRDefault="00931B85">
      <w:pPr>
        <w:spacing w:line="240" w:lineRule="atLeast"/>
        <w:rPr>
          <w:sz w:val="24"/>
          <w:szCs w:val="24"/>
          <w:lang w:val="en-US"/>
        </w:rPr>
      </w:pPr>
      <w:r>
        <w:rPr>
          <w:sz w:val="24"/>
          <w:szCs w:val="24"/>
          <w:lang w:val="en-US"/>
        </w:rPr>
        <w:t>Fig.9</w:t>
      </w:r>
      <w:r w:rsidR="000C5392" w:rsidRPr="00931B85">
        <w:rPr>
          <w:sz w:val="24"/>
          <w:szCs w:val="24"/>
          <w:lang w:val="en-US"/>
        </w:rPr>
        <w:t xml:space="preserve">. </w:t>
      </w:r>
      <w:r>
        <w:rPr>
          <w:sz w:val="24"/>
          <w:szCs w:val="24"/>
          <w:lang w:val="en-US"/>
        </w:rPr>
        <w:t xml:space="preserve"> MC simulation of the yield of alpha particles with a nucleus energy of 13 GeV/n</w:t>
      </w:r>
    </w:p>
    <w:p w:rsidR="00386748" w:rsidRPr="00931B85" w:rsidRDefault="00386748">
      <w:pPr>
        <w:spacing w:line="240" w:lineRule="atLeast"/>
        <w:rPr>
          <w:lang w:val="en-US"/>
        </w:rPr>
      </w:pPr>
    </w:p>
    <w:p w:rsidR="00931B85" w:rsidRPr="00931B85" w:rsidRDefault="00931B85" w:rsidP="00931B85">
      <w:pPr>
        <w:suppressAutoHyphens w:val="0"/>
        <w:autoSpaceDE w:val="0"/>
        <w:autoSpaceDN w:val="0"/>
        <w:adjustRightInd w:val="0"/>
        <w:spacing w:line="276" w:lineRule="auto"/>
        <w:jc w:val="both"/>
        <w:rPr>
          <w:rFonts w:eastAsia="NotoSans-Regular"/>
          <w:sz w:val="24"/>
          <w:szCs w:val="24"/>
          <w:lang w:val="en-US" w:eastAsia="ru-RU"/>
        </w:rPr>
      </w:pPr>
      <w:r>
        <w:rPr>
          <w:rFonts w:ascii="NotoSans-Regular" w:eastAsia="NotoSans-Regular" w:cs="NotoSans-Regular"/>
          <w:sz w:val="23"/>
          <w:szCs w:val="23"/>
          <w:lang w:val="en-US" w:eastAsia="ru-RU"/>
        </w:rPr>
        <w:tab/>
      </w:r>
      <w:r w:rsidRPr="00931B85">
        <w:rPr>
          <w:rFonts w:eastAsia="NotoSans-Regular"/>
          <w:sz w:val="24"/>
          <w:szCs w:val="24"/>
          <w:lang w:val="en-US" w:eastAsia="ru-RU"/>
        </w:rPr>
        <w:t>At present, JINR has the first prototype of a detector with a borated scintillator, which</w:t>
      </w:r>
      <w:r>
        <w:rPr>
          <w:rFonts w:eastAsia="NotoSans-Regular"/>
          <w:sz w:val="24"/>
          <w:szCs w:val="24"/>
          <w:lang w:val="en-US" w:eastAsia="ru-RU"/>
        </w:rPr>
        <w:t xml:space="preserve"> </w:t>
      </w:r>
      <w:r w:rsidRPr="00931B85">
        <w:rPr>
          <w:rFonts w:eastAsia="NotoSans-Regular"/>
          <w:sz w:val="24"/>
          <w:szCs w:val="24"/>
          <w:lang w:val="en-US" w:eastAsia="ru-RU"/>
        </w:rPr>
        <w:t>has been tested on the SPS test beams at CERN. In the next 2-3 years, it is planned to</w:t>
      </w:r>
      <w:r>
        <w:rPr>
          <w:rFonts w:eastAsia="NotoSans-Regular"/>
          <w:sz w:val="24"/>
          <w:szCs w:val="24"/>
          <w:lang w:val="en-US" w:eastAsia="ru-RU"/>
        </w:rPr>
        <w:t xml:space="preserve"> </w:t>
      </w:r>
      <w:r w:rsidRPr="00931B85">
        <w:rPr>
          <w:rFonts w:eastAsia="NotoSans-Regular"/>
          <w:sz w:val="24"/>
          <w:szCs w:val="24"/>
          <w:lang w:val="en-US" w:eastAsia="ru-RU"/>
        </w:rPr>
        <w:t>design, manufacture and test more advanced prototypes of the OLVE-NERO calorimeter on</w:t>
      </w:r>
      <w:r>
        <w:rPr>
          <w:rFonts w:eastAsia="NotoSans-Regular"/>
          <w:sz w:val="24"/>
          <w:szCs w:val="24"/>
          <w:lang w:val="en-US" w:eastAsia="ru-RU"/>
        </w:rPr>
        <w:t xml:space="preserve"> </w:t>
      </w:r>
      <w:r w:rsidRPr="00931B85">
        <w:rPr>
          <w:rFonts w:eastAsia="NotoSans-Regular"/>
          <w:sz w:val="24"/>
          <w:szCs w:val="24"/>
          <w:lang w:val="en-US" w:eastAsia="ru-RU"/>
        </w:rPr>
        <w:t>extracted beams of protons and nuclei in order to select the final design of the apparatus.</w:t>
      </w:r>
      <w:r w:rsidR="000C5392" w:rsidRPr="00931B85">
        <w:rPr>
          <w:sz w:val="24"/>
          <w:szCs w:val="24"/>
          <w:lang w:val="en-US"/>
        </w:rPr>
        <w:tab/>
      </w:r>
    </w:p>
    <w:p w:rsidR="00931B85" w:rsidRDefault="00931B85">
      <w:pPr>
        <w:spacing w:line="240" w:lineRule="atLeast"/>
        <w:jc w:val="both"/>
        <w:rPr>
          <w:sz w:val="24"/>
          <w:szCs w:val="24"/>
          <w:lang w:val="en-US"/>
        </w:rPr>
      </w:pPr>
    </w:p>
    <w:p w:rsidR="00386748" w:rsidRPr="0035180C" w:rsidRDefault="000C5392">
      <w:pPr>
        <w:spacing w:line="240" w:lineRule="atLeast"/>
        <w:jc w:val="both"/>
        <w:rPr>
          <w:sz w:val="24"/>
          <w:szCs w:val="24"/>
          <w:lang w:val="en-US"/>
        </w:rPr>
      </w:pPr>
      <w:r w:rsidRPr="0035180C">
        <w:rPr>
          <w:sz w:val="24"/>
          <w:szCs w:val="24"/>
          <w:lang w:val="en-US"/>
        </w:rPr>
        <w:tab/>
      </w:r>
    </w:p>
    <w:p w:rsidR="00386748" w:rsidRPr="0035180C" w:rsidRDefault="00386748">
      <w:pPr>
        <w:spacing w:line="240" w:lineRule="atLeast"/>
        <w:jc w:val="both"/>
        <w:rPr>
          <w:highlight w:val="yellow"/>
          <w:lang w:val="en-US"/>
        </w:rPr>
      </w:pPr>
    </w:p>
    <w:p w:rsidR="00386748" w:rsidRPr="0035180C" w:rsidRDefault="00386748">
      <w:pPr>
        <w:spacing w:line="240" w:lineRule="atLeast"/>
        <w:jc w:val="both"/>
        <w:rPr>
          <w:highlight w:val="yellow"/>
          <w:lang w:val="en-US"/>
        </w:rPr>
      </w:pPr>
    </w:p>
    <w:p w:rsidR="00386748" w:rsidRPr="00931B85" w:rsidRDefault="00931B85">
      <w:pPr>
        <w:pStyle w:val="Heading2"/>
        <w:rPr>
          <w:lang w:val="en-US"/>
        </w:rPr>
      </w:pPr>
      <w:r>
        <w:rPr>
          <w:lang w:val="en-US"/>
        </w:rPr>
        <w:lastRenderedPageBreak/>
        <w:t>Publications for the activity "Experiment OLVE-HERO"</w:t>
      </w:r>
    </w:p>
    <w:p w:rsidR="00386748" w:rsidRDefault="000C5392">
      <w:pPr>
        <w:spacing w:line="240" w:lineRule="atLeast"/>
        <w:jc w:val="both"/>
        <w:rPr>
          <w:sz w:val="24"/>
          <w:szCs w:val="24"/>
          <w:lang w:val="en-US"/>
        </w:rPr>
      </w:pPr>
      <w:r>
        <w:rPr>
          <w:sz w:val="24"/>
          <w:szCs w:val="24"/>
          <w:lang w:val="en-US"/>
        </w:rPr>
        <w:t>1. The HERO project for the study of high-energy primary cosmic radiation</w:t>
      </w:r>
    </w:p>
    <w:p w:rsidR="00386748" w:rsidRDefault="000C5392">
      <w:pPr>
        <w:spacing w:line="240" w:lineRule="atLeast"/>
        <w:jc w:val="both"/>
        <w:rPr>
          <w:sz w:val="24"/>
          <w:szCs w:val="24"/>
          <w:lang w:val="en-US"/>
        </w:rPr>
      </w:pPr>
      <w:r>
        <w:rPr>
          <w:sz w:val="24"/>
          <w:szCs w:val="24"/>
          <w:lang w:val="en-US"/>
        </w:rPr>
        <w:t>D.M. Podorozhnyi(Moscow State U.), E.V. Atkin(Moscow Phys. Eng. Inst.), L.S. Burylov(Watervliet Arsenal), A.G. Voronin(Moscow State U.), N.V. Kuznetsov(Moscow State U.) et al. (May 1, 2009)</w:t>
      </w:r>
    </w:p>
    <w:p w:rsidR="00386748" w:rsidRDefault="000C5392">
      <w:pPr>
        <w:spacing w:line="240" w:lineRule="atLeast"/>
        <w:jc w:val="both"/>
        <w:rPr>
          <w:sz w:val="24"/>
          <w:szCs w:val="24"/>
          <w:lang w:val="en-US"/>
        </w:rPr>
      </w:pPr>
      <w:r>
        <w:rPr>
          <w:sz w:val="24"/>
          <w:szCs w:val="24"/>
          <w:lang w:val="en-US"/>
        </w:rPr>
        <w:t>Published in: Bull.Russ.Acad.Sci.Phys. 73 (2009) 5, 593-596, Izv.Ross.Akad.Nauk Ser.Fiz. 73 (2009) 5, 632-635 • Contribution to: 30th Russian Cosmic Ray Conference, 593-596</w:t>
      </w:r>
    </w:p>
    <w:p w:rsidR="00386748" w:rsidRDefault="000C5392">
      <w:pPr>
        <w:spacing w:line="240" w:lineRule="atLeast"/>
        <w:jc w:val="both"/>
        <w:rPr>
          <w:sz w:val="24"/>
          <w:szCs w:val="24"/>
          <w:lang w:val="en-US"/>
        </w:rPr>
      </w:pPr>
      <w:r>
        <w:rPr>
          <w:sz w:val="24"/>
          <w:szCs w:val="24"/>
          <w:lang w:val="en-US"/>
        </w:rPr>
        <w:t>DOI reference search0 citations</w:t>
      </w:r>
    </w:p>
    <w:p w:rsidR="00386748" w:rsidRDefault="000C5392">
      <w:pPr>
        <w:spacing w:line="240" w:lineRule="atLeast"/>
        <w:jc w:val="both"/>
        <w:rPr>
          <w:lang w:val="en-US"/>
        </w:rPr>
      </w:pPr>
      <w:r>
        <w:rPr>
          <w:sz w:val="24"/>
          <w:szCs w:val="24"/>
          <w:lang w:val="en-US"/>
        </w:rPr>
        <w:t>2. New High-Energy cosmic-Ray Observatory (HERO) project for studying the high-energy primary cosmic-ray radiation</w:t>
      </w:r>
    </w:p>
    <w:p w:rsidR="00386748" w:rsidRDefault="000C5392">
      <w:pPr>
        <w:spacing w:line="240" w:lineRule="atLeast"/>
        <w:jc w:val="both"/>
        <w:rPr>
          <w:sz w:val="24"/>
          <w:szCs w:val="24"/>
          <w:lang w:val="en-US"/>
        </w:rPr>
      </w:pPr>
      <w:r>
        <w:rPr>
          <w:sz w:val="24"/>
          <w:szCs w:val="24"/>
          <w:lang w:val="en-US"/>
        </w:rPr>
        <w:t>E.V. Atkin(Moscow Phys. Eng. Inst.), L.S. Burylov(Unlisted), A.P. Chubenko(Lebedev Inst.), N.V. Kuznetsov(SINP, Moscow), M.M. Merkin(SINP, Moscow) et al. (2009)</w:t>
      </w:r>
    </w:p>
    <w:p w:rsidR="00386748" w:rsidRDefault="000C5392">
      <w:pPr>
        <w:spacing w:line="240" w:lineRule="atLeast"/>
        <w:jc w:val="both"/>
        <w:rPr>
          <w:sz w:val="24"/>
          <w:szCs w:val="24"/>
          <w:lang w:val="en-US"/>
        </w:rPr>
      </w:pPr>
      <w:r>
        <w:rPr>
          <w:sz w:val="24"/>
          <w:szCs w:val="24"/>
          <w:lang w:val="en-US"/>
        </w:rPr>
        <w:t>Published in: Nucl.Phys.B Proc.Suppl. 196 (2009) 450-453 • Contribution to: ISVHECRI 2008</w:t>
      </w:r>
    </w:p>
    <w:p w:rsidR="00386748" w:rsidRDefault="000C5392">
      <w:pPr>
        <w:spacing w:line="240" w:lineRule="atLeast"/>
        <w:jc w:val="both"/>
        <w:rPr>
          <w:lang w:val="en-US"/>
        </w:rPr>
      </w:pPr>
      <w:r>
        <w:rPr>
          <w:sz w:val="24"/>
          <w:szCs w:val="24"/>
          <w:lang w:val="en-US"/>
        </w:rPr>
        <w:t>3. Ya. Sagan et al., The OLVE-HERO calorimeter prototype beam test at CERN SPS</w:t>
      </w:r>
    </w:p>
    <w:p w:rsidR="00386748" w:rsidRDefault="000C5392">
      <w:pPr>
        <w:spacing w:line="240" w:lineRule="atLeast"/>
        <w:jc w:val="both"/>
        <w:rPr>
          <w:sz w:val="24"/>
          <w:szCs w:val="24"/>
          <w:lang w:val="en-US"/>
        </w:rPr>
      </w:pPr>
      <w:r>
        <w:rPr>
          <w:sz w:val="24"/>
          <w:szCs w:val="24"/>
          <w:lang w:val="en-US"/>
        </w:rPr>
        <w:t>36th International Cosmic Ray Conference -ICRC2019-July 24th - August 1st, 2019</w:t>
      </w:r>
    </w:p>
    <w:p w:rsidR="00386748" w:rsidRDefault="000C5392">
      <w:pPr>
        <w:spacing w:line="240" w:lineRule="atLeast"/>
        <w:jc w:val="both"/>
        <w:rPr>
          <w:sz w:val="24"/>
          <w:szCs w:val="24"/>
          <w:lang w:val="en-US"/>
        </w:rPr>
      </w:pPr>
      <w:r>
        <w:rPr>
          <w:sz w:val="24"/>
          <w:szCs w:val="24"/>
          <w:lang w:val="en-US"/>
        </w:rPr>
        <w:t>Madison, WI, U.S.A.</w:t>
      </w:r>
    </w:p>
    <w:p w:rsidR="00386748" w:rsidRDefault="000C5392">
      <w:pPr>
        <w:spacing w:line="240" w:lineRule="atLeast"/>
        <w:jc w:val="both"/>
        <w:rPr>
          <w:sz w:val="24"/>
          <w:szCs w:val="24"/>
          <w:lang w:val="en-US"/>
        </w:rPr>
      </w:pPr>
      <w:r>
        <w:rPr>
          <w:sz w:val="24"/>
          <w:szCs w:val="24"/>
          <w:lang w:val="en-US"/>
        </w:rPr>
        <w:t>PoS(ICRC2019)141</w:t>
      </w:r>
    </w:p>
    <w:p w:rsidR="00386748" w:rsidRDefault="000C5392">
      <w:pPr>
        <w:spacing w:line="240" w:lineRule="atLeast"/>
        <w:jc w:val="both"/>
        <w:rPr>
          <w:lang w:val="en-US"/>
        </w:rPr>
      </w:pPr>
      <w:r>
        <w:rPr>
          <w:sz w:val="24"/>
          <w:szCs w:val="24"/>
          <w:lang w:val="en-US"/>
        </w:rPr>
        <w:t>4. I.Satyshev, A.Pan and L.G.Tkachev. Toy Monte-Carlo simulation of the OLVE-HERO detector</w:t>
      </w:r>
    </w:p>
    <w:p w:rsidR="00386748" w:rsidRDefault="000C5392">
      <w:pPr>
        <w:spacing w:line="240" w:lineRule="atLeast"/>
        <w:jc w:val="both"/>
        <w:rPr>
          <w:sz w:val="24"/>
          <w:szCs w:val="24"/>
          <w:lang w:val="en-US"/>
        </w:rPr>
      </w:pPr>
      <w:r>
        <w:rPr>
          <w:sz w:val="24"/>
          <w:szCs w:val="24"/>
          <w:lang w:val="en-US"/>
        </w:rPr>
        <w:t>37th International Cosmic Ray Conference (ICRC 2021) July 12th – 23rd, 2021</w:t>
      </w:r>
    </w:p>
    <w:p w:rsidR="00386748" w:rsidRDefault="000C5392">
      <w:pPr>
        <w:spacing w:line="240" w:lineRule="atLeast"/>
        <w:jc w:val="both"/>
        <w:rPr>
          <w:sz w:val="24"/>
          <w:szCs w:val="24"/>
          <w:lang w:val="en-US"/>
        </w:rPr>
      </w:pPr>
      <w:r>
        <w:rPr>
          <w:sz w:val="24"/>
          <w:szCs w:val="24"/>
          <w:lang w:val="en-US"/>
        </w:rPr>
        <w:t>Online – Berlin, Germany</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
    <w:p w:rsidR="00386748" w:rsidRDefault="000C5392">
      <w:pPr>
        <w:spacing w:line="240" w:lineRule="atLeast"/>
        <w:jc w:val="both"/>
        <w:rPr>
          <w:sz w:val="24"/>
          <w:szCs w:val="24"/>
          <w:lang w:val="en-US"/>
        </w:rPr>
      </w:pPr>
      <w:r>
        <w:rPr>
          <w:sz w:val="24"/>
          <w:szCs w:val="24"/>
          <w:lang w:val="en-US"/>
        </w:rPr>
        <w:t xml:space="preserve">PoS(ICRC2021)078 </w:t>
      </w:r>
      <w:r>
        <w:rPr>
          <w:sz w:val="24"/>
          <w:szCs w:val="24"/>
          <w:lang w:val="en-US"/>
        </w:rPr>
        <w:tab/>
      </w:r>
      <w:r>
        <w:rPr>
          <w:sz w:val="24"/>
          <w:szCs w:val="24"/>
          <w:lang w:val="en-US"/>
        </w:rPr>
        <w:tab/>
      </w:r>
    </w:p>
    <w:p w:rsidR="00386748" w:rsidRPr="000C5392" w:rsidRDefault="000C5392">
      <w:pPr>
        <w:spacing w:line="240" w:lineRule="atLeast"/>
        <w:jc w:val="both"/>
        <w:rPr>
          <w:lang w:val="en-US"/>
        </w:rPr>
      </w:pPr>
      <w:r>
        <w:rPr>
          <w:sz w:val="24"/>
          <w:szCs w:val="24"/>
          <w:lang w:val="en-US"/>
        </w:rPr>
        <w:t xml:space="preserve">5. Pan A., Grebenyuk V., Karmanov D., et al. The OLVE-HERO Calorimeter Prototype Beam Test at CERN SPS. Physics of Particles and Nuclei Letters (2020) 17(1), </w:t>
      </w:r>
      <w:r>
        <w:rPr>
          <w:sz w:val="24"/>
          <w:szCs w:val="24"/>
        </w:rPr>
        <w:t>стр</w:t>
      </w:r>
      <w:r>
        <w:rPr>
          <w:sz w:val="24"/>
          <w:szCs w:val="24"/>
          <w:lang w:val="en-US"/>
        </w:rPr>
        <w:t>. 13-18</w:t>
      </w:r>
    </w:p>
    <w:p w:rsidR="00386748" w:rsidRPr="000C5392" w:rsidRDefault="000C5392">
      <w:pPr>
        <w:spacing w:line="240" w:lineRule="atLeast"/>
        <w:jc w:val="both"/>
        <w:rPr>
          <w:lang w:val="en-US"/>
        </w:rPr>
      </w:pPr>
      <w:r>
        <w:rPr>
          <w:sz w:val="24"/>
          <w:szCs w:val="24"/>
          <w:lang w:val="en-US"/>
        </w:rPr>
        <w:t xml:space="preserve">6. Pan A., Grebenyuk V., Karmanov D., et al.Tests of the OLVE-HERO Calorimeter Prototype at Heavy-Ion Beams at SPS CERN. Physics of Atomic Nuclei (2019) 82(6), </w:t>
      </w:r>
      <w:r>
        <w:rPr>
          <w:sz w:val="24"/>
          <w:szCs w:val="24"/>
        </w:rPr>
        <w:t>стр</w:t>
      </w:r>
      <w:r>
        <w:rPr>
          <w:sz w:val="24"/>
          <w:szCs w:val="24"/>
          <w:lang w:val="en-US"/>
        </w:rPr>
        <w:t>. 788-794</w:t>
      </w:r>
    </w:p>
    <w:p w:rsidR="00386748" w:rsidRDefault="000C5392">
      <w:pPr>
        <w:spacing w:line="240" w:lineRule="atLeast"/>
        <w:jc w:val="both"/>
        <w:rPr>
          <w:sz w:val="24"/>
          <w:szCs w:val="24"/>
          <w:lang w:val="en-US"/>
        </w:rPr>
      </w:pPr>
      <w:r>
        <w:rPr>
          <w:sz w:val="24"/>
          <w:szCs w:val="24"/>
          <w:lang w:val="en-US"/>
        </w:rPr>
        <w:t>8. Grebenyuk V., Krasnoperov A., Lavrova M., et al.The OLVE-HERO Calorimeter Prototype Tests at Heavy Ion Beams of CERN SPS. Physics of Particles and Nuclei Letters (2019) no.2, 85-92</w:t>
      </w:r>
    </w:p>
    <w:p w:rsidR="00386748" w:rsidRDefault="000C5392">
      <w:pPr>
        <w:spacing w:line="240" w:lineRule="atLeast"/>
        <w:jc w:val="both"/>
        <w:rPr>
          <w:sz w:val="24"/>
          <w:szCs w:val="24"/>
          <w:lang w:val="en-US"/>
        </w:rPr>
      </w:pPr>
      <w:r>
        <w:rPr>
          <w:sz w:val="24"/>
          <w:szCs w:val="24"/>
          <w:lang w:val="en-US"/>
        </w:rPr>
        <w:t>9. Sagan, Ya., Grebenyk, V.M., Krasnoperov, A.V., ...Karmanov, D.M., Podorozhny, D.M.The OLVE-HERO calorimeter prototype beam test at CERN SPS</w:t>
      </w:r>
    </w:p>
    <w:p w:rsidR="00386748" w:rsidRPr="0035180C" w:rsidRDefault="000C5392">
      <w:pPr>
        <w:spacing w:line="240" w:lineRule="atLeast"/>
        <w:jc w:val="both"/>
        <w:rPr>
          <w:sz w:val="24"/>
          <w:szCs w:val="24"/>
          <w:lang w:val="en-US"/>
        </w:rPr>
      </w:pPr>
      <w:r w:rsidRPr="0035180C">
        <w:rPr>
          <w:sz w:val="24"/>
          <w:szCs w:val="24"/>
          <w:lang w:val="en-US"/>
        </w:rPr>
        <w:t>Proceedings of Science, 2021, 358, 141</w:t>
      </w:r>
    </w:p>
    <w:p w:rsidR="00386748" w:rsidRPr="0035180C" w:rsidRDefault="00386748">
      <w:pPr>
        <w:spacing w:line="240" w:lineRule="atLeast"/>
        <w:jc w:val="both"/>
        <w:rPr>
          <w:sz w:val="24"/>
          <w:szCs w:val="24"/>
          <w:lang w:val="en-US"/>
        </w:rPr>
      </w:pPr>
    </w:p>
    <w:p w:rsidR="00386748" w:rsidRPr="0035180C" w:rsidRDefault="00931B85" w:rsidP="00931B85">
      <w:pPr>
        <w:pStyle w:val="Heading1"/>
        <w:tabs>
          <w:tab w:val="left" w:pos="3930"/>
        </w:tabs>
        <w:rPr>
          <w:lang w:val="en-US"/>
        </w:rPr>
      </w:pPr>
      <w:bookmarkStart w:id="7" w:name="_Toc131525076"/>
      <w:r>
        <w:rPr>
          <w:lang w:val="en-US"/>
        </w:rPr>
        <w:t>Activity report</w:t>
      </w:r>
      <w:r w:rsidRPr="0035180C">
        <w:rPr>
          <w:lang w:val="en-US"/>
        </w:rPr>
        <w:t xml:space="preserve"> «</w:t>
      </w:r>
      <w:r>
        <w:rPr>
          <w:lang w:val="en-US"/>
        </w:rPr>
        <w:t>TUS experiment</w:t>
      </w:r>
      <w:r w:rsidR="000C5392" w:rsidRPr="0035180C">
        <w:rPr>
          <w:lang w:val="en-US"/>
        </w:rPr>
        <w:t>»</w:t>
      </w:r>
      <w:bookmarkEnd w:id="7"/>
      <w:r w:rsidRPr="0035180C">
        <w:rPr>
          <w:lang w:val="en-US"/>
        </w:rPr>
        <w:tab/>
      </w:r>
    </w:p>
    <w:p w:rsidR="00931B85" w:rsidRPr="00931B85" w:rsidRDefault="00931B85" w:rsidP="00931B85">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931B85">
        <w:rPr>
          <w:rFonts w:eastAsia="NotoSans-Regular"/>
          <w:sz w:val="24"/>
          <w:szCs w:val="24"/>
          <w:lang w:val="en-US" w:eastAsia="ru-RU"/>
        </w:rPr>
        <w:t xml:space="preserve">The main goal of the TUS space experiment is to search for of </w:t>
      </w:r>
      <w:r>
        <w:rPr>
          <w:rFonts w:eastAsia="NotoSans-Regular"/>
          <w:sz w:val="24"/>
          <w:szCs w:val="24"/>
          <w:lang w:val="en-US" w:eastAsia="ru-RU"/>
        </w:rPr>
        <w:t>ultra high</w:t>
      </w:r>
      <w:r w:rsidRPr="00931B85">
        <w:rPr>
          <w:rFonts w:eastAsia="NotoSans-Regular"/>
          <w:sz w:val="24"/>
          <w:szCs w:val="24"/>
          <w:lang w:val="en-US" w:eastAsia="ru-RU"/>
        </w:rPr>
        <w:t xml:space="preserve"> energies cosmic rays</w:t>
      </w:r>
      <w:r>
        <w:rPr>
          <w:rFonts w:eastAsia="NotoSans-Regular"/>
          <w:sz w:val="24"/>
          <w:szCs w:val="24"/>
          <w:lang w:val="en-US" w:eastAsia="ru-RU"/>
        </w:rPr>
        <w:t xml:space="preserve"> </w:t>
      </w:r>
      <w:r w:rsidRPr="00931B85">
        <w:rPr>
          <w:rFonts w:eastAsia="NotoSans-Regular"/>
          <w:sz w:val="24"/>
          <w:szCs w:val="24"/>
          <w:lang w:val="en-US" w:eastAsia="ru-RU"/>
        </w:rPr>
        <w:t>(E &gt; 70 EeV) by measuring the fluorescent and Cherenkov radiation of</w:t>
      </w:r>
      <w:r>
        <w:rPr>
          <w:rFonts w:eastAsia="NotoSans-Regular"/>
          <w:sz w:val="24"/>
          <w:szCs w:val="24"/>
          <w:lang w:val="en-US" w:eastAsia="ru-RU"/>
        </w:rPr>
        <w:t xml:space="preserve"> </w:t>
      </w:r>
      <w:r w:rsidRPr="00931B85">
        <w:rPr>
          <w:rFonts w:eastAsia="NotoSans-Regular"/>
          <w:sz w:val="24"/>
          <w:szCs w:val="24"/>
          <w:lang w:val="en-US" w:eastAsia="ru-RU"/>
        </w:rPr>
        <w:t>extensive air showers (EASs) in the Earth's atmosphere. The TUS detector registered more</w:t>
      </w:r>
      <w:r>
        <w:rPr>
          <w:rFonts w:eastAsia="NotoSans-Regular"/>
          <w:sz w:val="24"/>
          <w:szCs w:val="24"/>
          <w:lang w:val="en-US" w:eastAsia="ru-RU"/>
        </w:rPr>
        <w:t xml:space="preserve"> </w:t>
      </w:r>
      <w:r w:rsidRPr="00931B85">
        <w:rPr>
          <w:rFonts w:eastAsia="NotoSans-Regular"/>
          <w:sz w:val="24"/>
          <w:szCs w:val="24"/>
          <w:lang w:val="en-US" w:eastAsia="ru-RU"/>
        </w:rPr>
        <w:t>than 40 events, the origin of which is unclear. In contrast to the standard events, in the</w:t>
      </w:r>
      <w:r>
        <w:rPr>
          <w:rFonts w:eastAsia="NotoSans-Regular"/>
          <w:sz w:val="24"/>
          <w:szCs w:val="24"/>
          <w:lang w:val="en-US" w:eastAsia="ru-RU"/>
        </w:rPr>
        <w:t xml:space="preserve"> </w:t>
      </w:r>
      <w:r w:rsidRPr="00931B85">
        <w:rPr>
          <w:rFonts w:eastAsia="NotoSans-Regular"/>
          <w:sz w:val="24"/>
          <w:szCs w:val="24"/>
          <w:lang w:val="en-US" w:eastAsia="ru-RU"/>
        </w:rPr>
        <w:t>observed events, the same signals appeared in all pixels of the photodetector, which is the</w:t>
      </w:r>
      <w:r>
        <w:rPr>
          <w:rFonts w:eastAsia="NotoSans-Regular"/>
          <w:sz w:val="24"/>
          <w:szCs w:val="24"/>
          <w:lang w:val="en-US" w:eastAsia="ru-RU"/>
        </w:rPr>
        <w:t xml:space="preserve"> </w:t>
      </w:r>
      <w:r w:rsidRPr="00931B85">
        <w:rPr>
          <w:rFonts w:eastAsia="NotoSans-Regular"/>
          <w:sz w:val="24"/>
          <w:szCs w:val="24"/>
          <w:lang w:val="en-US" w:eastAsia="ru-RU"/>
        </w:rPr>
        <w:t>criterion for their anomalousness. The probable nature of such atmospheric events is out</w:t>
      </w:r>
      <w:r>
        <w:rPr>
          <w:rFonts w:eastAsia="NotoSans-Regular"/>
          <w:sz w:val="24"/>
          <w:szCs w:val="24"/>
          <w:lang w:val="en-US" w:eastAsia="ru-RU"/>
        </w:rPr>
        <w:t>-</w:t>
      </w:r>
      <w:r w:rsidRPr="00931B85">
        <w:rPr>
          <w:rFonts w:eastAsia="NotoSans-Regular"/>
          <w:sz w:val="24"/>
          <w:szCs w:val="24"/>
          <w:lang w:val="en-US" w:eastAsia="ru-RU"/>
        </w:rPr>
        <w:t>of-</w:t>
      </w:r>
      <w:r>
        <w:rPr>
          <w:rFonts w:eastAsia="NotoSans-Regular"/>
          <w:sz w:val="24"/>
          <w:szCs w:val="24"/>
          <w:lang w:val="en-US" w:eastAsia="ru-RU"/>
        </w:rPr>
        <w:t xml:space="preserve"> </w:t>
      </w:r>
      <w:r w:rsidRPr="00931B85">
        <w:rPr>
          <w:rFonts w:eastAsia="NotoSans-Regular"/>
          <w:sz w:val="24"/>
          <w:szCs w:val="24"/>
          <w:lang w:val="en-US" w:eastAsia="ru-RU"/>
        </w:rPr>
        <w:t>aperture lightning discharges, the diffuse reflection of light from which from the solar</w:t>
      </w:r>
      <w:r>
        <w:rPr>
          <w:rFonts w:eastAsia="NotoSans-Regular"/>
          <w:sz w:val="24"/>
          <w:szCs w:val="24"/>
          <w:lang w:val="en-US" w:eastAsia="ru-RU"/>
        </w:rPr>
        <w:t xml:space="preserve"> </w:t>
      </w:r>
      <w:r w:rsidRPr="00931B85">
        <w:rPr>
          <w:rFonts w:eastAsia="NotoSans-Regular"/>
          <w:sz w:val="24"/>
          <w:szCs w:val="24"/>
          <w:lang w:val="en-US" w:eastAsia="ru-RU"/>
        </w:rPr>
        <w:t>panels of the satellite hits the photodetector matrix.</w:t>
      </w:r>
    </w:p>
    <w:p w:rsidR="00931B85" w:rsidRPr="00931B85" w:rsidRDefault="00931B85" w:rsidP="00931B85">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931B85">
        <w:rPr>
          <w:rFonts w:eastAsia="NotoSans-Regular"/>
          <w:sz w:val="24"/>
          <w:szCs w:val="24"/>
          <w:lang w:val="en-US" w:eastAsia="ru-RU"/>
        </w:rPr>
        <w:t xml:space="preserve">In anomalous events, a group of several “hybrid” </w:t>
      </w:r>
      <w:r>
        <w:rPr>
          <w:rFonts w:eastAsia="NotoSans-Regular"/>
          <w:sz w:val="24"/>
          <w:szCs w:val="24"/>
          <w:lang w:val="en-US" w:eastAsia="ru-RU"/>
        </w:rPr>
        <w:t>events is distinguished (Fig. 10</w:t>
      </w:r>
      <w:r w:rsidRPr="00931B85">
        <w:rPr>
          <w:rFonts w:eastAsia="NotoSans-Regular"/>
          <w:sz w:val="24"/>
          <w:szCs w:val="24"/>
          <w:lang w:val="en-US" w:eastAsia="ru-RU"/>
        </w:rPr>
        <w:t>): narrow,</w:t>
      </w:r>
      <w:r>
        <w:rPr>
          <w:rFonts w:eastAsia="NotoSans-Regular"/>
          <w:sz w:val="24"/>
          <w:szCs w:val="24"/>
          <w:lang w:val="en-US" w:eastAsia="ru-RU"/>
        </w:rPr>
        <w:t xml:space="preserve"> </w:t>
      </w:r>
      <w:r w:rsidRPr="00931B85">
        <w:rPr>
          <w:rFonts w:eastAsia="NotoSans-Regular"/>
          <w:sz w:val="24"/>
          <w:szCs w:val="24"/>
          <w:lang w:val="en-US" w:eastAsia="ru-RU"/>
        </w:rPr>
        <w:t>several time cycles wide, peaks at the beginning of the event, accompanied by wide</w:t>
      </w:r>
      <w:r>
        <w:rPr>
          <w:rFonts w:eastAsia="NotoSans-Regular"/>
          <w:sz w:val="24"/>
          <w:szCs w:val="24"/>
          <w:lang w:val="en-US" w:eastAsia="ru-RU"/>
        </w:rPr>
        <w:t xml:space="preserve"> </w:t>
      </w:r>
      <w:r w:rsidRPr="00931B85">
        <w:rPr>
          <w:rFonts w:eastAsia="NotoSans-Regular"/>
          <w:sz w:val="24"/>
          <w:szCs w:val="24"/>
          <w:lang w:val="en-US" w:eastAsia="ru-RU"/>
        </w:rPr>
        <w:t>distributions. It is possible that the narrow peak is due to Cherenkov and fluorescent</w:t>
      </w:r>
      <w:r>
        <w:rPr>
          <w:rFonts w:eastAsia="NotoSans-Regular"/>
          <w:sz w:val="24"/>
          <w:szCs w:val="24"/>
          <w:lang w:val="en-US" w:eastAsia="ru-RU"/>
        </w:rPr>
        <w:t xml:space="preserve"> </w:t>
      </w:r>
      <w:r w:rsidRPr="00931B85">
        <w:rPr>
          <w:rFonts w:eastAsia="NotoSans-Regular"/>
          <w:sz w:val="24"/>
          <w:szCs w:val="24"/>
          <w:lang w:val="en-US" w:eastAsia="ru-RU"/>
        </w:rPr>
        <w:t>radiation from the ascending EAS, which originated outside the field of view of the detector</w:t>
      </w:r>
      <w:r>
        <w:rPr>
          <w:rFonts w:eastAsia="NotoSans-Regular"/>
          <w:sz w:val="24"/>
          <w:szCs w:val="24"/>
          <w:lang w:val="en-US" w:eastAsia="ru-RU"/>
        </w:rPr>
        <w:t xml:space="preserve"> </w:t>
      </w:r>
      <w:r w:rsidRPr="00931B85">
        <w:rPr>
          <w:rFonts w:eastAsia="NotoSans-Regular"/>
          <w:sz w:val="24"/>
          <w:szCs w:val="24"/>
          <w:lang w:val="en-US" w:eastAsia="ru-RU"/>
        </w:rPr>
        <w:t>optics, which then initiated a lightning discharge, the reflection of which is also visible as a</w:t>
      </w:r>
      <w:r>
        <w:rPr>
          <w:rFonts w:eastAsia="NotoSans-Regular"/>
          <w:sz w:val="24"/>
          <w:szCs w:val="24"/>
          <w:lang w:val="en-US" w:eastAsia="ru-RU"/>
        </w:rPr>
        <w:t xml:space="preserve"> </w:t>
      </w:r>
      <w:r w:rsidRPr="00931B85">
        <w:rPr>
          <w:rFonts w:eastAsia="NotoSans-Regular"/>
          <w:sz w:val="24"/>
          <w:szCs w:val="24"/>
          <w:lang w:val="en-US" w:eastAsia="ru-RU"/>
        </w:rPr>
        <w:t>wide subsequent distribution.</w:t>
      </w:r>
    </w:p>
    <w:p w:rsidR="00386748" w:rsidRPr="0035180C" w:rsidRDefault="00931B85">
      <w:pPr>
        <w:rPr>
          <w:sz w:val="24"/>
          <w:szCs w:val="24"/>
          <w:lang w:val="en-US"/>
        </w:rPr>
      </w:pPr>
      <w:r>
        <w:rPr>
          <w:sz w:val="24"/>
          <w:szCs w:val="24"/>
          <w:lang w:val="en-US"/>
        </w:rPr>
        <w:t>This work has been reported on:</w:t>
      </w:r>
    </w:p>
    <w:p w:rsidR="00386748" w:rsidRPr="0035180C" w:rsidRDefault="000C5392">
      <w:pPr>
        <w:rPr>
          <w:lang w:val="en-US"/>
        </w:rPr>
      </w:pPr>
      <w:r w:rsidRPr="0035180C">
        <w:rPr>
          <w:sz w:val="24"/>
          <w:szCs w:val="24"/>
          <w:lang w:val="en-US"/>
        </w:rPr>
        <w:t>1. 31</w:t>
      </w:r>
      <w:r>
        <w:rPr>
          <w:sz w:val="24"/>
          <w:szCs w:val="24"/>
          <w:vertAlign w:val="superscript"/>
          <w:lang w:val="en-US"/>
        </w:rPr>
        <w:t>st</w:t>
      </w:r>
      <w:r>
        <w:rPr>
          <w:sz w:val="24"/>
          <w:szCs w:val="24"/>
          <w:lang w:val="en-US"/>
        </w:rPr>
        <w:t>JEM</w:t>
      </w:r>
      <w:r w:rsidRPr="0035180C">
        <w:rPr>
          <w:sz w:val="24"/>
          <w:szCs w:val="24"/>
          <w:lang w:val="en-US"/>
        </w:rPr>
        <w:t>-</w:t>
      </w:r>
      <w:r>
        <w:rPr>
          <w:sz w:val="24"/>
          <w:szCs w:val="24"/>
          <w:lang w:val="en-US"/>
        </w:rPr>
        <w:t>EUSOInternationalCollaborationMeeting</w:t>
      </w:r>
      <w:r w:rsidRPr="0035180C">
        <w:rPr>
          <w:sz w:val="24"/>
          <w:szCs w:val="24"/>
          <w:lang w:val="en-US"/>
        </w:rPr>
        <w:t xml:space="preserve">, </w:t>
      </w:r>
    </w:p>
    <w:p w:rsidR="00386748" w:rsidRPr="00931B85" w:rsidRDefault="000C5392">
      <w:pPr>
        <w:rPr>
          <w:sz w:val="24"/>
          <w:szCs w:val="24"/>
          <w:lang w:val="en-US"/>
        </w:rPr>
      </w:pPr>
      <w:r w:rsidRPr="00931B85">
        <w:rPr>
          <w:sz w:val="24"/>
          <w:szCs w:val="24"/>
          <w:lang w:val="en-US"/>
        </w:rPr>
        <w:t xml:space="preserve">2. </w:t>
      </w:r>
      <w:r w:rsidR="00931B85">
        <w:rPr>
          <w:sz w:val="24"/>
          <w:szCs w:val="24"/>
          <w:lang w:val="en-US"/>
        </w:rPr>
        <w:t xml:space="preserve"> RCRC-2022</w:t>
      </w:r>
      <w:r w:rsidRPr="00931B85">
        <w:rPr>
          <w:sz w:val="24"/>
          <w:szCs w:val="24"/>
          <w:lang w:val="en-US"/>
        </w:rPr>
        <w:t xml:space="preserve"> (</w:t>
      </w:r>
      <w:r w:rsidR="00931B85">
        <w:rPr>
          <w:sz w:val="24"/>
          <w:szCs w:val="24"/>
          <w:lang w:val="en-US"/>
        </w:rPr>
        <w:t>will be published in the proceedings of the conference</w:t>
      </w:r>
      <w:r w:rsidRPr="00931B85">
        <w:rPr>
          <w:sz w:val="24"/>
          <w:szCs w:val="24"/>
          <w:lang w:val="en-US"/>
        </w:rPr>
        <w:t xml:space="preserve">), </w:t>
      </w:r>
    </w:p>
    <w:p w:rsidR="00386748" w:rsidRDefault="000C5392">
      <w:r>
        <w:rPr>
          <w:sz w:val="24"/>
          <w:szCs w:val="24"/>
        </w:rPr>
        <w:t>3. 6</w:t>
      </w:r>
      <w:r>
        <w:rPr>
          <w:sz w:val="24"/>
          <w:szCs w:val="24"/>
          <w:vertAlign w:val="superscript"/>
          <w:lang w:val="en-US"/>
        </w:rPr>
        <w:t>th</w:t>
      </w:r>
      <w:r>
        <w:rPr>
          <w:sz w:val="24"/>
          <w:szCs w:val="24"/>
          <w:lang w:val="en-US"/>
        </w:rPr>
        <w:t>InternationalConferenceonParticlePhysicsandAstrophysics</w:t>
      </w:r>
      <w:r>
        <w:rPr>
          <w:sz w:val="24"/>
          <w:szCs w:val="24"/>
        </w:rPr>
        <w:t>.</w:t>
      </w:r>
    </w:p>
    <w:p w:rsidR="00386748" w:rsidRDefault="00386748">
      <w:pPr>
        <w:rPr>
          <w:b/>
          <w:sz w:val="24"/>
          <w:szCs w:val="24"/>
          <w:lang w:val="en-US"/>
        </w:rPr>
      </w:pPr>
    </w:p>
    <w:p w:rsidR="00386748" w:rsidRDefault="000C5392">
      <w:r>
        <w:rPr>
          <w:noProof/>
          <w:lang w:eastAsia="ru-RU"/>
        </w:rPr>
        <w:lastRenderedPageBreak/>
        <w:drawing>
          <wp:inline distT="0" distB="0" distL="0" distR="0">
            <wp:extent cx="5781675" cy="2876550"/>
            <wp:effectExtent l="0" t="0" r="0" b="0"/>
            <wp:docPr id="15"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30"/>
                    <pic:cNvPicPr>
                      <a:picLocks noChangeAspect="1" noChangeArrowheads="1"/>
                    </pic:cNvPicPr>
                  </pic:nvPicPr>
                  <pic:blipFill>
                    <a:blip r:embed="rId16"/>
                    <a:stretch>
                      <a:fillRect/>
                    </a:stretch>
                  </pic:blipFill>
                  <pic:spPr bwMode="auto">
                    <a:xfrm>
                      <a:off x="0" y="0"/>
                      <a:ext cx="5781675" cy="2876550"/>
                    </a:xfrm>
                    <a:prstGeom prst="rect">
                      <a:avLst/>
                    </a:prstGeom>
                  </pic:spPr>
                </pic:pic>
              </a:graphicData>
            </a:graphic>
          </wp:inline>
        </w:drawing>
      </w:r>
    </w:p>
    <w:p w:rsidR="00386748" w:rsidRPr="00931B85" w:rsidRDefault="00931B85">
      <w:pPr>
        <w:jc w:val="center"/>
        <w:rPr>
          <w:sz w:val="24"/>
          <w:szCs w:val="24"/>
          <w:lang w:val="en-US"/>
        </w:rPr>
      </w:pPr>
      <w:r>
        <w:rPr>
          <w:sz w:val="24"/>
          <w:szCs w:val="24"/>
          <w:lang w:val="en-US"/>
        </w:rPr>
        <w:t>Fig</w:t>
      </w:r>
      <w:r w:rsidRPr="00931B85">
        <w:rPr>
          <w:sz w:val="24"/>
          <w:szCs w:val="24"/>
          <w:lang w:val="en-US"/>
        </w:rPr>
        <w:t>. 1</w:t>
      </w:r>
      <w:r>
        <w:rPr>
          <w:sz w:val="24"/>
          <w:szCs w:val="24"/>
          <w:lang w:val="en-US"/>
        </w:rPr>
        <w:t>0</w:t>
      </w:r>
      <w:r w:rsidR="000C5392" w:rsidRPr="00931B85">
        <w:rPr>
          <w:sz w:val="24"/>
          <w:szCs w:val="24"/>
          <w:lang w:val="en-US"/>
        </w:rPr>
        <w:t xml:space="preserve">. </w:t>
      </w:r>
      <w:r>
        <w:rPr>
          <w:sz w:val="24"/>
          <w:szCs w:val="24"/>
          <w:lang w:val="en-US"/>
        </w:rPr>
        <w:t>Examples of "hybrid" anomalous events</w:t>
      </w:r>
      <w:r w:rsidR="000C5392" w:rsidRPr="00931B85">
        <w:rPr>
          <w:sz w:val="24"/>
          <w:szCs w:val="24"/>
          <w:lang w:val="en-US"/>
        </w:rPr>
        <w:t>.</w:t>
      </w:r>
    </w:p>
    <w:p w:rsidR="00386748" w:rsidRPr="00931B85" w:rsidRDefault="00386748">
      <w:pPr>
        <w:ind w:firstLine="851"/>
        <w:jc w:val="both"/>
        <w:rPr>
          <w:b/>
          <w:bCs/>
          <w:sz w:val="24"/>
          <w:szCs w:val="24"/>
          <w:lang w:val="en-US"/>
        </w:rPr>
      </w:pPr>
    </w:p>
    <w:p w:rsidR="00386748" w:rsidRDefault="00931B85">
      <w:pPr>
        <w:pStyle w:val="Heading2"/>
        <w:rPr>
          <w:lang w:val="en-US"/>
        </w:rPr>
      </w:pPr>
      <w:bookmarkStart w:id="8" w:name="_Toc131525077"/>
      <w:r>
        <w:rPr>
          <w:lang w:val="en-US"/>
        </w:rPr>
        <w:t>Relative calibration of the photodetector</w:t>
      </w:r>
      <w:r w:rsidR="000C5392" w:rsidRPr="00931B85">
        <w:rPr>
          <w:lang w:val="en-US"/>
        </w:rPr>
        <w:t>.</w:t>
      </w:r>
      <w:bookmarkEnd w:id="8"/>
    </w:p>
    <w:p w:rsidR="00931B85" w:rsidRDefault="00931B85">
      <w:pPr>
        <w:pStyle w:val="Heading2"/>
        <w:rPr>
          <w:lang w:val="en-US"/>
        </w:rPr>
      </w:pPr>
    </w:p>
    <w:p w:rsidR="00931B85" w:rsidRPr="00931B85" w:rsidRDefault="00931B85" w:rsidP="00931B85">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931B85">
        <w:rPr>
          <w:rFonts w:eastAsia="NotoSans-Regular"/>
          <w:sz w:val="24"/>
          <w:szCs w:val="24"/>
          <w:lang w:val="en-US" w:eastAsia="ru-RU"/>
        </w:rPr>
        <w:t>Based on the assumption of diffuse reflection of light from out-of-aperture lightning</w:t>
      </w:r>
      <w:r w:rsidR="00A44568">
        <w:rPr>
          <w:rFonts w:eastAsia="NotoSans-Regular"/>
          <w:sz w:val="24"/>
          <w:szCs w:val="24"/>
          <w:lang w:val="en-US" w:eastAsia="ru-RU"/>
        </w:rPr>
        <w:t xml:space="preserve"> </w:t>
      </w:r>
      <w:r w:rsidRPr="00931B85">
        <w:rPr>
          <w:rFonts w:eastAsia="NotoSans-Regular"/>
          <w:sz w:val="24"/>
          <w:szCs w:val="24"/>
          <w:lang w:val="en-US" w:eastAsia="ru-RU"/>
        </w:rPr>
        <w:t>flashes from solar panels as the cause of anomalous events, it is natural to expect that the</w:t>
      </w:r>
      <w:r w:rsidR="00A44568">
        <w:rPr>
          <w:rFonts w:eastAsia="NotoSans-Regular"/>
          <w:sz w:val="24"/>
          <w:szCs w:val="24"/>
          <w:lang w:val="en-US" w:eastAsia="ru-RU"/>
        </w:rPr>
        <w:t xml:space="preserve"> </w:t>
      </w:r>
      <w:r w:rsidRPr="00931B85">
        <w:rPr>
          <w:rFonts w:eastAsia="NotoSans-Regular"/>
          <w:sz w:val="24"/>
          <w:szCs w:val="24"/>
          <w:lang w:val="en-US" w:eastAsia="ru-RU"/>
        </w:rPr>
        <w:t>same reflected signal is measured in all pixels of the TUS photodetector, which can be used</w:t>
      </w:r>
      <w:r w:rsidR="00A44568">
        <w:rPr>
          <w:rFonts w:eastAsia="NotoSans-Regular"/>
          <w:sz w:val="24"/>
          <w:szCs w:val="24"/>
          <w:lang w:val="en-US" w:eastAsia="ru-RU"/>
        </w:rPr>
        <w:t xml:space="preserve"> </w:t>
      </w:r>
      <w:r w:rsidRPr="00931B85">
        <w:rPr>
          <w:rFonts w:eastAsia="NotoSans-Regular"/>
          <w:sz w:val="24"/>
          <w:szCs w:val="24"/>
          <w:lang w:val="en-US" w:eastAsia="ru-RU"/>
        </w:rPr>
        <w:t>to calibrate the photodetector. If the photon flux density is sufficiently high and spatially</w:t>
      </w:r>
      <w:r w:rsidR="00A44568">
        <w:rPr>
          <w:rFonts w:eastAsia="NotoSans-Regular"/>
          <w:sz w:val="24"/>
          <w:szCs w:val="24"/>
          <w:lang w:val="en-US" w:eastAsia="ru-RU"/>
        </w:rPr>
        <w:t xml:space="preserve"> </w:t>
      </w:r>
      <w:r w:rsidRPr="00931B85">
        <w:rPr>
          <w:rFonts w:eastAsia="NotoSans-Regular"/>
          <w:sz w:val="24"/>
          <w:szCs w:val="24"/>
          <w:lang w:val="en-US" w:eastAsia="ru-RU"/>
        </w:rPr>
        <w:t>uniform, then the difference in signal amplitudes in pixels will be due to the difference in</w:t>
      </w:r>
      <w:r w:rsidR="00A44568">
        <w:rPr>
          <w:rFonts w:eastAsia="NotoSans-Regular"/>
          <w:sz w:val="24"/>
          <w:szCs w:val="24"/>
          <w:lang w:val="en-US" w:eastAsia="ru-RU"/>
        </w:rPr>
        <w:t xml:space="preserve"> </w:t>
      </w:r>
      <w:r w:rsidRPr="00931B85">
        <w:rPr>
          <w:rFonts w:eastAsia="NotoSans-Regular"/>
          <w:sz w:val="24"/>
          <w:szCs w:val="24"/>
          <w:lang w:val="en-US" w:eastAsia="ru-RU"/>
        </w:rPr>
        <w:t>their sensitivity and gain factors. In principle, such a calibration can be done using each of</w:t>
      </w:r>
      <w:r w:rsidR="00A44568">
        <w:rPr>
          <w:rFonts w:eastAsia="NotoSans-Regular"/>
          <w:sz w:val="24"/>
          <w:szCs w:val="24"/>
          <w:lang w:val="en-US" w:eastAsia="ru-RU"/>
        </w:rPr>
        <w:t xml:space="preserve"> </w:t>
      </w:r>
      <w:r w:rsidRPr="00931B85">
        <w:rPr>
          <w:rFonts w:eastAsia="NotoSans-Regular"/>
          <w:sz w:val="24"/>
          <w:szCs w:val="24"/>
          <w:lang w:val="en-US" w:eastAsia="ru-RU"/>
        </w:rPr>
        <w:t>the events. The coincidence of calibrations from different events would be a confirmation of</w:t>
      </w:r>
      <w:r w:rsidR="00A44568">
        <w:rPr>
          <w:rFonts w:eastAsia="NotoSans-Regular"/>
          <w:sz w:val="24"/>
          <w:szCs w:val="24"/>
          <w:lang w:val="en-US" w:eastAsia="ru-RU"/>
        </w:rPr>
        <w:t xml:space="preserve"> </w:t>
      </w:r>
      <w:r w:rsidRPr="00931B85">
        <w:rPr>
          <w:rFonts w:eastAsia="NotoSans-Regular"/>
          <w:sz w:val="24"/>
          <w:szCs w:val="24"/>
          <w:lang w:val="en-US" w:eastAsia="ru-RU"/>
        </w:rPr>
        <w:t>the external nature of the events and the legitimacy of the calibration method itself.</w:t>
      </w:r>
      <w:r w:rsidR="00A44568">
        <w:rPr>
          <w:rFonts w:eastAsia="NotoSans-Regular"/>
          <w:sz w:val="24"/>
          <w:szCs w:val="24"/>
          <w:lang w:val="en-US" w:eastAsia="ru-RU"/>
        </w:rPr>
        <w:t xml:space="preserve"> </w:t>
      </w:r>
      <w:r w:rsidRPr="00931B85">
        <w:rPr>
          <w:rFonts w:eastAsia="NotoSans-Regular"/>
          <w:sz w:val="24"/>
          <w:szCs w:val="24"/>
          <w:lang w:val="en-US" w:eastAsia="ru-RU"/>
        </w:rPr>
        <w:t>However, this is true only in the ideal case, when all channels of the photodetector have</w:t>
      </w:r>
      <w:r w:rsidR="00A44568">
        <w:rPr>
          <w:rFonts w:eastAsia="NotoSans-Regular"/>
          <w:sz w:val="24"/>
          <w:szCs w:val="24"/>
          <w:lang w:val="en-US" w:eastAsia="ru-RU"/>
        </w:rPr>
        <w:t xml:space="preserve"> </w:t>
      </w:r>
      <w:r w:rsidRPr="00931B85">
        <w:rPr>
          <w:rFonts w:eastAsia="NotoSans-Regular"/>
          <w:sz w:val="24"/>
          <w:szCs w:val="24"/>
          <w:lang w:val="en-US" w:eastAsia="ru-RU"/>
        </w:rPr>
        <w:t>characteristics that are stable over time. In fact, this is not the case due to changes in the</w:t>
      </w:r>
      <w:r w:rsidR="00A44568">
        <w:rPr>
          <w:rFonts w:eastAsia="NotoSans-Regular"/>
          <w:sz w:val="24"/>
          <w:szCs w:val="24"/>
          <w:lang w:val="en-US" w:eastAsia="ru-RU"/>
        </w:rPr>
        <w:t xml:space="preserve"> </w:t>
      </w:r>
      <w:r w:rsidRPr="00931B85">
        <w:rPr>
          <w:rFonts w:eastAsia="NotoSans-Regular"/>
          <w:sz w:val="24"/>
          <w:szCs w:val="24"/>
          <w:lang w:val="en-US" w:eastAsia="ru-RU"/>
        </w:rPr>
        <w:t>physical characteristics of the photodetector channels during the flight (aging), as well as</w:t>
      </w:r>
      <w:r w:rsidR="00A44568">
        <w:rPr>
          <w:rFonts w:eastAsia="NotoSans-Regular"/>
          <w:sz w:val="24"/>
          <w:szCs w:val="24"/>
          <w:lang w:val="en-US" w:eastAsia="ru-RU"/>
        </w:rPr>
        <w:t xml:space="preserve"> </w:t>
      </w:r>
      <w:r w:rsidRPr="00931B85">
        <w:rPr>
          <w:rFonts w:eastAsia="NotoSans-Regular"/>
          <w:sz w:val="24"/>
          <w:szCs w:val="24"/>
          <w:lang w:val="en-US" w:eastAsia="ru-RU"/>
        </w:rPr>
        <w:t>changes in the temperature of the electronics when entering the night part of the orbit,</w:t>
      </w:r>
      <w:r w:rsidR="00A44568">
        <w:rPr>
          <w:rFonts w:eastAsia="NotoSans-Regular"/>
          <w:sz w:val="24"/>
          <w:szCs w:val="24"/>
          <w:lang w:val="en-US" w:eastAsia="ru-RU"/>
        </w:rPr>
        <w:t xml:space="preserve"> </w:t>
      </w:r>
      <w:r w:rsidRPr="00931B85">
        <w:rPr>
          <w:rFonts w:eastAsia="NotoSans-Regular"/>
          <w:sz w:val="24"/>
          <w:szCs w:val="24"/>
          <w:lang w:val="en-US" w:eastAsia="ru-RU"/>
        </w:rPr>
        <w:t>since thermal stabilization of the photodetector was not provided. Such an analysis is</w:t>
      </w:r>
      <w:r w:rsidR="00A44568">
        <w:rPr>
          <w:rFonts w:eastAsia="NotoSans-Regular"/>
          <w:sz w:val="24"/>
          <w:szCs w:val="24"/>
          <w:lang w:val="en-US" w:eastAsia="ru-RU"/>
        </w:rPr>
        <w:t xml:space="preserve"> </w:t>
      </w:r>
      <w:r w:rsidRPr="00931B85">
        <w:rPr>
          <w:rFonts w:eastAsia="NotoSans-Regular"/>
          <w:sz w:val="24"/>
          <w:szCs w:val="24"/>
          <w:lang w:val="en-US" w:eastAsia="ru-RU"/>
        </w:rPr>
        <w:t>currently in progress.</w:t>
      </w:r>
    </w:p>
    <w:p w:rsidR="00386748" w:rsidRPr="00A44568" w:rsidRDefault="00A44568" w:rsidP="00A44568">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t>Figure 11</w:t>
      </w:r>
      <w:r w:rsidR="00931B85" w:rsidRPr="00931B85">
        <w:rPr>
          <w:rFonts w:eastAsia="NotoSans-Regular"/>
          <w:sz w:val="24"/>
          <w:szCs w:val="24"/>
          <w:lang w:val="en-US" w:eastAsia="ru-RU"/>
        </w:rPr>
        <w:t xml:space="preserve"> shows the relative calibration of the photodetector pixels. First, about 40 events</w:t>
      </w:r>
      <w:r>
        <w:rPr>
          <w:rFonts w:eastAsia="NotoSans-Regular"/>
          <w:sz w:val="24"/>
          <w:szCs w:val="24"/>
          <w:lang w:val="en-US" w:eastAsia="ru-RU"/>
        </w:rPr>
        <w:t xml:space="preserve"> </w:t>
      </w:r>
      <w:r w:rsidR="00931B85" w:rsidRPr="00931B85">
        <w:rPr>
          <w:rFonts w:eastAsia="NotoSans-Regular"/>
          <w:sz w:val="24"/>
          <w:szCs w:val="24"/>
          <w:lang w:val="en-US" w:eastAsia="ru-RU"/>
        </w:rPr>
        <w:t>were selected in which there is no signal saturation in the pixels of the photodetector, by means of</w:t>
      </w:r>
      <w:r>
        <w:rPr>
          <w:rFonts w:eastAsia="NotoSans-Regular"/>
          <w:sz w:val="24"/>
          <w:szCs w:val="24"/>
          <w:lang w:val="en-US" w:eastAsia="ru-RU"/>
        </w:rPr>
        <w:t xml:space="preserve"> </w:t>
      </w:r>
      <w:r w:rsidR="00931B85" w:rsidRPr="00931B85">
        <w:rPr>
          <w:rFonts w:eastAsia="NotoSans-Regular"/>
          <w:sz w:val="24"/>
          <w:szCs w:val="24"/>
          <w:lang w:val="en-US" w:eastAsia="ru-RU"/>
        </w:rPr>
        <w:t>which the relative calibration coefficients were measured by averaging. It can be seen that the</w:t>
      </w:r>
      <w:r>
        <w:rPr>
          <w:rFonts w:eastAsia="NotoSans-Regular"/>
          <w:sz w:val="24"/>
          <w:szCs w:val="24"/>
          <w:lang w:val="en-US" w:eastAsia="ru-RU"/>
        </w:rPr>
        <w:t xml:space="preserve"> </w:t>
      </w:r>
      <w:r w:rsidR="00931B85" w:rsidRPr="00931B85">
        <w:rPr>
          <w:rFonts w:eastAsia="NotoSans-Regular"/>
          <w:sz w:val="24"/>
          <w:szCs w:val="24"/>
          <w:lang w:val="en-US" w:eastAsia="ru-RU"/>
        </w:rPr>
        <w:t>relative calibration of the photodetector by anomalous events is qualitatively consistent compared to</w:t>
      </w:r>
      <w:r>
        <w:rPr>
          <w:rFonts w:eastAsia="NotoSans-Regular"/>
          <w:sz w:val="24"/>
          <w:szCs w:val="24"/>
          <w:lang w:val="en-US" w:eastAsia="ru-RU"/>
        </w:rPr>
        <w:t xml:space="preserve"> </w:t>
      </w:r>
      <w:r w:rsidR="00931B85" w:rsidRPr="00931B85">
        <w:rPr>
          <w:rFonts w:eastAsia="NotoSans-Regular"/>
          <w:sz w:val="24"/>
          <w:szCs w:val="24"/>
          <w:lang w:val="en-US" w:eastAsia="ru-RU"/>
        </w:rPr>
        <w:t xml:space="preserve">the previously performed calibration by analyzing background fluctuations by colleagues from </w:t>
      </w:r>
      <w:r w:rsidR="00931B85" w:rsidRPr="00A44568">
        <w:rPr>
          <w:rFonts w:eastAsia="NotoSans-Regular"/>
          <w:sz w:val="24"/>
          <w:szCs w:val="24"/>
          <w:lang w:val="en-US" w:eastAsia="ru-RU"/>
        </w:rPr>
        <w:t>SINP</w:t>
      </w:r>
      <w:r w:rsidRPr="00A44568">
        <w:rPr>
          <w:rFonts w:eastAsia="NotoSans-Regular"/>
          <w:sz w:val="24"/>
          <w:szCs w:val="24"/>
          <w:lang w:val="en-US" w:eastAsia="ru-RU"/>
        </w:rPr>
        <w:t xml:space="preserve"> </w:t>
      </w:r>
      <w:r w:rsidR="00931B85" w:rsidRPr="00A44568">
        <w:rPr>
          <w:rFonts w:eastAsia="NotoSans-Regular"/>
          <w:sz w:val="24"/>
          <w:szCs w:val="24"/>
          <w:lang w:val="en-US" w:eastAsia="ru-RU"/>
        </w:rPr>
        <w:t>MSU [6]</w:t>
      </w:r>
      <w:r w:rsidRPr="00A44568">
        <w:rPr>
          <w:rFonts w:eastAsia="NotoSans-Regular"/>
          <w:szCs w:val="24"/>
          <w:lang w:val="en-US" w:eastAsia="ru-RU"/>
        </w:rPr>
        <w:t>.</w:t>
      </w:r>
    </w:p>
    <w:p w:rsidR="00386748" w:rsidRDefault="000C5392">
      <w:pPr>
        <w:ind w:firstLine="851"/>
        <w:jc w:val="both"/>
      </w:pPr>
      <w:r>
        <w:rPr>
          <w:noProof/>
          <w:lang w:eastAsia="ru-RU"/>
        </w:rPr>
        <w:lastRenderedPageBreak/>
        <w:drawing>
          <wp:inline distT="0" distB="0" distL="19050" distR="0">
            <wp:extent cx="4653280" cy="3524250"/>
            <wp:effectExtent l="0" t="0" r="0" b="0"/>
            <wp:docPr id="16"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1"/>
                    <pic:cNvPicPr>
                      <a:picLocks noChangeAspect="1" noChangeArrowheads="1"/>
                    </pic:cNvPicPr>
                  </pic:nvPicPr>
                  <pic:blipFill>
                    <a:blip r:embed="rId17"/>
                    <a:stretch>
                      <a:fillRect/>
                    </a:stretch>
                  </pic:blipFill>
                  <pic:spPr bwMode="auto">
                    <a:xfrm>
                      <a:off x="0" y="0"/>
                      <a:ext cx="4653280" cy="3524250"/>
                    </a:xfrm>
                    <a:prstGeom prst="rect">
                      <a:avLst/>
                    </a:prstGeom>
                  </pic:spPr>
                </pic:pic>
              </a:graphicData>
            </a:graphic>
          </wp:inline>
        </w:drawing>
      </w:r>
    </w:p>
    <w:p w:rsidR="00386748" w:rsidRDefault="000C5392">
      <w:pPr>
        <w:jc w:val="both"/>
        <w:rPr>
          <w:sz w:val="24"/>
          <w:szCs w:val="24"/>
        </w:rPr>
      </w:pPr>
      <w:r>
        <w:rPr>
          <w:sz w:val="24"/>
          <w:szCs w:val="24"/>
        </w:rPr>
        <w:tab/>
      </w:r>
    </w:p>
    <w:p w:rsidR="00386748" w:rsidRPr="00A44568" w:rsidRDefault="00A44568">
      <w:pPr>
        <w:jc w:val="both"/>
        <w:rPr>
          <w:sz w:val="24"/>
          <w:szCs w:val="24"/>
          <w:lang w:val="en-US"/>
        </w:rPr>
      </w:pPr>
      <w:r>
        <w:rPr>
          <w:sz w:val="24"/>
          <w:szCs w:val="24"/>
          <w:lang w:val="en-US"/>
        </w:rPr>
        <w:t>Fig</w:t>
      </w:r>
      <w:r w:rsidR="000C5392" w:rsidRPr="0035180C">
        <w:rPr>
          <w:sz w:val="24"/>
          <w:szCs w:val="24"/>
          <w:lang w:val="en-US"/>
        </w:rPr>
        <w:t xml:space="preserve">. 12. </w:t>
      </w:r>
      <w:r>
        <w:rPr>
          <w:sz w:val="24"/>
          <w:szCs w:val="24"/>
          <w:lang w:val="en-US"/>
        </w:rPr>
        <w:t>Photodetector</w:t>
      </w:r>
      <w:r w:rsidRPr="00A44568">
        <w:rPr>
          <w:sz w:val="24"/>
          <w:szCs w:val="24"/>
          <w:lang w:val="en-US"/>
        </w:rPr>
        <w:t xml:space="preserve"> </w:t>
      </w:r>
      <w:r>
        <w:rPr>
          <w:sz w:val="24"/>
          <w:szCs w:val="24"/>
          <w:lang w:val="en-US"/>
        </w:rPr>
        <w:t>calibration</w:t>
      </w:r>
      <w:r w:rsidRPr="00A44568">
        <w:rPr>
          <w:sz w:val="24"/>
          <w:szCs w:val="24"/>
          <w:lang w:val="en-US"/>
        </w:rPr>
        <w:t xml:space="preserve"> </w:t>
      </w:r>
      <w:r>
        <w:rPr>
          <w:sz w:val="24"/>
          <w:szCs w:val="24"/>
          <w:lang w:val="en-US"/>
        </w:rPr>
        <w:t>measurements</w:t>
      </w:r>
      <w:r w:rsidRPr="00A44568">
        <w:rPr>
          <w:sz w:val="24"/>
          <w:szCs w:val="24"/>
          <w:lang w:val="en-US"/>
        </w:rPr>
        <w:t>.</w:t>
      </w:r>
      <w:r>
        <w:rPr>
          <w:sz w:val="24"/>
          <w:szCs w:val="24"/>
          <w:lang w:val="en-US"/>
        </w:rPr>
        <w:t xml:space="preserve"> Above - calibration by anomalous events, below - by analysis of amplitude fluctuations in background events.</w:t>
      </w:r>
      <w:r w:rsidR="000C5392" w:rsidRPr="00A44568">
        <w:rPr>
          <w:sz w:val="24"/>
          <w:szCs w:val="24"/>
          <w:lang w:val="en-US"/>
        </w:rPr>
        <w:t xml:space="preserve"> </w:t>
      </w:r>
    </w:p>
    <w:p w:rsidR="00386748" w:rsidRPr="00A44568" w:rsidRDefault="00386748">
      <w:pPr>
        <w:jc w:val="both"/>
        <w:rPr>
          <w:sz w:val="24"/>
          <w:szCs w:val="24"/>
          <w:lang w:val="en-US"/>
        </w:rPr>
      </w:pPr>
    </w:p>
    <w:p w:rsidR="00386748" w:rsidRPr="00A44568" w:rsidRDefault="00A44568">
      <w:pPr>
        <w:pStyle w:val="Heading2"/>
        <w:rPr>
          <w:highlight w:val="white"/>
          <w:lang w:val="en-US"/>
        </w:rPr>
      </w:pPr>
      <w:r>
        <w:rPr>
          <w:highlight w:val="white"/>
          <w:lang w:val="en-US"/>
        </w:rPr>
        <w:t>Published (or already accepted for publication) works for TUS activity</w:t>
      </w:r>
    </w:p>
    <w:p w:rsidR="00386748" w:rsidRPr="00A44568" w:rsidRDefault="000C5392">
      <w:pPr>
        <w:spacing w:before="200"/>
        <w:contextualSpacing/>
        <w:jc w:val="both"/>
        <w:rPr>
          <w:rFonts w:eastAsia="Calibri"/>
          <w:sz w:val="24"/>
          <w:szCs w:val="24"/>
          <w:lang w:val="en-US" w:eastAsia="en-US"/>
        </w:rPr>
      </w:pPr>
      <w:r w:rsidRPr="0035180C">
        <w:rPr>
          <w:rFonts w:eastAsia="Calibri"/>
          <w:sz w:val="24"/>
          <w:szCs w:val="24"/>
          <w:lang w:val="en-US" w:eastAsia="en-US"/>
        </w:rPr>
        <w:t xml:space="preserve">1. </w:t>
      </w:r>
      <w:r w:rsidR="00A44568">
        <w:rPr>
          <w:rFonts w:eastAsia="Calibri"/>
          <w:sz w:val="24"/>
          <w:szCs w:val="24"/>
          <w:lang w:val="en-US" w:eastAsia="en-US"/>
        </w:rPr>
        <w:t>M</w:t>
      </w:r>
      <w:r w:rsidR="00A44568" w:rsidRPr="0035180C">
        <w:rPr>
          <w:rFonts w:eastAsia="Calibri"/>
          <w:sz w:val="24"/>
          <w:szCs w:val="24"/>
          <w:lang w:val="en-US" w:eastAsia="en-US"/>
        </w:rPr>
        <w:t xml:space="preserve">. </w:t>
      </w:r>
      <w:r w:rsidR="00A44568">
        <w:rPr>
          <w:rFonts w:eastAsia="Calibri"/>
          <w:sz w:val="24"/>
          <w:szCs w:val="24"/>
          <w:lang w:val="en-US" w:eastAsia="en-US"/>
        </w:rPr>
        <w:t>Lavrova</w:t>
      </w:r>
      <w:r w:rsidR="00A44568" w:rsidRPr="0035180C">
        <w:rPr>
          <w:rFonts w:eastAsia="Calibri"/>
          <w:sz w:val="24"/>
          <w:szCs w:val="24"/>
          <w:lang w:val="en-US" w:eastAsia="en-US"/>
        </w:rPr>
        <w:t xml:space="preserve"> </w:t>
      </w:r>
      <w:r w:rsidR="00A44568">
        <w:rPr>
          <w:rFonts w:eastAsia="Calibri"/>
          <w:sz w:val="24"/>
          <w:szCs w:val="24"/>
          <w:lang w:val="en-US" w:eastAsia="en-US"/>
        </w:rPr>
        <w:t>et</w:t>
      </w:r>
      <w:r w:rsidRPr="0035180C">
        <w:rPr>
          <w:rFonts w:eastAsia="Calibri"/>
          <w:sz w:val="24"/>
          <w:szCs w:val="24"/>
          <w:lang w:val="en-US" w:eastAsia="en-US"/>
        </w:rPr>
        <w:t xml:space="preserve">. </w:t>
      </w:r>
      <w:r w:rsidR="00A44568">
        <w:rPr>
          <w:rFonts w:eastAsia="Calibri"/>
          <w:sz w:val="24"/>
          <w:szCs w:val="24"/>
          <w:lang w:val="en-US" w:eastAsia="en-US"/>
        </w:rPr>
        <w:t>al</w:t>
      </w:r>
      <w:r w:rsidR="00A44568" w:rsidRPr="0035180C">
        <w:rPr>
          <w:rFonts w:eastAsia="Calibri"/>
          <w:sz w:val="24"/>
          <w:szCs w:val="24"/>
          <w:lang w:val="en-US" w:eastAsia="en-US"/>
        </w:rPr>
        <w:t xml:space="preserve">. </w:t>
      </w:r>
      <w:r w:rsidR="00A44568">
        <w:rPr>
          <w:rFonts w:eastAsia="Calibri"/>
          <w:sz w:val="24"/>
          <w:szCs w:val="24"/>
          <w:lang w:val="en-US" w:eastAsia="en-US"/>
        </w:rPr>
        <w:t>Russian Cosmic Rays Conference</w:t>
      </w:r>
      <w:r w:rsidR="00A44568" w:rsidRPr="00A44568">
        <w:rPr>
          <w:rFonts w:eastAsia="Calibri"/>
          <w:sz w:val="24"/>
          <w:szCs w:val="24"/>
          <w:lang w:val="en-US" w:eastAsia="en-US"/>
        </w:rPr>
        <w:t>,</w:t>
      </w:r>
      <w:r w:rsidR="00A44568">
        <w:rPr>
          <w:rFonts w:eastAsia="Calibri"/>
          <w:sz w:val="24"/>
          <w:szCs w:val="24"/>
          <w:lang w:val="en-US" w:eastAsia="en-US"/>
        </w:rPr>
        <w:t xml:space="preserve"> Moscow</w:t>
      </w:r>
      <w:r w:rsidRPr="00A44568">
        <w:rPr>
          <w:rFonts w:eastAsia="Calibri"/>
          <w:sz w:val="24"/>
          <w:szCs w:val="24"/>
          <w:lang w:val="en-US" w:eastAsia="en-US"/>
        </w:rPr>
        <w:t xml:space="preserve">, </w:t>
      </w:r>
      <w:r w:rsidR="00A44568">
        <w:rPr>
          <w:rFonts w:eastAsia="Calibri"/>
          <w:sz w:val="24"/>
          <w:szCs w:val="24"/>
          <w:lang w:val="en-US" w:eastAsia="en-US"/>
        </w:rPr>
        <w:t>Russia</w:t>
      </w:r>
      <w:r w:rsidRPr="00A44568">
        <w:rPr>
          <w:rFonts w:eastAsia="Calibri"/>
          <w:sz w:val="24"/>
          <w:szCs w:val="24"/>
          <w:lang w:val="en-US" w:eastAsia="en-US"/>
        </w:rPr>
        <w:t xml:space="preserve"> (</w:t>
      </w:r>
      <w:r w:rsidR="00A44568">
        <w:rPr>
          <w:rFonts w:eastAsia="Calibri"/>
          <w:sz w:val="24"/>
          <w:szCs w:val="24"/>
          <w:lang w:val="en-US" w:eastAsia="en-US"/>
        </w:rPr>
        <w:t>RCRC-2022</w:t>
      </w:r>
      <w:r w:rsidRPr="00A44568">
        <w:rPr>
          <w:rFonts w:eastAsia="Calibri"/>
          <w:sz w:val="24"/>
          <w:szCs w:val="24"/>
          <w:lang w:val="en-US" w:eastAsia="en-US"/>
        </w:rPr>
        <w:t>)</w:t>
      </w:r>
    </w:p>
    <w:p w:rsidR="00386748" w:rsidRPr="0035180C" w:rsidRDefault="000C5392">
      <w:pPr>
        <w:spacing w:before="200"/>
        <w:contextualSpacing/>
        <w:jc w:val="both"/>
        <w:rPr>
          <w:lang w:val="en-US"/>
        </w:rPr>
      </w:pPr>
      <w:r>
        <w:rPr>
          <w:rFonts w:eastAsia="Calibri"/>
          <w:sz w:val="24"/>
          <w:szCs w:val="24"/>
          <w:lang w:val="en-US" w:eastAsia="en-US"/>
        </w:rPr>
        <w:t>2. A.Blinov et al., 6thInternational Conference on Particle Physics and Astrophysics. Moscow</w:t>
      </w:r>
      <w:r w:rsidRPr="0035180C">
        <w:rPr>
          <w:rFonts w:eastAsia="Calibri"/>
          <w:sz w:val="24"/>
          <w:szCs w:val="24"/>
          <w:lang w:val="en-US" w:eastAsia="en-US"/>
        </w:rPr>
        <w:t xml:space="preserve">, 29 </w:t>
      </w:r>
      <w:r>
        <w:rPr>
          <w:rFonts w:eastAsia="Calibri"/>
          <w:sz w:val="24"/>
          <w:szCs w:val="24"/>
          <w:lang w:val="en-US" w:eastAsia="en-US"/>
        </w:rPr>
        <w:t>Nov</w:t>
      </w:r>
      <w:r w:rsidRPr="0035180C">
        <w:rPr>
          <w:rFonts w:eastAsia="Calibri"/>
          <w:sz w:val="24"/>
          <w:szCs w:val="24"/>
          <w:lang w:val="en-US" w:eastAsia="en-US"/>
        </w:rPr>
        <w:t xml:space="preserve">. 2022 </w:t>
      </w:r>
      <w:r>
        <w:rPr>
          <w:rFonts w:eastAsia="Calibri"/>
          <w:sz w:val="24"/>
          <w:szCs w:val="24"/>
          <w:lang w:val="en-US" w:eastAsia="en-US"/>
        </w:rPr>
        <w:t>to</w:t>
      </w:r>
      <w:r w:rsidRPr="0035180C">
        <w:rPr>
          <w:rFonts w:eastAsia="Calibri"/>
          <w:sz w:val="24"/>
          <w:szCs w:val="24"/>
          <w:lang w:val="en-US" w:eastAsia="en-US"/>
        </w:rPr>
        <w:t xml:space="preserve"> 2 </w:t>
      </w:r>
      <w:r>
        <w:rPr>
          <w:rFonts w:eastAsia="Calibri"/>
          <w:sz w:val="24"/>
          <w:szCs w:val="24"/>
          <w:lang w:val="en-US" w:eastAsia="en-US"/>
        </w:rPr>
        <w:t>Dec</w:t>
      </w:r>
      <w:r w:rsidRPr="0035180C">
        <w:rPr>
          <w:rFonts w:eastAsia="Calibri"/>
          <w:sz w:val="24"/>
          <w:szCs w:val="24"/>
          <w:lang w:val="en-US" w:eastAsia="en-US"/>
        </w:rPr>
        <w:t>. 2022</w:t>
      </w:r>
    </w:p>
    <w:p w:rsidR="003A4F28" w:rsidRPr="00693CDF" w:rsidRDefault="003A4F28" w:rsidP="003A4F28">
      <w:pPr>
        <w:pStyle w:val="Heading1"/>
        <w:rPr>
          <w:lang w:val="en-US"/>
        </w:rPr>
      </w:pPr>
      <w:bookmarkStart w:id="9" w:name="_Toc131525079"/>
      <w:r w:rsidRPr="00693CDF">
        <w:rPr>
          <w:lang w:val="en-US"/>
        </w:rPr>
        <w:t xml:space="preserve">2.2.4. </w:t>
      </w:r>
      <w:bookmarkEnd w:id="9"/>
      <w:r>
        <w:rPr>
          <w:lang w:val="en-US"/>
        </w:rPr>
        <w:t>List of main publications of the JINR authors, including associate personnel based on the results of work on the project(</w:t>
      </w:r>
      <w:r w:rsidRPr="00693CDF">
        <w:rPr>
          <w:bCs w:val="0"/>
          <w:szCs w:val="24"/>
          <w:lang w:val="en-US" w:eastAsia="ru-RU"/>
        </w:rPr>
        <w:t>list of bibliographic references</w:t>
      </w:r>
      <w:r>
        <w:rPr>
          <w:lang w:val="en-US"/>
        </w:rPr>
        <w:t>)</w:t>
      </w:r>
    </w:p>
    <w:p w:rsidR="003A4F28" w:rsidRPr="001931F9" w:rsidRDefault="003A4F28" w:rsidP="003A4F28">
      <w:pPr>
        <w:ind w:left="567" w:hanging="567"/>
        <w:rPr>
          <w:sz w:val="24"/>
          <w:szCs w:val="24"/>
          <w:lang w:val="en-US"/>
        </w:rPr>
      </w:pPr>
      <w:r>
        <w:rPr>
          <w:sz w:val="24"/>
          <w:szCs w:val="24"/>
          <w:lang w:val="en-US"/>
        </w:rPr>
        <w:t>More than 100 works have been published in the collaboration</w:t>
      </w:r>
    </w:p>
    <w:p w:rsidR="003A4F28" w:rsidRPr="001931F9" w:rsidRDefault="003A4F28" w:rsidP="003A4F28">
      <w:pPr>
        <w:ind w:left="567" w:hanging="567"/>
        <w:rPr>
          <w:sz w:val="24"/>
          <w:szCs w:val="24"/>
          <w:lang w:val="en-US"/>
        </w:rPr>
      </w:pPr>
    </w:p>
    <w:p w:rsidR="003A4F28" w:rsidRPr="00C33D33" w:rsidRDefault="003A4F28" w:rsidP="003A4F28">
      <w:pPr>
        <w:jc w:val="both"/>
        <w:rPr>
          <w:lang w:val="en-US"/>
        </w:rPr>
      </w:pPr>
      <w:r w:rsidRPr="00C33D33">
        <w:rPr>
          <w:sz w:val="24"/>
          <w:szCs w:val="24"/>
          <w:lang w:val="en-US"/>
        </w:rPr>
        <w:t xml:space="preserve">1. </w:t>
      </w:r>
      <w:r>
        <w:rPr>
          <w:sz w:val="24"/>
          <w:szCs w:val="24"/>
          <w:lang w:val="en-US"/>
        </w:rPr>
        <w:t>N</w:t>
      </w:r>
      <w:r w:rsidRPr="00C33D33">
        <w:rPr>
          <w:sz w:val="24"/>
          <w:szCs w:val="24"/>
          <w:lang w:val="en-US"/>
        </w:rPr>
        <w:t xml:space="preserve">. </w:t>
      </w:r>
      <w:r>
        <w:rPr>
          <w:sz w:val="24"/>
          <w:szCs w:val="24"/>
          <w:lang w:val="en-US"/>
        </w:rPr>
        <w:t>M</w:t>
      </w:r>
      <w:r w:rsidRPr="00C33D33">
        <w:rPr>
          <w:sz w:val="24"/>
          <w:szCs w:val="24"/>
          <w:lang w:val="en-US"/>
        </w:rPr>
        <w:t xml:space="preserve">. </w:t>
      </w:r>
      <w:r>
        <w:rPr>
          <w:sz w:val="24"/>
          <w:szCs w:val="24"/>
          <w:lang w:val="en-US"/>
        </w:rPr>
        <w:t>Budnev</w:t>
      </w:r>
      <w:r w:rsidRPr="00C33D33">
        <w:rPr>
          <w:sz w:val="24"/>
          <w:szCs w:val="24"/>
          <w:lang w:val="en-US"/>
        </w:rPr>
        <w:t xml:space="preserve">, </w:t>
      </w:r>
      <w:r>
        <w:rPr>
          <w:sz w:val="24"/>
          <w:szCs w:val="24"/>
          <w:lang w:val="en-US"/>
        </w:rPr>
        <w:t>I</w:t>
      </w:r>
      <w:r w:rsidRPr="00C33D33">
        <w:rPr>
          <w:sz w:val="24"/>
          <w:szCs w:val="24"/>
          <w:lang w:val="en-US"/>
        </w:rPr>
        <w:t xml:space="preserve">. </w:t>
      </w:r>
      <w:r>
        <w:rPr>
          <w:sz w:val="24"/>
          <w:szCs w:val="24"/>
          <w:lang w:val="en-US"/>
        </w:rPr>
        <w:t>I</w:t>
      </w:r>
      <w:r w:rsidRPr="00C33D33">
        <w:rPr>
          <w:sz w:val="24"/>
          <w:szCs w:val="24"/>
          <w:lang w:val="en-US"/>
        </w:rPr>
        <w:t xml:space="preserve">. </w:t>
      </w:r>
      <w:r>
        <w:rPr>
          <w:sz w:val="24"/>
          <w:szCs w:val="24"/>
          <w:lang w:val="en-US"/>
        </w:rPr>
        <w:t>Astapov</w:t>
      </w:r>
      <w:r w:rsidRPr="00C33D33">
        <w:rPr>
          <w:sz w:val="24"/>
          <w:szCs w:val="24"/>
          <w:lang w:val="en-US"/>
        </w:rPr>
        <w:t xml:space="preserve">, </w:t>
      </w:r>
      <w:r>
        <w:rPr>
          <w:sz w:val="24"/>
          <w:szCs w:val="24"/>
          <w:lang w:val="en-US"/>
        </w:rPr>
        <w:t>P</w:t>
      </w:r>
      <w:r w:rsidRPr="00C33D33">
        <w:rPr>
          <w:sz w:val="24"/>
          <w:szCs w:val="24"/>
          <w:lang w:val="en-US"/>
        </w:rPr>
        <w:t xml:space="preserve">. </w:t>
      </w:r>
      <w:r>
        <w:rPr>
          <w:sz w:val="24"/>
          <w:szCs w:val="24"/>
          <w:lang w:val="en-US"/>
        </w:rPr>
        <w:t>A</w:t>
      </w:r>
      <w:r w:rsidRPr="00C33D33">
        <w:rPr>
          <w:sz w:val="24"/>
          <w:szCs w:val="24"/>
          <w:lang w:val="en-US"/>
        </w:rPr>
        <w:t xml:space="preserve">. </w:t>
      </w:r>
      <w:r>
        <w:rPr>
          <w:sz w:val="24"/>
          <w:szCs w:val="24"/>
          <w:lang w:val="en-US"/>
        </w:rPr>
        <w:t>Bezyazeekovetal</w:t>
      </w:r>
      <w:r w:rsidRPr="00C33D33">
        <w:rPr>
          <w:sz w:val="24"/>
          <w:szCs w:val="24"/>
          <w:lang w:val="en-US"/>
        </w:rPr>
        <w:t xml:space="preserve">., </w:t>
      </w:r>
      <w:r>
        <w:rPr>
          <w:sz w:val="24"/>
          <w:szCs w:val="24"/>
          <w:lang w:val="en-US"/>
        </w:rPr>
        <w:t>NuclearInstrum</w:t>
      </w:r>
      <w:r w:rsidRPr="00C33D33">
        <w:rPr>
          <w:sz w:val="24"/>
          <w:szCs w:val="24"/>
          <w:lang w:val="en-US"/>
        </w:rPr>
        <w:t xml:space="preserve">. </w:t>
      </w:r>
      <w:r>
        <w:rPr>
          <w:sz w:val="24"/>
          <w:szCs w:val="24"/>
          <w:lang w:val="en-US"/>
        </w:rPr>
        <w:t>andMethods</w:t>
      </w:r>
      <w:r w:rsidRPr="00C33D33">
        <w:rPr>
          <w:sz w:val="24"/>
          <w:szCs w:val="24"/>
          <w:lang w:val="en-US"/>
        </w:rPr>
        <w:t xml:space="preserve">, </w:t>
      </w:r>
      <w:r>
        <w:rPr>
          <w:sz w:val="24"/>
          <w:szCs w:val="24"/>
          <w:lang w:val="en-US"/>
        </w:rPr>
        <w:t>A</w:t>
      </w:r>
      <w:r w:rsidRPr="00C33D33">
        <w:rPr>
          <w:sz w:val="24"/>
          <w:szCs w:val="24"/>
          <w:lang w:val="en-US"/>
        </w:rPr>
        <w:t xml:space="preserve"> 958, 162113 (2020).</w:t>
      </w:r>
    </w:p>
    <w:p w:rsidR="003A4F28" w:rsidRDefault="003A4F28" w:rsidP="003A4F28">
      <w:pPr>
        <w:jc w:val="both"/>
        <w:rPr>
          <w:sz w:val="24"/>
          <w:szCs w:val="24"/>
          <w:lang w:val="en-US"/>
        </w:rPr>
      </w:pPr>
      <w:r>
        <w:rPr>
          <w:sz w:val="24"/>
          <w:szCs w:val="24"/>
          <w:lang w:val="en-US"/>
        </w:rPr>
        <w:t>2. L. A. Kuzmichev, I. I. Astapov, P. A. Bezyazeekov et al., Physics of Atomic Nuclei, 81, 4, 497 (2018)</w:t>
      </w:r>
    </w:p>
    <w:p w:rsidR="003A4F28" w:rsidRDefault="003A4F28" w:rsidP="003A4F28">
      <w:pPr>
        <w:jc w:val="both"/>
        <w:rPr>
          <w:sz w:val="24"/>
          <w:szCs w:val="24"/>
          <w:lang w:val="en-US"/>
        </w:rPr>
      </w:pPr>
      <w:r>
        <w:rPr>
          <w:sz w:val="24"/>
          <w:szCs w:val="24"/>
          <w:lang w:val="en-US"/>
        </w:rPr>
        <w:t>3 L. Kuzmichev, I. Astapov, P. Bezyazeekov et al., Nucl. Instrum. Meth.A 952,161830 (2020)</w:t>
      </w:r>
    </w:p>
    <w:p w:rsidR="003A4F28" w:rsidRDefault="003A4F28" w:rsidP="003A4F28">
      <w:pPr>
        <w:jc w:val="both"/>
        <w:rPr>
          <w:sz w:val="24"/>
          <w:szCs w:val="24"/>
          <w:lang w:val="en-US"/>
        </w:rPr>
      </w:pPr>
      <w:r>
        <w:rPr>
          <w:sz w:val="24"/>
          <w:szCs w:val="24"/>
          <w:lang w:val="en-US"/>
        </w:rPr>
        <w:t>4. S.Berezhnev et al.,( ( TAIGA Coll.) Nucl.Instrum. Meth. A, {\bf 692}, 98 (2012)</w:t>
      </w:r>
    </w:p>
    <w:p w:rsidR="003A4F28" w:rsidRDefault="003A4F28" w:rsidP="003A4F28">
      <w:pPr>
        <w:jc w:val="both"/>
        <w:rPr>
          <w:sz w:val="24"/>
          <w:szCs w:val="24"/>
          <w:lang w:val="en-US"/>
        </w:rPr>
      </w:pPr>
      <w:r>
        <w:rPr>
          <w:sz w:val="24"/>
          <w:szCs w:val="24"/>
          <w:lang w:val="en-US"/>
        </w:rPr>
        <w:t>5.O. Gress, I. Astapov, N. Budnev et al., Nucl. Instrum. Methods, A 845, 367 (2017)</w:t>
      </w:r>
    </w:p>
    <w:p w:rsidR="003A4F28" w:rsidRDefault="003A4F28" w:rsidP="003A4F28">
      <w:pPr>
        <w:jc w:val="both"/>
        <w:rPr>
          <w:sz w:val="24"/>
          <w:szCs w:val="24"/>
          <w:lang w:val="en-US"/>
        </w:rPr>
      </w:pPr>
      <w:r>
        <w:rPr>
          <w:sz w:val="24"/>
          <w:szCs w:val="24"/>
          <w:lang w:val="en-US"/>
        </w:rPr>
        <w:t>6. R. Monkhoev, N. Budnev, A. Gafarov et al., Bull. of the RAS, Phys., 83, 8, 959 (2019).</w:t>
      </w:r>
    </w:p>
    <w:p w:rsidR="003A4F28" w:rsidRDefault="003A4F28" w:rsidP="003A4F28">
      <w:pPr>
        <w:jc w:val="both"/>
        <w:rPr>
          <w:sz w:val="24"/>
          <w:szCs w:val="24"/>
          <w:lang w:val="en-US"/>
        </w:rPr>
      </w:pPr>
      <w:r>
        <w:rPr>
          <w:sz w:val="24"/>
          <w:szCs w:val="24"/>
          <w:lang w:val="en-US"/>
        </w:rPr>
        <w:t>7.A. Ivanova, N. Budnev, A. Chiavassa et al., JINST 15, C06057 (2020)</w:t>
      </w:r>
    </w:p>
    <w:p w:rsidR="003A4F28" w:rsidRPr="00592330" w:rsidRDefault="003A4F28" w:rsidP="003A4F28">
      <w:pPr>
        <w:jc w:val="both"/>
        <w:rPr>
          <w:lang w:val="en-US"/>
        </w:rPr>
      </w:pPr>
      <w:r>
        <w:rPr>
          <w:sz w:val="24"/>
          <w:szCs w:val="24"/>
          <w:lang w:val="en-US"/>
        </w:rPr>
        <w:t xml:space="preserve">8. I.Astapov et al ( TAIGA Coll.) </w:t>
      </w:r>
      <w:hyperlink r:id="rId18" w:tgtFrame="Перейти на страницу журнала">
        <w:r>
          <w:rPr>
            <w:rStyle w:val="-"/>
            <w:rFonts w:eastAsia="OpenSymbol"/>
            <w:i/>
            <w:iCs/>
            <w:sz w:val="24"/>
            <w:szCs w:val="24"/>
            <w:lang w:val="en-US"/>
          </w:rPr>
          <w:t>Journal of Experimental and Theoretical Physics</w:t>
        </w:r>
      </w:hyperlink>
      <w:r>
        <w:rPr>
          <w:sz w:val="24"/>
          <w:szCs w:val="24"/>
          <w:lang w:val="en-US"/>
        </w:rPr>
        <w:t xml:space="preserve">, 134, № 4, </w:t>
      </w:r>
      <w:r>
        <w:rPr>
          <w:sz w:val="24"/>
          <w:szCs w:val="24"/>
        </w:rPr>
        <w:t>с</w:t>
      </w:r>
      <w:r>
        <w:rPr>
          <w:sz w:val="24"/>
          <w:szCs w:val="24"/>
          <w:lang w:val="en-US"/>
        </w:rPr>
        <w:t xml:space="preserve">. 469-478 </w:t>
      </w:r>
      <w:hyperlink r:id="rId19" w:tgtFrame="Перейти на страницу с информацией о публикации на сайте издателя">
        <w:r>
          <w:rPr>
            <w:rStyle w:val="-"/>
            <w:rFonts w:eastAsia="OpenSymbol"/>
            <w:sz w:val="24"/>
            <w:szCs w:val="24"/>
            <w:lang w:val="en-US"/>
          </w:rPr>
          <w:t>DOI</w:t>
        </w:r>
      </w:hyperlink>
      <w:r>
        <w:rPr>
          <w:sz w:val="24"/>
          <w:szCs w:val="24"/>
          <w:lang w:val="en-US"/>
        </w:rPr>
        <w:t xml:space="preserve"> (2022)</w:t>
      </w:r>
    </w:p>
    <w:p w:rsidR="003A4F28" w:rsidRDefault="003A4F28" w:rsidP="003A4F28">
      <w:pPr>
        <w:jc w:val="both"/>
        <w:rPr>
          <w:sz w:val="24"/>
          <w:szCs w:val="24"/>
          <w:lang w:val="en-US"/>
        </w:rPr>
      </w:pPr>
      <w:r>
        <w:rPr>
          <w:sz w:val="24"/>
          <w:szCs w:val="24"/>
          <w:lang w:val="en-US"/>
        </w:rPr>
        <w:t>9. М.Tluczykont, D.Hampf , D.Horns et al., Astroparticle Physics, 56, 42 (2014)</w:t>
      </w:r>
    </w:p>
    <w:p w:rsidR="003A4F28" w:rsidRDefault="003A4F28" w:rsidP="003A4F28">
      <w:pPr>
        <w:jc w:val="both"/>
        <w:rPr>
          <w:sz w:val="24"/>
          <w:szCs w:val="24"/>
          <w:lang w:val="en-US"/>
        </w:rPr>
      </w:pPr>
      <w:r>
        <w:rPr>
          <w:sz w:val="24"/>
          <w:szCs w:val="24"/>
          <w:lang w:val="en-US"/>
        </w:rPr>
        <w:t>10. I.Astapov et al., ( TAIGA Coll.) Bull. of the RAS, Phys, 81, 4, 460 (2017)</w:t>
      </w:r>
    </w:p>
    <w:p w:rsidR="003A4F28" w:rsidRDefault="003A4F28" w:rsidP="003A4F28">
      <w:pPr>
        <w:jc w:val="both"/>
        <w:rPr>
          <w:sz w:val="24"/>
          <w:szCs w:val="24"/>
          <w:lang w:val="en-US"/>
        </w:rPr>
      </w:pPr>
      <w:r>
        <w:rPr>
          <w:sz w:val="24"/>
          <w:szCs w:val="24"/>
          <w:lang w:val="en-US"/>
        </w:rPr>
        <w:t>11. L.Kuzmichev, I. Astapov, P. Bezyazeekov et al., EPJ Web of Conferences, 145, 01001 (2017)</w:t>
      </w:r>
    </w:p>
    <w:p w:rsidR="003A4F28" w:rsidRDefault="003A4F28" w:rsidP="003A4F28">
      <w:pPr>
        <w:jc w:val="both"/>
        <w:rPr>
          <w:sz w:val="24"/>
          <w:szCs w:val="24"/>
          <w:lang w:val="en-US"/>
        </w:rPr>
      </w:pPr>
      <w:r>
        <w:rPr>
          <w:sz w:val="24"/>
          <w:szCs w:val="24"/>
          <w:lang w:val="en-US"/>
        </w:rPr>
        <w:t>12. A.D. Panov et al., (TAIGA Coll.) arXiv: 2109.09637</w:t>
      </w:r>
    </w:p>
    <w:p w:rsidR="003A4F28" w:rsidRDefault="003A4F28" w:rsidP="003A4F28">
      <w:pPr>
        <w:jc w:val="both"/>
        <w:rPr>
          <w:sz w:val="24"/>
          <w:szCs w:val="24"/>
          <w:lang w:val="en-US"/>
        </w:rPr>
      </w:pPr>
      <w:r>
        <w:rPr>
          <w:sz w:val="24"/>
          <w:szCs w:val="24"/>
          <w:lang w:val="en-US"/>
        </w:rPr>
        <w:t>13. N. Budnev et al., (TAIGA Coll.) JINST 15, C09031 (2020)</w:t>
      </w:r>
    </w:p>
    <w:p w:rsidR="003A4F28" w:rsidRDefault="003A4F28" w:rsidP="003A4F28">
      <w:pPr>
        <w:jc w:val="both"/>
        <w:rPr>
          <w:sz w:val="24"/>
          <w:szCs w:val="24"/>
          <w:lang w:val="en-US"/>
        </w:rPr>
      </w:pPr>
      <w:r>
        <w:rPr>
          <w:sz w:val="24"/>
          <w:szCs w:val="24"/>
          <w:lang w:val="en-US"/>
        </w:rPr>
        <w:t>14. A.Grinyuk et al., (TAIGA Coll.) PoS, 395 (ICRC2021), 713 (2021)</w:t>
      </w:r>
    </w:p>
    <w:p w:rsidR="003A4F28" w:rsidRPr="003A4F28" w:rsidRDefault="003A4F28" w:rsidP="003A4F28">
      <w:pPr>
        <w:jc w:val="both"/>
        <w:rPr>
          <w:sz w:val="24"/>
          <w:szCs w:val="24"/>
          <w:lang w:val="en-US"/>
        </w:rPr>
      </w:pPr>
      <w:r>
        <w:rPr>
          <w:sz w:val="24"/>
          <w:szCs w:val="24"/>
          <w:lang w:val="en-US"/>
        </w:rPr>
        <w:t>15. N. Budnevet al.,( TAIGA Coll.) Astroparticle</w:t>
      </w:r>
      <w:r w:rsidRPr="003A4F28">
        <w:rPr>
          <w:sz w:val="24"/>
          <w:szCs w:val="24"/>
          <w:lang w:val="en-US"/>
        </w:rPr>
        <w:t xml:space="preserve"> </w:t>
      </w:r>
      <w:r>
        <w:rPr>
          <w:sz w:val="24"/>
          <w:szCs w:val="24"/>
          <w:lang w:val="en-US"/>
        </w:rPr>
        <w:t>Physics</w:t>
      </w:r>
      <w:r w:rsidRPr="003A4F28">
        <w:rPr>
          <w:sz w:val="24"/>
          <w:szCs w:val="24"/>
          <w:lang w:val="en-US"/>
        </w:rPr>
        <w:t>, 117, 102406, (2020)</w:t>
      </w:r>
    </w:p>
    <w:p w:rsidR="003A4F28" w:rsidRPr="00897D58" w:rsidRDefault="003A4F28" w:rsidP="003A4F28">
      <w:pPr>
        <w:jc w:val="both"/>
        <w:rPr>
          <w:lang w:val="en-US"/>
        </w:rPr>
      </w:pPr>
      <w:r w:rsidRPr="003A4F28">
        <w:rPr>
          <w:sz w:val="24"/>
          <w:szCs w:val="24"/>
          <w:lang w:val="en-US"/>
        </w:rPr>
        <w:lastRenderedPageBreak/>
        <w:t xml:space="preserve">16. </w:t>
      </w:r>
      <w:r>
        <w:rPr>
          <w:sz w:val="24"/>
          <w:szCs w:val="24"/>
          <w:lang w:val="en-US"/>
        </w:rPr>
        <w:t>V</w:t>
      </w:r>
      <w:r w:rsidRPr="003A4F28">
        <w:rPr>
          <w:sz w:val="24"/>
          <w:szCs w:val="24"/>
          <w:lang w:val="en-US"/>
        </w:rPr>
        <w:t>.</w:t>
      </w:r>
      <w:r>
        <w:rPr>
          <w:sz w:val="24"/>
          <w:szCs w:val="24"/>
          <w:lang w:val="en-US"/>
        </w:rPr>
        <w:t>Prosin</w:t>
      </w:r>
      <w:r w:rsidRPr="003A4F28">
        <w:rPr>
          <w:sz w:val="24"/>
          <w:szCs w:val="24"/>
          <w:lang w:val="en-US"/>
        </w:rPr>
        <w:t xml:space="preserve"> </w:t>
      </w:r>
      <w:r>
        <w:rPr>
          <w:sz w:val="24"/>
          <w:szCs w:val="24"/>
          <w:lang w:val="en-US"/>
        </w:rPr>
        <w:t>et</w:t>
      </w:r>
      <w:r w:rsidRPr="003A4F28">
        <w:rPr>
          <w:sz w:val="24"/>
          <w:szCs w:val="24"/>
          <w:lang w:val="en-US"/>
        </w:rPr>
        <w:t xml:space="preserve">. </w:t>
      </w:r>
      <w:r>
        <w:rPr>
          <w:sz w:val="24"/>
          <w:szCs w:val="24"/>
          <w:lang w:val="en-US"/>
        </w:rPr>
        <w:t>al</w:t>
      </w:r>
      <w:r w:rsidRPr="003A4F28">
        <w:rPr>
          <w:sz w:val="24"/>
          <w:szCs w:val="24"/>
          <w:lang w:val="en-US"/>
        </w:rPr>
        <w:t xml:space="preserve">.( </w:t>
      </w:r>
      <w:r>
        <w:rPr>
          <w:sz w:val="24"/>
          <w:szCs w:val="24"/>
          <w:lang w:val="en-US"/>
        </w:rPr>
        <w:t>TAIGAColl</w:t>
      </w:r>
      <w:r w:rsidRPr="003A4F28">
        <w:rPr>
          <w:sz w:val="24"/>
          <w:szCs w:val="24"/>
          <w:lang w:val="en-US"/>
        </w:rPr>
        <w:t xml:space="preserve">.). </w:t>
      </w:r>
      <w:r>
        <w:rPr>
          <w:sz w:val="24"/>
          <w:szCs w:val="24"/>
          <w:lang w:val="en-US"/>
        </w:rPr>
        <w:t>Report</w:t>
      </w:r>
      <w:r w:rsidRPr="00897D58">
        <w:rPr>
          <w:sz w:val="24"/>
          <w:szCs w:val="24"/>
          <w:lang w:val="en-US"/>
        </w:rPr>
        <w:t xml:space="preserve"> </w:t>
      </w:r>
      <w:r>
        <w:rPr>
          <w:sz w:val="24"/>
          <w:szCs w:val="24"/>
          <w:lang w:val="en-US"/>
        </w:rPr>
        <w:t>on RCRC-2022</w:t>
      </w:r>
      <w:r w:rsidRPr="00897D58">
        <w:rPr>
          <w:sz w:val="24"/>
          <w:szCs w:val="24"/>
          <w:lang w:val="en-US"/>
        </w:rPr>
        <w:t>(</w:t>
      </w:r>
      <w:r>
        <w:rPr>
          <w:sz w:val="24"/>
          <w:szCs w:val="24"/>
          <w:lang w:val="en-US"/>
        </w:rPr>
        <w:t>Moscow</w:t>
      </w:r>
      <w:r w:rsidRPr="00897D58">
        <w:rPr>
          <w:sz w:val="24"/>
          <w:szCs w:val="24"/>
          <w:lang w:val="en-US"/>
        </w:rPr>
        <w:t xml:space="preserve">, </w:t>
      </w:r>
      <w:r>
        <w:rPr>
          <w:sz w:val="24"/>
          <w:szCs w:val="24"/>
          <w:lang w:val="en-US"/>
        </w:rPr>
        <w:t>june</w:t>
      </w:r>
      <w:r w:rsidRPr="00897D58">
        <w:rPr>
          <w:sz w:val="24"/>
          <w:szCs w:val="24"/>
          <w:lang w:val="en-US"/>
        </w:rPr>
        <w:t xml:space="preserve"> 2022). </w:t>
      </w:r>
      <w:r>
        <w:rPr>
          <w:sz w:val="24"/>
          <w:szCs w:val="24"/>
          <w:lang w:val="en-US"/>
        </w:rPr>
        <w:t>Accepted for publication in Bulletin of the RAS:Physics</w:t>
      </w:r>
      <w:r w:rsidRPr="00897D58">
        <w:rPr>
          <w:sz w:val="24"/>
          <w:szCs w:val="24"/>
          <w:lang w:val="en-US"/>
        </w:rPr>
        <w:t>.</w:t>
      </w:r>
    </w:p>
    <w:p w:rsidR="003A4F28" w:rsidRPr="003A4F28" w:rsidRDefault="003A4F28" w:rsidP="003A4F28">
      <w:pPr>
        <w:jc w:val="both"/>
        <w:rPr>
          <w:lang w:val="en-US"/>
        </w:rPr>
      </w:pPr>
      <w:r w:rsidRPr="00897D58">
        <w:rPr>
          <w:sz w:val="24"/>
          <w:szCs w:val="24"/>
          <w:lang w:val="en-US"/>
        </w:rPr>
        <w:t xml:space="preserve">17. </w:t>
      </w:r>
      <w:r>
        <w:rPr>
          <w:sz w:val="24"/>
          <w:szCs w:val="24"/>
          <w:lang w:val="en-US"/>
        </w:rPr>
        <w:t>R</w:t>
      </w:r>
      <w:r w:rsidRPr="00897D58">
        <w:rPr>
          <w:sz w:val="24"/>
          <w:szCs w:val="24"/>
          <w:lang w:val="en-US"/>
        </w:rPr>
        <w:t xml:space="preserve">. </w:t>
      </w:r>
      <w:r>
        <w:rPr>
          <w:sz w:val="24"/>
          <w:szCs w:val="24"/>
          <w:lang w:val="en-US"/>
        </w:rPr>
        <w:t>Monhoev</w:t>
      </w:r>
      <w:r w:rsidRPr="00897D58">
        <w:rPr>
          <w:sz w:val="24"/>
          <w:szCs w:val="24"/>
          <w:lang w:val="en-US"/>
        </w:rPr>
        <w:t xml:space="preserve"> </w:t>
      </w:r>
      <w:r>
        <w:rPr>
          <w:sz w:val="24"/>
          <w:szCs w:val="24"/>
          <w:lang w:val="en-US"/>
        </w:rPr>
        <w:t>et</w:t>
      </w:r>
      <w:r w:rsidRPr="00897D58">
        <w:rPr>
          <w:sz w:val="24"/>
          <w:szCs w:val="24"/>
          <w:lang w:val="en-US"/>
        </w:rPr>
        <w:t xml:space="preserve">. </w:t>
      </w:r>
      <w:r>
        <w:rPr>
          <w:sz w:val="24"/>
          <w:szCs w:val="24"/>
          <w:lang w:val="en-US"/>
        </w:rPr>
        <w:t>al</w:t>
      </w:r>
      <w:r w:rsidRPr="00897D58">
        <w:rPr>
          <w:sz w:val="24"/>
          <w:szCs w:val="24"/>
          <w:lang w:val="en-US"/>
        </w:rPr>
        <w:t>.</w:t>
      </w:r>
      <w:r>
        <w:rPr>
          <w:sz w:val="24"/>
          <w:szCs w:val="24"/>
          <w:lang w:val="en-US"/>
        </w:rPr>
        <w:t xml:space="preserve"> </w:t>
      </w:r>
      <w:r w:rsidRPr="00897D58">
        <w:rPr>
          <w:sz w:val="24"/>
          <w:szCs w:val="24"/>
          <w:lang w:val="en-US"/>
        </w:rPr>
        <w:t xml:space="preserve">( </w:t>
      </w:r>
      <w:r>
        <w:rPr>
          <w:sz w:val="24"/>
          <w:szCs w:val="24"/>
          <w:lang w:val="en-US"/>
        </w:rPr>
        <w:t>TAIGAColl</w:t>
      </w:r>
      <w:r w:rsidRPr="00897D58">
        <w:rPr>
          <w:sz w:val="24"/>
          <w:szCs w:val="24"/>
          <w:lang w:val="en-US"/>
        </w:rPr>
        <w:t xml:space="preserve">.). </w:t>
      </w:r>
      <w:r>
        <w:rPr>
          <w:sz w:val="24"/>
          <w:szCs w:val="24"/>
          <w:lang w:val="en-US"/>
        </w:rPr>
        <w:t>Report</w:t>
      </w:r>
      <w:r w:rsidRPr="00897D58">
        <w:rPr>
          <w:sz w:val="24"/>
          <w:szCs w:val="24"/>
          <w:lang w:val="en-US"/>
        </w:rPr>
        <w:t xml:space="preserve"> </w:t>
      </w:r>
      <w:r>
        <w:rPr>
          <w:sz w:val="24"/>
          <w:szCs w:val="24"/>
          <w:lang w:val="en-US"/>
        </w:rPr>
        <w:t>on RCRC-2022</w:t>
      </w:r>
      <w:r w:rsidRPr="00897D58">
        <w:rPr>
          <w:sz w:val="24"/>
          <w:szCs w:val="24"/>
          <w:lang w:val="en-US"/>
        </w:rPr>
        <w:t>(</w:t>
      </w:r>
      <w:r>
        <w:rPr>
          <w:sz w:val="24"/>
          <w:szCs w:val="24"/>
          <w:lang w:val="en-US"/>
        </w:rPr>
        <w:t>Moscow</w:t>
      </w:r>
      <w:r w:rsidRPr="00897D58">
        <w:rPr>
          <w:sz w:val="24"/>
          <w:szCs w:val="24"/>
          <w:lang w:val="en-US"/>
        </w:rPr>
        <w:t xml:space="preserve">, </w:t>
      </w:r>
      <w:r>
        <w:rPr>
          <w:sz w:val="24"/>
          <w:szCs w:val="24"/>
          <w:lang w:val="en-US"/>
        </w:rPr>
        <w:t>june</w:t>
      </w:r>
      <w:r w:rsidRPr="00897D58">
        <w:rPr>
          <w:sz w:val="24"/>
          <w:szCs w:val="24"/>
          <w:lang w:val="en-US"/>
        </w:rPr>
        <w:t xml:space="preserve"> 2022). </w:t>
      </w:r>
      <w:r>
        <w:rPr>
          <w:sz w:val="24"/>
          <w:szCs w:val="24"/>
          <w:lang w:val="en-US"/>
        </w:rPr>
        <w:t>Accepted for publication in Bulletin of the RAS:Physics</w:t>
      </w:r>
      <w:r w:rsidRPr="00897D58">
        <w:rPr>
          <w:sz w:val="24"/>
          <w:szCs w:val="24"/>
          <w:lang w:val="en-US"/>
        </w:rPr>
        <w:t>.</w:t>
      </w:r>
    </w:p>
    <w:p w:rsidR="003A4F28" w:rsidRPr="003A4F28" w:rsidRDefault="003A4F28" w:rsidP="003A4F28">
      <w:pPr>
        <w:jc w:val="both"/>
        <w:rPr>
          <w:lang w:val="en-US"/>
        </w:rPr>
      </w:pPr>
      <w:r w:rsidRPr="003A4F28">
        <w:rPr>
          <w:sz w:val="24"/>
          <w:szCs w:val="24"/>
          <w:lang w:val="en-US"/>
        </w:rPr>
        <w:t xml:space="preserve">18. </w:t>
      </w:r>
      <w:r>
        <w:rPr>
          <w:sz w:val="24"/>
          <w:szCs w:val="24"/>
          <w:lang w:val="en-US"/>
        </w:rPr>
        <w:t>W</w:t>
      </w:r>
      <w:r w:rsidRPr="003A4F28">
        <w:rPr>
          <w:sz w:val="24"/>
          <w:szCs w:val="24"/>
          <w:lang w:val="en-US"/>
        </w:rPr>
        <w:t>.</w:t>
      </w:r>
      <w:r>
        <w:rPr>
          <w:sz w:val="24"/>
          <w:szCs w:val="24"/>
          <w:lang w:val="en-US"/>
        </w:rPr>
        <w:t>Apel</w:t>
      </w:r>
      <w:r w:rsidRPr="003A4F28">
        <w:rPr>
          <w:sz w:val="24"/>
          <w:szCs w:val="24"/>
          <w:lang w:val="en-US"/>
        </w:rPr>
        <w:t xml:space="preserve">, </w:t>
      </w:r>
      <w:r>
        <w:rPr>
          <w:sz w:val="24"/>
          <w:szCs w:val="24"/>
          <w:lang w:val="en-US"/>
        </w:rPr>
        <w:t>J</w:t>
      </w:r>
      <w:r w:rsidRPr="003A4F28">
        <w:rPr>
          <w:sz w:val="24"/>
          <w:szCs w:val="24"/>
          <w:lang w:val="en-US"/>
        </w:rPr>
        <w:t>.</w:t>
      </w:r>
      <w:r>
        <w:rPr>
          <w:sz w:val="24"/>
          <w:szCs w:val="24"/>
          <w:lang w:val="en-US"/>
        </w:rPr>
        <w:t>ArteagaVel</w:t>
      </w:r>
      <w:r w:rsidRPr="003A4F28">
        <w:rPr>
          <w:sz w:val="24"/>
          <w:szCs w:val="24"/>
          <w:lang w:val="en-US"/>
        </w:rPr>
        <w:t>á</w:t>
      </w:r>
      <w:r>
        <w:rPr>
          <w:sz w:val="24"/>
          <w:szCs w:val="24"/>
          <w:lang w:val="en-US"/>
        </w:rPr>
        <w:t>zquez</w:t>
      </w:r>
      <w:r w:rsidRPr="003A4F28">
        <w:rPr>
          <w:sz w:val="24"/>
          <w:szCs w:val="24"/>
          <w:lang w:val="en-US"/>
        </w:rPr>
        <w:t xml:space="preserve">, </w:t>
      </w:r>
      <w:r>
        <w:rPr>
          <w:sz w:val="24"/>
          <w:szCs w:val="24"/>
          <w:lang w:val="en-US"/>
        </w:rPr>
        <w:t>K</w:t>
      </w:r>
      <w:r w:rsidRPr="003A4F28">
        <w:rPr>
          <w:sz w:val="24"/>
          <w:szCs w:val="24"/>
          <w:lang w:val="en-US"/>
        </w:rPr>
        <w:t xml:space="preserve">. </w:t>
      </w:r>
      <w:r>
        <w:rPr>
          <w:sz w:val="24"/>
          <w:szCs w:val="24"/>
          <w:lang w:val="en-US"/>
        </w:rPr>
        <w:t>Bekketal</w:t>
      </w:r>
      <w:r w:rsidRPr="003A4F28">
        <w:rPr>
          <w:sz w:val="24"/>
          <w:szCs w:val="24"/>
          <w:lang w:val="en-US"/>
        </w:rPr>
        <w:t xml:space="preserve">., </w:t>
      </w:r>
      <w:r>
        <w:rPr>
          <w:sz w:val="24"/>
          <w:szCs w:val="24"/>
          <w:lang w:val="en-US"/>
        </w:rPr>
        <w:t>AstroparticlePhysics</w:t>
      </w:r>
      <w:r w:rsidRPr="003A4F28">
        <w:rPr>
          <w:sz w:val="24"/>
          <w:szCs w:val="24"/>
          <w:lang w:val="en-US"/>
        </w:rPr>
        <w:t>36, 183 (2012)</w:t>
      </w:r>
    </w:p>
    <w:p w:rsidR="003A4F28" w:rsidRDefault="003A4F28" w:rsidP="003A4F28">
      <w:pPr>
        <w:jc w:val="both"/>
        <w:rPr>
          <w:sz w:val="24"/>
          <w:szCs w:val="24"/>
          <w:lang w:val="en-US"/>
        </w:rPr>
      </w:pPr>
      <w:r>
        <w:rPr>
          <w:sz w:val="24"/>
          <w:szCs w:val="24"/>
          <w:lang w:val="en-US"/>
        </w:rPr>
        <w:t>19.M. G. Aartsen, R. Abbasi, Y.Abdou et al., Phys. Rev. D. 88, 042004. (2013)</w:t>
      </w:r>
    </w:p>
    <w:p w:rsidR="003A4F28" w:rsidRDefault="003A4F28" w:rsidP="003A4F28">
      <w:pPr>
        <w:jc w:val="both"/>
        <w:rPr>
          <w:sz w:val="24"/>
          <w:szCs w:val="24"/>
          <w:lang w:val="en-US"/>
        </w:rPr>
      </w:pPr>
      <w:r>
        <w:rPr>
          <w:sz w:val="24"/>
          <w:szCs w:val="24"/>
          <w:lang w:val="en-US"/>
        </w:rPr>
        <w:t>20. R.Abbasi, M. Abe, T. Abu-Zayyad et al., Astrophys. J., 858, 76 (2018)</w:t>
      </w:r>
    </w:p>
    <w:p w:rsidR="003A4F28" w:rsidRPr="00592330" w:rsidRDefault="003A4F28" w:rsidP="003A4F28">
      <w:pPr>
        <w:jc w:val="both"/>
        <w:rPr>
          <w:lang w:val="en-US"/>
        </w:rPr>
      </w:pPr>
      <w:r>
        <w:rPr>
          <w:sz w:val="24"/>
          <w:szCs w:val="24"/>
          <w:lang w:val="en-US"/>
        </w:rPr>
        <w:t>21.</w:t>
      </w:r>
      <w:r>
        <w:rPr>
          <w:sz w:val="24"/>
          <w:szCs w:val="24"/>
        </w:rPr>
        <w:t>А</w:t>
      </w:r>
      <w:r>
        <w:rPr>
          <w:sz w:val="24"/>
          <w:szCs w:val="24"/>
          <w:lang w:val="en-US"/>
        </w:rPr>
        <w:t>.Yushkov, A. Aab, P.~Abreu, et al., PoS (ICRC2019) 482; arXiv: 1909.09073 (2019)</w:t>
      </w:r>
    </w:p>
    <w:p w:rsidR="003A4F28" w:rsidRDefault="003A4F28" w:rsidP="003A4F28">
      <w:pPr>
        <w:jc w:val="both"/>
        <w:rPr>
          <w:sz w:val="24"/>
          <w:szCs w:val="24"/>
          <w:lang w:val="en-US"/>
        </w:rPr>
      </w:pPr>
      <w:r>
        <w:rPr>
          <w:sz w:val="24"/>
          <w:szCs w:val="24"/>
          <w:lang w:val="en-US"/>
        </w:rPr>
        <w:t>22. R. Abbasi, M. Abe, T.Abu-Zayyad et al., Astrophys.J., 909 2, 178 (2021)</w:t>
      </w:r>
    </w:p>
    <w:p w:rsidR="003A4F28" w:rsidRPr="00592330" w:rsidRDefault="003A4F28" w:rsidP="003A4F28">
      <w:pPr>
        <w:jc w:val="both"/>
        <w:rPr>
          <w:lang w:val="en-US"/>
        </w:rPr>
      </w:pPr>
      <w:r>
        <w:rPr>
          <w:sz w:val="24"/>
          <w:szCs w:val="24"/>
          <w:lang w:val="en-US"/>
        </w:rPr>
        <w:t xml:space="preserve">23 W.D. Apel et al., KASCADE-Grande Collaboration Phys. Rev. Lett. </w:t>
      </w:r>
      <w:r>
        <w:rPr>
          <w:b/>
          <w:bCs/>
          <w:sz w:val="24"/>
          <w:szCs w:val="24"/>
          <w:lang w:val="en-US"/>
        </w:rPr>
        <w:t xml:space="preserve">107 </w:t>
      </w:r>
      <w:r>
        <w:rPr>
          <w:sz w:val="24"/>
          <w:szCs w:val="24"/>
          <w:lang w:val="en-US"/>
        </w:rPr>
        <w:t>(2011) 171104</w:t>
      </w:r>
    </w:p>
    <w:p w:rsidR="003A4F28" w:rsidRDefault="003A4F28" w:rsidP="003A4F28">
      <w:pPr>
        <w:jc w:val="both"/>
        <w:rPr>
          <w:sz w:val="24"/>
          <w:szCs w:val="24"/>
          <w:lang w:val="en-US"/>
        </w:rPr>
      </w:pPr>
      <w:r>
        <w:rPr>
          <w:sz w:val="24"/>
          <w:szCs w:val="24"/>
          <w:lang w:val="en-US"/>
        </w:rPr>
        <w:t>24. D.Kang et al (KASCADE-Grande Coll.) arXiv :2208.10229</w:t>
      </w:r>
    </w:p>
    <w:p w:rsidR="003A4F28" w:rsidRDefault="003A4F28" w:rsidP="003A4F28">
      <w:pPr>
        <w:jc w:val="both"/>
        <w:rPr>
          <w:sz w:val="24"/>
          <w:szCs w:val="24"/>
          <w:lang w:val="en-US"/>
        </w:rPr>
      </w:pPr>
      <w:r>
        <w:rPr>
          <w:sz w:val="24"/>
          <w:szCs w:val="24"/>
          <w:lang w:val="en-US"/>
        </w:rPr>
        <w:t>25. P.Voljugov et al . This conference proceedings</w:t>
      </w:r>
    </w:p>
    <w:p w:rsidR="003A4F28" w:rsidRPr="00C33D33" w:rsidRDefault="003A4F28" w:rsidP="003A4F28">
      <w:pPr>
        <w:jc w:val="both"/>
        <w:rPr>
          <w:lang w:val="en-US"/>
        </w:rPr>
      </w:pPr>
      <w:r>
        <w:rPr>
          <w:sz w:val="24"/>
          <w:szCs w:val="24"/>
          <w:lang w:val="en-US"/>
        </w:rPr>
        <w:t xml:space="preserve">26. </w:t>
      </w:r>
      <w:r>
        <w:rPr>
          <w:rFonts w:eastAsia="CMR8"/>
          <w:sz w:val="24"/>
          <w:szCs w:val="24"/>
          <w:lang w:val="en-US"/>
        </w:rPr>
        <w:t xml:space="preserve">Fomin V P, Stepanian A A, Lambet R C </w:t>
      </w:r>
      <w:r>
        <w:rPr>
          <w:rFonts w:eastAsia="CMTI8"/>
          <w:sz w:val="24"/>
          <w:szCs w:val="24"/>
          <w:lang w:val="en-US"/>
        </w:rPr>
        <w:t xml:space="preserve">et al. </w:t>
      </w:r>
      <w:r>
        <w:rPr>
          <w:rFonts w:eastAsia="CMR8"/>
          <w:sz w:val="24"/>
          <w:szCs w:val="24"/>
          <w:lang w:val="en-US"/>
        </w:rPr>
        <w:t xml:space="preserve">1994 </w:t>
      </w:r>
      <w:r>
        <w:rPr>
          <w:rFonts w:eastAsia="CMTI8"/>
          <w:sz w:val="24"/>
          <w:szCs w:val="24"/>
          <w:lang w:val="en-US"/>
        </w:rPr>
        <w:t>Astr. Phys</w:t>
      </w:r>
      <w:r w:rsidRPr="00C33D33">
        <w:rPr>
          <w:rFonts w:eastAsia="CMTI8"/>
          <w:sz w:val="24"/>
          <w:szCs w:val="24"/>
          <w:lang w:val="en-US"/>
        </w:rPr>
        <w:t xml:space="preserve">. </w:t>
      </w:r>
      <w:r w:rsidRPr="00C33D33">
        <w:rPr>
          <w:rFonts w:eastAsia="CMBX8"/>
          <w:sz w:val="24"/>
          <w:szCs w:val="24"/>
          <w:lang w:val="en-US"/>
        </w:rPr>
        <w:t>2</w:t>
      </w:r>
      <w:r>
        <w:rPr>
          <w:rFonts w:eastAsia="CMBX8"/>
          <w:sz w:val="24"/>
          <w:szCs w:val="24"/>
          <w:lang w:val="en-US"/>
        </w:rPr>
        <w:t> </w:t>
      </w:r>
      <w:r w:rsidRPr="00C33D33">
        <w:rPr>
          <w:rFonts w:eastAsia="CMR8"/>
          <w:sz w:val="24"/>
          <w:szCs w:val="24"/>
          <w:lang w:val="en-US"/>
        </w:rPr>
        <w:t>137</w:t>
      </w:r>
    </w:p>
    <w:p w:rsidR="003A4F28" w:rsidRPr="00C33D33" w:rsidRDefault="003A4F28" w:rsidP="003A4F28">
      <w:pPr>
        <w:ind w:firstLine="567"/>
        <w:jc w:val="both"/>
        <w:rPr>
          <w:b/>
          <w:bCs/>
          <w:sz w:val="24"/>
          <w:szCs w:val="24"/>
          <w:lang w:val="en-US"/>
        </w:rPr>
      </w:pPr>
    </w:p>
    <w:p w:rsidR="003A4F28" w:rsidRPr="001931F9" w:rsidRDefault="003A4F28" w:rsidP="003A4F28">
      <w:pPr>
        <w:pStyle w:val="Heading1"/>
        <w:rPr>
          <w:lang w:val="en-US"/>
        </w:rPr>
      </w:pPr>
      <w:r>
        <w:rPr>
          <w:lang w:val="en-US"/>
        </w:rPr>
        <w:t>Published (or already accepted for publication) works for the reporting period</w:t>
      </w:r>
    </w:p>
    <w:p w:rsidR="003A4F28" w:rsidRDefault="003A4F28" w:rsidP="003A4F28">
      <w:pPr>
        <w:ind w:firstLine="567"/>
        <w:jc w:val="both"/>
        <w:rPr>
          <w:sz w:val="24"/>
          <w:szCs w:val="24"/>
          <w:lang w:val="en-US"/>
        </w:rPr>
      </w:pPr>
      <w:r>
        <w:rPr>
          <w:sz w:val="24"/>
          <w:szCs w:val="24"/>
          <w:lang w:val="en-US"/>
        </w:rPr>
        <w:t>1. GAMMA/HADRON SEPARATION FOR A GROUND BASED IACT IN EXPERIMENT TAIGA USING RANDOM FOREST MACHINE LEARNING METHODS</w:t>
      </w:r>
    </w:p>
    <w:p w:rsidR="003A4F28" w:rsidRDefault="003A4F28" w:rsidP="003A4F28">
      <w:pPr>
        <w:ind w:firstLine="567"/>
        <w:jc w:val="both"/>
        <w:rPr>
          <w:sz w:val="24"/>
          <w:szCs w:val="24"/>
          <w:lang w:val="en-US"/>
        </w:rPr>
      </w:pPr>
      <w:r>
        <w:rPr>
          <w:sz w:val="24"/>
          <w:szCs w:val="24"/>
          <w:lang w:val="en-US"/>
        </w:rPr>
        <w:t>Vasyutina M., Sveshnikova L., Bonvech E.A., Bulan A.V., Chernov D.V., Kalmykov N.N., Korosteleva E.E., Kozhin V.A., Kryukov A.P., Kuzmichev L.A., Lubsandorzhiev N.B., Mirzoyan R., Osipova E.A., Panov A.D., Podgrudkov D.A., Popova E.G., Postnikov E.B., Prosin V.V., Razumov, Silaev A.A. et al.</w:t>
      </w:r>
    </w:p>
    <w:p w:rsidR="00DE2A61" w:rsidRPr="00DE2A61" w:rsidRDefault="003A4F28" w:rsidP="00DE2A61">
      <w:pPr>
        <w:ind w:firstLine="567"/>
        <w:jc w:val="both"/>
        <w:rPr>
          <w:sz w:val="24"/>
          <w:szCs w:val="24"/>
          <w:lang w:val="en-US"/>
        </w:rPr>
      </w:pPr>
      <w:r>
        <w:rPr>
          <w:sz w:val="24"/>
          <w:szCs w:val="24"/>
          <w:lang w:val="en-US"/>
        </w:rPr>
        <w:t>In the collection: Proceedings of Science. 5. Сер. "5th International Workshop on Deep Learning in Computational Physics, DLCP 2021" 2022.</w:t>
      </w:r>
    </w:p>
    <w:p w:rsidR="003A4F28" w:rsidRPr="00DE2A61" w:rsidRDefault="003A4F28" w:rsidP="00DE2A61">
      <w:pPr>
        <w:ind w:firstLine="567"/>
        <w:jc w:val="both"/>
        <w:rPr>
          <w:sz w:val="24"/>
          <w:szCs w:val="24"/>
          <w:lang w:val="en-US"/>
        </w:rPr>
      </w:pPr>
      <w:r w:rsidRPr="001931F9">
        <w:rPr>
          <w:sz w:val="24"/>
          <w:szCs w:val="24"/>
          <w:lang w:val="en-US"/>
        </w:rPr>
        <w:t xml:space="preserve">2. </w:t>
      </w:r>
      <w:r>
        <w:rPr>
          <w:sz w:val="24"/>
          <w:szCs w:val="24"/>
          <w:lang w:val="en-US"/>
        </w:rPr>
        <w:t xml:space="preserve"> </w:t>
      </w:r>
      <w:r w:rsidRPr="001931F9">
        <w:rPr>
          <w:rFonts w:eastAsia="NotoSans-Regular"/>
          <w:sz w:val="24"/>
          <w:szCs w:val="24"/>
          <w:lang w:val="en-US" w:eastAsia="ru-RU"/>
        </w:rPr>
        <w:t>ASTROCLIMATE OF THE PLAIN HIGH-MOUNTAIN ZONES OF THE GREATER ALTAI</w:t>
      </w:r>
      <w:r>
        <w:rPr>
          <w:rFonts w:eastAsia="NotoSans-Regular"/>
          <w:sz w:val="24"/>
          <w:szCs w:val="24"/>
          <w:lang w:val="en-US" w:eastAsia="ru-RU"/>
        </w:rPr>
        <w:t xml:space="preserve"> </w:t>
      </w:r>
      <w:r w:rsidRPr="001931F9">
        <w:rPr>
          <w:rFonts w:eastAsia="NotoSans-Regular"/>
          <w:sz w:val="24"/>
          <w:szCs w:val="24"/>
          <w:lang w:val="en-US" w:eastAsia="ru-RU"/>
        </w:rPr>
        <w:t>REMOTE SENSING SATELLITE DATA: THE CAPACITY FOR HOUSING</w:t>
      </w:r>
      <w:r>
        <w:rPr>
          <w:rFonts w:eastAsia="NotoSans-Regular"/>
          <w:sz w:val="24"/>
          <w:szCs w:val="24"/>
          <w:lang w:val="en-US" w:eastAsia="ru-RU"/>
        </w:rPr>
        <w:t xml:space="preserve"> </w:t>
      </w:r>
      <w:r w:rsidRPr="001931F9">
        <w:rPr>
          <w:rFonts w:eastAsia="NotoSans-Regular"/>
          <w:sz w:val="24"/>
          <w:szCs w:val="24"/>
          <w:lang w:val="en-US" w:eastAsia="ru-RU"/>
        </w:rPr>
        <w:t>FULL SCALE GAMMA ASTRONOMIC</w:t>
      </w:r>
      <w:r>
        <w:rPr>
          <w:rFonts w:eastAsia="NotoSans-Regular"/>
          <w:sz w:val="24"/>
          <w:szCs w:val="24"/>
          <w:lang w:val="en-US" w:eastAsia="ru-RU"/>
        </w:rPr>
        <w:t xml:space="preserve"> </w:t>
      </w:r>
      <w:r w:rsidRPr="001931F9">
        <w:rPr>
          <w:rFonts w:eastAsia="NotoSans-Regular"/>
          <w:sz w:val="24"/>
          <w:szCs w:val="24"/>
          <w:lang w:val="en-US" w:eastAsia="ru-RU"/>
        </w:rPr>
        <w:t>EXPERIMENT</w:t>
      </w:r>
    </w:p>
    <w:p w:rsidR="003A4F28" w:rsidRPr="001931F9" w:rsidRDefault="003A4F28" w:rsidP="003A4F28">
      <w:pPr>
        <w:suppressAutoHyphens w:val="0"/>
        <w:autoSpaceDE w:val="0"/>
        <w:autoSpaceDN w:val="0"/>
        <w:adjustRightInd w:val="0"/>
        <w:spacing w:line="276" w:lineRule="auto"/>
        <w:jc w:val="both"/>
        <w:rPr>
          <w:rFonts w:eastAsia="NotoSans-Regular"/>
          <w:sz w:val="24"/>
          <w:szCs w:val="24"/>
          <w:lang w:val="en-US" w:eastAsia="ru-RU"/>
        </w:rPr>
      </w:pPr>
      <w:r w:rsidRPr="001931F9">
        <w:rPr>
          <w:rFonts w:eastAsia="NotoSans-Regular"/>
          <w:sz w:val="24"/>
          <w:szCs w:val="24"/>
          <w:lang w:val="en-US" w:eastAsia="ru-RU"/>
        </w:rPr>
        <w:t>Mordvin E.Yu., Volkov N.V., Revyakin A.I., Togoo R., Astapov I.I., Bezyazikov P.A., Blank M.,</w:t>
      </w:r>
      <w:r>
        <w:rPr>
          <w:rFonts w:eastAsia="NotoSans-Regular"/>
          <w:sz w:val="24"/>
          <w:szCs w:val="24"/>
          <w:lang w:val="en-US" w:eastAsia="ru-RU"/>
        </w:rPr>
        <w:t xml:space="preserve"> </w:t>
      </w:r>
      <w:r w:rsidRPr="001931F9">
        <w:rPr>
          <w:rFonts w:eastAsia="NotoSans-Regular"/>
          <w:sz w:val="24"/>
          <w:szCs w:val="24"/>
          <w:lang w:val="en-US" w:eastAsia="ru-RU"/>
        </w:rPr>
        <w:t>Bonvech E.A., Borodin A.N., Brukner M., Budnev N.M., Bulan A., Vaidyanatan A., Vishnevsky R.,</w:t>
      </w:r>
    </w:p>
    <w:p w:rsidR="003A4F28" w:rsidRDefault="003A4F28" w:rsidP="003A4F28">
      <w:pPr>
        <w:suppressAutoHyphens w:val="0"/>
        <w:autoSpaceDE w:val="0"/>
        <w:autoSpaceDN w:val="0"/>
        <w:adjustRightInd w:val="0"/>
        <w:spacing w:line="276" w:lineRule="auto"/>
        <w:jc w:val="both"/>
        <w:rPr>
          <w:sz w:val="24"/>
          <w:szCs w:val="24"/>
          <w:lang w:val="en-US"/>
        </w:rPr>
      </w:pPr>
      <w:r w:rsidRPr="001931F9">
        <w:rPr>
          <w:rFonts w:eastAsia="NotoSans-Regular"/>
          <w:sz w:val="24"/>
          <w:szCs w:val="24"/>
          <w:lang w:val="en-US" w:eastAsia="ru-RU"/>
        </w:rPr>
        <w:t>Volchugov P.A., Voronin D.M., Garmash A.Yu., Gafarov A.R., Grebenyuk V.M. ., Gress O.A. and</w:t>
      </w:r>
      <w:r>
        <w:rPr>
          <w:rFonts w:eastAsia="NotoSans-Regular"/>
          <w:sz w:val="24"/>
          <w:szCs w:val="24"/>
          <w:lang w:val="en-US" w:eastAsia="ru-RU"/>
        </w:rPr>
        <w:t xml:space="preserve"> </w:t>
      </w:r>
      <w:r w:rsidRPr="001931F9">
        <w:rPr>
          <w:rFonts w:eastAsia="NotoSans-Regular"/>
          <w:sz w:val="24"/>
          <w:szCs w:val="24"/>
          <w:lang w:val="en-US" w:eastAsia="ru-RU"/>
        </w:rPr>
        <w:t>etc.</w:t>
      </w:r>
      <w:r w:rsidRPr="001931F9">
        <w:rPr>
          <w:sz w:val="24"/>
          <w:szCs w:val="24"/>
          <w:lang w:val="en-US"/>
        </w:rPr>
        <w:t xml:space="preserve"> </w:t>
      </w:r>
    </w:p>
    <w:p w:rsidR="003A4F28" w:rsidRPr="001931F9" w:rsidRDefault="003A4F28" w:rsidP="003A4F28">
      <w:pPr>
        <w:suppressAutoHyphens w:val="0"/>
        <w:autoSpaceDE w:val="0"/>
        <w:autoSpaceDN w:val="0"/>
        <w:adjustRightInd w:val="0"/>
        <w:spacing w:line="276" w:lineRule="auto"/>
        <w:jc w:val="both"/>
        <w:rPr>
          <w:sz w:val="24"/>
          <w:szCs w:val="24"/>
          <w:lang w:val="en-US"/>
        </w:rPr>
      </w:pPr>
      <w:r>
        <w:rPr>
          <w:rFonts w:eastAsia="NotoSans-Regular"/>
          <w:sz w:val="24"/>
          <w:szCs w:val="24"/>
          <w:lang w:val="en-US" w:eastAsia="ru-RU"/>
        </w:rPr>
        <w:t>Bulletin</w:t>
      </w:r>
      <w:r w:rsidRPr="001931F9">
        <w:rPr>
          <w:rFonts w:eastAsia="NotoSans-Regular"/>
          <w:sz w:val="24"/>
          <w:szCs w:val="24"/>
          <w:lang w:val="en-US" w:eastAsia="ru-RU"/>
        </w:rPr>
        <w:t xml:space="preserve"> of the Russian</w:t>
      </w:r>
      <w:r>
        <w:rPr>
          <w:rFonts w:eastAsia="NotoSans-Regular"/>
          <w:sz w:val="24"/>
          <w:szCs w:val="24"/>
          <w:lang w:val="en-US" w:eastAsia="ru-RU"/>
        </w:rPr>
        <w:t xml:space="preserve"> Academy of Sciences:Physics</w:t>
      </w:r>
      <w:r w:rsidRPr="001931F9">
        <w:rPr>
          <w:rFonts w:eastAsia="NotoSans-Regular"/>
          <w:sz w:val="24"/>
          <w:szCs w:val="24"/>
          <w:lang w:val="en-US" w:eastAsia="ru-RU"/>
        </w:rPr>
        <w:t xml:space="preserve">. 2022. V. 86. No. 3. S. 452-456. </w:t>
      </w:r>
      <w:r w:rsidRPr="00C33D33">
        <w:rPr>
          <w:rFonts w:eastAsia="NotoSans-Regular"/>
          <w:sz w:val="24"/>
          <w:szCs w:val="24"/>
          <w:lang w:val="en-US" w:eastAsia="ru-RU"/>
        </w:rPr>
        <w:t>3.</w:t>
      </w:r>
    </w:p>
    <w:p w:rsidR="003A4F28" w:rsidRDefault="003A4F28" w:rsidP="003A4F28">
      <w:pPr>
        <w:ind w:firstLine="567"/>
        <w:jc w:val="both"/>
        <w:rPr>
          <w:sz w:val="24"/>
          <w:szCs w:val="24"/>
          <w:lang w:val="en-US"/>
        </w:rPr>
      </w:pPr>
      <w:r>
        <w:rPr>
          <w:sz w:val="24"/>
          <w:szCs w:val="24"/>
          <w:lang w:val="en-US"/>
        </w:rPr>
        <w:t>3. TAIGA—A hybrid array for high energy gamma-ray astronomy and cosmic-ray physics</w:t>
      </w:r>
    </w:p>
    <w:p w:rsidR="003A4F28" w:rsidRDefault="003A4F28" w:rsidP="003A4F28">
      <w:pPr>
        <w:ind w:firstLine="567"/>
        <w:jc w:val="both"/>
        <w:rPr>
          <w:sz w:val="24"/>
          <w:szCs w:val="24"/>
          <w:lang w:val="en-US"/>
        </w:rPr>
      </w:pPr>
      <w:r>
        <w:rPr>
          <w:sz w:val="24"/>
          <w:szCs w:val="24"/>
          <w:lang w:val="en-US"/>
        </w:rPr>
        <w:t>N. Budnev(Irkutsk State U.), I. Astapov(Moscow Phys. Eng. Inst.), P. Bezyazeekov(Irkutsk State U.), E. Bonvech(SINP, Moscow), A. Borodin(Dubna, JINR) et al. (Sep 11, 2022)</w:t>
      </w:r>
    </w:p>
    <w:p w:rsidR="003A4F28" w:rsidRDefault="003A4F28" w:rsidP="003A4F28">
      <w:pPr>
        <w:ind w:firstLine="567"/>
        <w:jc w:val="both"/>
        <w:rPr>
          <w:sz w:val="24"/>
          <w:szCs w:val="24"/>
          <w:lang w:val="en-US"/>
        </w:rPr>
      </w:pPr>
      <w:r>
        <w:rPr>
          <w:sz w:val="24"/>
          <w:szCs w:val="24"/>
          <w:lang w:val="en-US"/>
        </w:rPr>
        <w:t>Published in: Nucl.Instrum.Meth.A 1039 (2022) 167047 • Contribution to: VCI2022</w:t>
      </w:r>
    </w:p>
    <w:p w:rsidR="003A4F28" w:rsidRDefault="003A4F28" w:rsidP="003A4F28">
      <w:pPr>
        <w:ind w:firstLine="567"/>
        <w:jc w:val="both"/>
        <w:rPr>
          <w:sz w:val="24"/>
          <w:szCs w:val="24"/>
          <w:lang w:val="en-US"/>
        </w:rPr>
      </w:pPr>
      <w:r>
        <w:rPr>
          <w:sz w:val="24"/>
          <w:szCs w:val="24"/>
          <w:lang w:val="en-US"/>
        </w:rPr>
        <w:t>4. TAIGA - an advanced hybrid detector complex for astroparticle physics and high energy gamma-ray astronomy</w:t>
      </w:r>
    </w:p>
    <w:p w:rsidR="003A4F28" w:rsidRDefault="003A4F28" w:rsidP="003A4F28">
      <w:pPr>
        <w:ind w:firstLine="567"/>
        <w:jc w:val="both"/>
        <w:rPr>
          <w:sz w:val="24"/>
          <w:szCs w:val="24"/>
          <w:lang w:val="en-US"/>
        </w:rPr>
      </w:pPr>
      <w:r>
        <w:rPr>
          <w:sz w:val="24"/>
          <w:szCs w:val="24"/>
          <w:lang w:val="en-US"/>
        </w:rPr>
        <w:t>N. Budnev(Irkutsk State U.), I. Astapov(Moscow Phys. Eng. Inst.), P. Bezyazeekov(Irkutsk State U.), E. Bonvech(SINP, Moscow), A. Borodin(Dubna, JINR) et al. (Aug 29, 2022)</w:t>
      </w:r>
    </w:p>
    <w:p w:rsidR="003A4F28" w:rsidRDefault="003A4F28" w:rsidP="003A4F28">
      <w:pPr>
        <w:ind w:firstLine="567"/>
        <w:jc w:val="both"/>
        <w:rPr>
          <w:sz w:val="24"/>
          <w:szCs w:val="24"/>
          <w:lang w:val="en-US"/>
        </w:rPr>
      </w:pPr>
      <w:r>
        <w:rPr>
          <w:sz w:val="24"/>
          <w:szCs w:val="24"/>
          <w:lang w:val="en-US"/>
        </w:rPr>
        <w:t>Contribution to: ISVHECRI 2022 • e-Print: 2208.13757 [astro-ph.IM]</w:t>
      </w:r>
    </w:p>
    <w:p w:rsidR="003A4F28" w:rsidRDefault="003A4F28" w:rsidP="003A4F28">
      <w:pPr>
        <w:ind w:firstLine="567"/>
        <w:jc w:val="both"/>
        <w:rPr>
          <w:sz w:val="24"/>
          <w:szCs w:val="24"/>
          <w:lang w:val="en-US"/>
        </w:rPr>
      </w:pPr>
      <w:r>
        <w:rPr>
          <w:sz w:val="24"/>
          <w:szCs w:val="24"/>
          <w:lang w:val="en-US"/>
        </w:rPr>
        <w:t>5. Primary Cosmic Rays Energy Spectrum and Mean Mass Composition by the Data of the TAIGA Astrophysical Complex</w:t>
      </w:r>
    </w:p>
    <w:p w:rsidR="003A4F28" w:rsidRDefault="003A4F28" w:rsidP="003A4F28">
      <w:pPr>
        <w:ind w:firstLine="567"/>
        <w:jc w:val="both"/>
        <w:rPr>
          <w:sz w:val="24"/>
          <w:szCs w:val="24"/>
          <w:lang w:val="en-US"/>
        </w:rPr>
      </w:pPr>
      <w:r>
        <w:rPr>
          <w:sz w:val="24"/>
          <w:szCs w:val="24"/>
          <w:lang w:val="en-US"/>
        </w:rPr>
        <w:t>V. Prosin, I. Astapov, P. Bezyazeekov, E. Bonvech, A. Borodin et al. (Aug 2, 2022)</w:t>
      </w:r>
    </w:p>
    <w:p w:rsidR="003A4F28" w:rsidRDefault="003A4F28" w:rsidP="003A4F28">
      <w:pPr>
        <w:ind w:firstLine="567"/>
        <w:jc w:val="both"/>
        <w:rPr>
          <w:sz w:val="24"/>
          <w:szCs w:val="24"/>
          <w:lang w:val="en-US"/>
        </w:rPr>
      </w:pPr>
      <w:r>
        <w:rPr>
          <w:sz w:val="24"/>
          <w:szCs w:val="24"/>
          <w:lang w:val="en-US"/>
        </w:rPr>
        <w:t>Contribution to: ISVHECRI 2022 • e-Print: 2208.01689 [astro-ph.HE]</w:t>
      </w:r>
    </w:p>
    <w:p w:rsidR="003A4F28" w:rsidRDefault="003A4F28" w:rsidP="003A4F28">
      <w:pPr>
        <w:ind w:firstLine="567"/>
        <w:jc w:val="both"/>
        <w:rPr>
          <w:sz w:val="24"/>
          <w:szCs w:val="24"/>
          <w:lang w:val="en-US"/>
        </w:rPr>
      </w:pPr>
      <w:r>
        <w:rPr>
          <w:sz w:val="24"/>
          <w:szCs w:val="24"/>
          <w:lang w:val="en-US"/>
        </w:rPr>
        <w:t>6. Optimisation studies of the TAIGA-Muon scintillation detector array</w:t>
      </w:r>
    </w:p>
    <w:p w:rsidR="003A4F28" w:rsidRDefault="003A4F28" w:rsidP="003A4F28">
      <w:pPr>
        <w:ind w:firstLine="567"/>
        <w:jc w:val="both"/>
        <w:rPr>
          <w:sz w:val="24"/>
          <w:szCs w:val="24"/>
          <w:lang w:val="en-US"/>
        </w:rPr>
      </w:pPr>
      <w:r>
        <w:rPr>
          <w:sz w:val="24"/>
          <w:szCs w:val="24"/>
          <w:lang w:val="en-US"/>
        </w:rPr>
        <w:t>TAIGA</w:t>
      </w:r>
      <w:r w:rsidR="008B5603">
        <w:rPr>
          <w:sz w:val="24"/>
          <w:szCs w:val="24"/>
          <w:lang w:val="en-US"/>
        </w:rPr>
        <w:t xml:space="preserve"> Collaboration : </w:t>
      </w:r>
      <w:r>
        <w:rPr>
          <w:sz w:val="24"/>
          <w:szCs w:val="24"/>
          <w:lang w:val="en-US"/>
        </w:rPr>
        <w:t>I. Astapov(Moscow Phys. Eng. Inst.) et al. (Jun 17, 2022)</w:t>
      </w:r>
    </w:p>
    <w:p w:rsidR="003A4F28" w:rsidRDefault="003A4F28" w:rsidP="003A4F28">
      <w:pPr>
        <w:ind w:firstLine="567"/>
        <w:jc w:val="both"/>
        <w:rPr>
          <w:sz w:val="24"/>
          <w:szCs w:val="24"/>
          <w:lang w:val="en-US"/>
        </w:rPr>
      </w:pPr>
      <w:r>
        <w:rPr>
          <w:sz w:val="24"/>
          <w:szCs w:val="24"/>
          <w:lang w:val="en-US"/>
        </w:rPr>
        <w:t>Published in: JINST 17 (2022) 06, P06022</w:t>
      </w:r>
    </w:p>
    <w:p w:rsidR="003A4F28" w:rsidRDefault="003A4F28" w:rsidP="003A4F28">
      <w:pPr>
        <w:ind w:firstLine="567"/>
        <w:jc w:val="both"/>
        <w:rPr>
          <w:sz w:val="24"/>
          <w:szCs w:val="24"/>
          <w:lang w:val="en-US"/>
        </w:rPr>
      </w:pPr>
      <w:r>
        <w:rPr>
          <w:sz w:val="24"/>
          <w:szCs w:val="24"/>
          <w:lang w:val="en-US"/>
        </w:rPr>
        <w:t>7. Identification of electromagnetic and hadronic EASs using neural network for TAIGA scintillation detector array</w:t>
      </w:r>
    </w:p>
    <w:p w:rsidR="003A4F28" w:rsidRDefault="008B5603" w:rsidP="003A4F28">
      <w:pPr>
        <w:ind w:firstLine="567"/>
        <w:jc w:val="both"/>
        <w:rPr>
          <w:sz w:val="24"/>
          <w:szCs w:val="24"/>
          <w:lang w:val="en-US"/>
        </w:rPr>
      </w:pPr>
      <w:r>
        <w:rPr>
          <w:sz w:val="24"/>
          <w:szCs w:val="24"/>
          <w:lang w:val="en-US"/>
        </w:rPr>
        <w:t xml:space="preserve">TAIGA Collaboration : </w:t>
      </w:r>
      <w:r w:rsidR="003A4F28">
        <w:rPr>
          <w:sz w:val="24"/>
          <w:szCs w:val="24"/>
          <w:lang w:val="en-US"/>
        </w:rPr>
        <w:t>I. Astapov(Moscow Phys. Eng. Inst.) et al. (May 16, 2022)</w:t>
      </w:r>
    </w:p>
    <w:p w:rsidR="003A4F28" w:rsidRDefault="003A4F28" w:rsidP="003A4F28">
      <w:pPr>
        <w:ind w:firstLine="567"/>
        <w:jc w:val="both"/>
        <w:rPr>
          <w:sz w:val="24"/>
          <w:szCs w:val="24"/>
          <w:lang w:val="en-US"/>
        </w:rPr>
      </w:pPr>
      <w:r>
        <w:rPr>
          <w:sz w:val="24"/>
          <w:szCs w:val="24"/>
          <w:lang w:val="en-US"/>
        </w:rPr>
        <w:t>Published</w:t>
      </w:r>
      <w:r w:rsidR="00702F15" w:rsidRPr="0035180C">
        <w:rPr>
          <w:sz w:val="24"/>
          <w:szCs w:val="24"/>
          <w:lang w:val="en-US"/>
        </w:rPr>
        <w:t xml:space="preserve"> </w:t>
      </w:r>
      <w:r>
        <w:rPr>
          <w:sz w:val="24"/>
          <w:szCs w:val="24"/>
          <w:lang w:val="en-US"/>
        </w:rPr>
        <w:t>in: JINST 17 (2022) 05, P05023</w:t>
      </w:r>
    </w:p>
    <w:p w:rsidR="003A4F28" w:rsidRDefault="003A4F28" w:rsidP="003A4F28">
      <w:pPr>
        <w:suppressAutoHyphens w:val="0"/>
        <w:rPr>
          <w:b/>
          <w:sz w:val="24"/>
          <w:szCs w:val="24"/>
          <w:lang w:val="en-US"/>
        </w:rPr>
      </w:pPr>
    </w:p>
    <w:p w:rsidR="00386748" w:rsidRDefault="00386748">
      <w:pPr>
        <w:suppressAutoHyphens w:val="0"/>
        <w:rPr>
          <w:b/>
          <w:sz w:val="24"/>
          <w:szCs w:val="24"/>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b/>
          <w:bCs/>
          <w:lang w:val="en-US"/>
        </w:rPr>
      </w:pPr>
    </w:p>
    <w:p w:rsidR="00386748" w:rsidRDefault="00386748">
      <w:pPr>
        <w:pStyle w:val="af1"/>
        <w:suppressAutoHyphens/>
        <w:spacing w:line="240" w:lineRule="atLeast"/>
        <w:ind w:left="0"/>
        <w:rPr>
          <w:lang w:val="en-US"/>
        </w:rPr>
      </w:pPr>
    </w:p>
    <w:p w:rsidR="00386748" w:rsidRPr="000C5392" w:rsidRDefault="000C5392">
      <w:pPr>
        <w:suppressAutoHyphens w:val="0"/>
        <w:rPr>
          <w:lang w:val="en-US"/>
        </w:rPr>
      </w:pPr>
      <w:bookmarkStart w:id="10" w:name="_Hlk125558935"/>
      <w:r w:rsidRPr="000C5392">
        <w:rPr>
          <w:lang w:val="en-US"/>
        </w:rPr>
        <w:br w:type="page"/>
      </w:r>
    </w:p>
    <w:p w:rsidR="00386748" w:rsidRPr="003A4F28" w:rsidRDefault="003A4F28">
      <w:pPr>
        <w:pStyle w:val="af1"/>
        <w:suppressAutoHyphens/>
        <w:ind w:left="0"/>
        <w:rPr>
          <w:b/>
          <w:lang w:val="en-US"/>
        </w:rPr>
      </w:pPr>
      <w:r>
        <w:rPr>
          <w:b/>
          <w:lang w:val="en-US"/>
        </w:rPr>
        <w:lastRenderedPageBreak/>
        <w:t>Theme Leader</w:t>
      </w:r>
    </w:p>
    <w:p w:rsidR="00386748" w:rsidRPr="0035180C" w:rsidRDefault="000C5392">
      <w:pPr>
        <w:spacing w:line="312" w:lineRule="auto"/>
        <w:rPr>
          <w:b/>
          <w:sz w:val="24"/>
          <w:szCs w:val="24"/>
          <w:u w:val="single"/>
          <w:lang w:val="en-US"/>
        </w:rPr>
      </w:pPr>
      <w:r w:rsidRPr="0035180C">
        <w:rPr>
          <w:b/>
          <w:sz w:val="24"/>
          <w:szCs w:val="24"/>
          <w:u w:val="single"/>
          <w:lang w:val="en-US"/>
        </w:rPr>
        <w:tab/>
      </w:r>
      <w:r w:rsidRPr="0035180C">
        <w:rPr>
          <w:b/>
          <w:sz w:val="24"/>
          <w:szCs w:val="24"/>
          <w:u w:val="single"/>
          <w:lang w:val="en-US"/>
        </w:rPr>
        <w:tab/>
        <w:t>/</w:t>
      </w:r>
      <w:r w:rsidRPr="0035180C">
        <w:rPr>
          <w:b/>
          <w:sz w:val="24"/>
          <w:szCs w:val="24"/>
          <w:u w:val="single"/>
          <w:lang w:val="en-US"/>
        </w:rPr>
        <w:tab/>
        <w:t>___________/</w:t>
      </w:r>
    </w:p>
    <w:p w:rsidR="00386748" w:rsidRPr="0035180C" w:rsidRDefault="000C5392">
      <w:pPr>
        <w:spacing w:line="312" w:lineRule="auto"/>
        <w:rPr>
          <w:lang w:val="en-US"/>
        </w:rPr>
      </w:pPr>
      <w:r w:rsidRPr="0035180C">
        <w:rPr>
          <w:b/>
          <w:sz w:val="24"/>
          <w:szCs w:val="24"/>
          <w:lang w:val="en-US"/>
        </w:rPr>
        <w:t>“</w:t>
      </w:r>
      <w:r w:rsidRPr="0035180C">
        <w:rPr>
          <w:b/>
          <w:sz w:val="24"/>
          <w:szCs w:val="24"/>
          <w:u w:val="single"/>
          <w:lang w:val="en-US"/>
        </w:rPr>
        <w:tab/>
      </w:r>
      <w:r w:rsidRPr="0035180C">
        <w:rPr>
          <w:b/>
          <w:sz w:val="24"/>
          <w:szCs w:val="24"/>
          <w:lang w:val="en-US"/>
        </w:rPr>
        <w:t>“</w:t>
      </w:r>
      <w:r w:rsidRPr="0035180C">
        <w:rPr>
          <w:b/>
          <w:sz w:val="24"/>
          <w:szCs w:val="24"/>
          <w:u w:val="single"/>
          <w:lang w:val="en-US"/>
        </w:rPr>
        <w:tab/>
      </w:r>
      <w:r w:rsidRPr="0035180C">
        <w:rPr>
          <w:b/>
          <w:sz w:val="24"/>
          <w:szCs w:val="24"/>
          <w:u w:val="single"/>
          <w:lang w:val="en-US"/>
        </w:rPr>
        <w:tab/>
      </w:r>
      <w:r w:rsidRPr="0035180C">
        <w:rPr>
          <w:b/>
          <w:sz w:val="24"/>
          <w:szCs w:val="24"/>
          <w:u w:val="single"/>
          <w:lang w:val="en-US"/>
        </w:rPr>
        <w:tab/>
      </w:r>
      <w:r w:rsidRPr="0035180C">
        <w:rPr>
          <w:b/>
          <w:sz w:val="24"/>
          <w:szCs w:val="24"/>
          <w:lang w:val="en-US"/>
        </w:rPr>
        <w:t>202_</w:t>
      </w:r>
      <w:r>
        <w:rPr>
          <w:b/>
          <w:sz w:val="24"/>
          <w:szCs w:val="24"/>
        </w:rPr>
        <w:t>г</w:t>
      </w:r>
      <w:r w:rsidRPr="0035180C">
        <w:rPr>
          <w:b/>
          <w:sz w:val="24"/>
          <w:szCs w:val="24"/>
          <w:lang w:val="en-US"/>
        </w:rPr>
        <w:t>.</w:t>
      </w:r>
    </w:p>
    <w:p w:rsidR="00386748" w:rsidRPr="0035180C" w:rsidRDefault="00386748">
      <w:pPr>
        <w:spacing w:line="312" w:lineRule="auto"/>
        <w:rPr>
          <w:b/>
          <w:sz w:val="24"/>
          <w:szCs w:val="24"/>
          <w:u w:val="single"/>
          <w:lang w:val="en-US"/>
        </w:rPr>
      </w:pPr>
    </w:p>
    <w:p w:rsidR="00386748" w:rsidRPr="003A4F28" w:rsidRDefault="003A4F28">
      <w:pPr>
        <w:spacing w:line="312" w:lineRule="auto"/>
        <w:rPr>
          <w:b/>
          <w:sz w:val="24"/>
          <w:szCs w:val="24"/>
          <w:lang w:val="en-US"/>
        </w:rPr>
      </w:pPr>
      <w:r>
        <w:rPr>
          <w:b/>
          <w:sz w:val="24"/>
          <w:szCs w:val="24"/>
          <w:lang w:val="en-US"/>
        </w:rPr>
        <w:t>Project Leader</w:t>
      </w:r>
      <w:r w:rsidR="000C5392" w:rsidRPr="0035180C">
        <w:rPr>
          <w:b/>
          <w:sz w:val="24"/>
          <w:szCs w:val="24"/>
          <w:lang w:val="en-US"/>
        </w:rPr>
        <w:t xml:space="preserve"> / </w:t>
      </w:r>
      <w:r>
        <w:rPr>
          <w:b/>
          <w:sz w:val="24"/>
          <w:szCs w:val="24"/>
          <w:lang w:val="en-US"/>
        </w:rPr>
        <w:t>LRIP Leader</w:t>
      </w:r>
    </w:p>
    <w:p w:rsidR="00386748" w:rsidRPr="0035180C" w:rsidRDefault="000C5392">
      <w:pPr>
        <w:spacing w:line="312" w:lineRule="auto"/>
        <w:rPr>
          <w:b/>
          <w:sz w:val="24"/>
          <w:szCs w:val="24"/>
          <w:u w:val="single"/>
          <w:lang w:val="en-US"/>
        </w:rPr>
      </w:pPr>
      <w:r w:rsidRPr="0035180C">
        <w:rPr>
          <w:b/>
          <w:sz w:val="24"/>
          <w:szCs w:val="24"/>
          <w:u w:val="single"/>
          <w:lang w:val="en-US"/>
        </w:rPr>
        <w:tab/>
      </w:r>
      <w:r w:rsidRPr="0035180C">
        <w:rPr>
          <w:b/>
          <w:sz w:val="24"/>
          <w:szCs w:val="24"/>
          <w:u w:val="single"/>
          <w:lang w:val="en-US"/>
        </w:rPr>
        <w:tab/>
        <w:t>/</w:t>
      </w:r>
      <w:r w:rsidRPr="0035180C">
        <w:rPr>
          <w:b/>
          <w:sz w:val="24"/>
          <w:szCs w:val="24"/>
          <w:u w:val="single"/>
          <w:lang w:val="en-US"/>
        </w:rPr>
        <w:tab/>
        <w:t>___________/</w:t>
      </w:r>
    </w:p>
    <w:p w:rsidR="00386748" w:rsidRPr="0035180C" w:rsidRDefault="000C5392">
      <w:pPr>
        <w:spacing w:line="312" w:lineRule="auto"/>
        <w:rPr>
          <w:lang w:val="en-US"/>
        </w:rPr>
      </w:pPr>
      <w:r w:rsidRPr="0035180C">
        <w:rPr>
          <w:b/>
          <w:sz w:val="24"/>
          <w:szCs w:val="24"/>
          <w:lang w:val="en-US"/>
        </w:rPr>
        <w:t>“</w:t>
      </w:r>
      <w:r w:rsidRPr="0035180C">
        <w:rPr>
          <w:b/>
          <w:sz w:val="24"/>
          <w:szCs w:val="24"/>
          <w:u w:val="single"/>
          <w:lang w:val="en-US"/>
        </w:rPr>
        <w:tab/>
      </w:r>
      <w:r w:rsidRPr="0035180C">
        <w:rPr>
          <w:b/>
          <w:sz w:val="24"/>
          <w:szCs w:val="24"/>
          <w:lang w:val="en-US"/>
        </w:rPr>
        <w:t>“</w:t>
      </w:r>
      <w:r w:rsidRPr="0035180C">
        <w:rPr>
          <w:b/>
          <w:sz w:val="24"/>
          <w:szCs w:val="24"/>
          <w:u w:val="single"/>
          <w:lang w:val="en-US"/>
        </w:rPr>
        <w:tab/>
      </w:r>
      <w:r w:rsidRPr="0035180C">
        <w:rPr>
          <w:b/>
          <w:sz w:val="24"/>
          <w:szCs w:val="24"/>
          <w:u w:val="single"/>
          <w:lang w:val="en-US"/>
        </w:rPr>
        <w:tab/>
      </w:r>
      <w:r w:rsidRPr="0035180C">
        <w:rPr>
          <w:b/>
          <w:sz w:val="24"/>
          <w:szCs w:val="24"/>
          <w:u w:val="single"/>
          <w:lang w:val="en-US"/>
        </w:rPr>
        <w:tab/>
      </w:r>
      <w:r w:rsidRPr="0035180C">
        <w:rPr>
          <w:b/>
          <w:sz w:val="24"/>
          <w:szCs w:val="24"/>
          <w:lang w:val="en-US"/>
        </w:rPr>
        <w:t>202_</w:t>
      </w:r>
      <w:r>
        <w:rPr>
          <w:b/>
          <w:sz w:val="24"/>
          <w:szCs w:val="24"/>
        </w:rPr>
        <w:t>г</w:t>
      </w:r>
      <w:r w:rsidRPr="0035180C">
        <w:rPr>
          <w:b/>
          <w:sz w:val="24"/>
          <w:szCs w:val="24"/>
          <w:lang w:val="en-US"/>
        </w:rPr>
        <w:t>.</w:t>
      </w:r>
    </w:p>
    <w:p w:rsidR="00386748" w:rsidRPr="0035180C" w:rsidRDefault="00386748">
      <w:pPr>
        <w:spacing w:line="312" w:lineRule="auto"/>
        <w:rPr>
          <w:b/>
          <w:sz w:val="24"/>
          <w:szCs w:val="24"/>
          <w:lang w:val="en-US"/>
        </w:rPr>
      </w:pPr>
    </w:p>
    <w:p w:rsidR="003A4F28" w:rsidRDefault="003A4F28">
      <w:pPr>
        <w:spacing w:line="312" w:lineRule="auto"/>
        <w:rPr>
          <w:bCs/>
          <w:sz w:val="24"/>
          <w:szCs w:val="24"/>
          <w:lang w:val="en-US"/>
        </w:rPr>
      </w:pPr>
      <w:r>
        <w:rPr>
          <w:b/>
          <w:sz w:val="24"/>
          <w:szCs w:val="24"/>
          <w:lang w:val="en-US"/>
        </w:rPr>
        <w:t>Project</w:t>
      </w:r>
      <w:r w:rsidRPr="003A4F28">
        <w:rPr>
          <w:b/>
          <w:sz w:val="24"/>
          <w:szCs w:val="24"/>
          <w:lang w:val="en-US"/>
        </w:rPr>
        <w:t xml:space="preserve"> </w:t>
      </w:r>
      <w:r>
        <w:rPr>
          <w:b/>
          <w:sz w:val="24"/>
          <w:szCs w:val="24"/>
          <w:lang w:val="en-US"/>
        </w:rPr>
        <w:t>Leader</w:t>
      </w:r>
      <w:r w:rsidR="000C5392" w:rsidRPr="003A4F28">
        <w:rPr>
          <w:b/>
          <w:sz w:val="24"/>
          <w:szCs w:val="24"/>
          <w:lang w:val="en-US"/>
        </w:rPr>
        <w:t xml:space="preserve"> / </w:t>
      </w:r>
      <w:r>
        <w:rPr>
          <w:b/>
          <w:sz w:val="24"/>
          <w:szCs w:val="24"/>
          <w:lang w:val="en-US"/>
        </w:rPr>
        <w:t>LRIP</w:t>
      </w:r>
      <w:r w:rsidRPr="003A4F28">
        <w:rPr>
          <w:b/>
          <w:sz w:val="24"/>
          <w:szCs w:val="24"/>
          <w:lang w:val="en-US"/>
        </w:rPr>
        <w:t xml:space="preserve"> </w:t>
      </w:r>
      <w:r>
        <w:rPr>
          <w:b/>
          <w:sz w:val="24"/>
          <w:szCs w:val="24"/>
          <w:lang w:val="en-US"/>
        </w:rPr>
        <w:t>Leader</w:t>
      </w:r>
      <w:r>
        <w:rPr>
          <w:bCs/>
          <w:sz w:val="24"/>
          <w:szCs w:val="24"/>
          <w:lang w:val="en-US"/>
        </w:rPr>
        <w:t xml:space="preserve">(in case of </w:t>
      </w:r>
    </w:p>
    <w:p w:rsidR="00386748" w:rsidRPr="003A4F28" w:rsidRDefault="003A4F28">
      <w:pPr>
        <w:spacing w:line="312" w:lineRule="auto"/>
        <w:rPr>
          <w:bCs/>
          <w:sz w:val="24"/>
          <w:szCs w:val="24"/>
          <w:lang w:val="en-US"/>
        </w:rPr>
      </w:pPr>
      <w:r>
        <w:rPr>
          <w:bCs/>
          <w:sz w:val="24"/>
          <w:szCs w:val="24"/>
          <w:lang w:val="en-US"/>
        </w:rPr>
        <w:t>multiple projects)</w:t>
      </w:r>
    </w:p>
    <w:p w:rsidR="00386748" w:rsidRPr="0035180C" w:rsidRDefault="000C5392">
      <w:pPr>
        <w:spacing w:line="312" w:lineRule="auto"/>
        <w:rPr>
          <w:b/>
          <w:sz w:val="24"/>
          <w:szCs w:val="24"/>
          <w:u w:val="single"/>
          <w:lang w:val="en-US"/>
        </w:rPr>
      </w:pPr>
      <w:r w:rsidRPr="0035180C">
        <w:rPr>
          <w:b/>
          <w:sz w:val="24"/>
          <w:szCs w:val="24"/>
          <w:u w:val="single"/>
          <w:lang w:val="en-US"/>
        </w:rPr>
        <w:tab/>
      </w:r>
      <w:r w:rsidRPr="0035180C">
        <w:rPr>
          <w:b/>
          <w:sz w:val="24"/>
          <w:szCs w:val="24"/>
          <w:u w:val="single"/>
          <w:lang w:val="en-US"/>
        </w:rPr>
        <w:tab/>
        <w:t>/</w:t>
      </w:r>
      <w:r w:rsidRPr="0035180C">
        <w:rPr>
          <w:b/>
          <w:sz w:val="24"/>
          <w:szCs w:val="24"/>
          <w:u w:val="single"/>
          <w:lang w:val="en-US"/>
        </w:rPr>
        <w:tab/>
        <w:t>___________/</w:t>
      </w:r>
    </w:p>
    <w:p w:rsidR="00386748" w:rsidRPr="0035180C" w:rsidRDefault="000C5392">
      <w:pPr>
        <w:spacing w:line="312" w:lineRule="auto"/>
        <w:rPr>
          <w:lang w:val="en-US"/>
        </w:rPr>
      </w:pPr>
      <w:r w:rsidRPr="0035180C">
        <w:rPr>
          <w:b/>
          <w:sz w:val="24"/>
          <w:szCs w:val="24"/>
          <w:lang w:val="en-US"/>
        </w:rPr>
        <w:t>“</w:t>
      </w:r>
      <w:r w:rsidRPr="0035180C">
        <w:rPr>
          <w:b/>
          <w:sz w:val="24"/>
          <w:szCs w:val="24"/>
          <w:u w:val="single"/>
          <w:lang w:val="en-US"/>
        </w:rPr>
        <w:tab/>
      </w:r>
      <w:r w:rsidRPr="0035180C">
        <w:rPr>
          <w:b/>
          <w:sz w:val="24"/>
          <w:szCs w:val="24"/>
          <w:lang w:val="en-US"/>
        </w:rPr>
        <w:t>“</w:t>
      </w:r>
      <w:r w:rsidRPr="0035180C">
        <w:rPr>
          <w:b/>
          <w:sz w:val="24"/>
          <w:szCs w:val="24"/>
          <w:u w:val="single"/>
          <w:lang w:val="en-US"/>
        </w:rPr>
        <w:tab/>
      </w:r>
      <w:r w:rsidRPr="0035180C">
        <w:rPr>
          <w:b/>
          <w:sz w:val="24"/>
          <w:szCs w:val="24"/>
          <w:u w:val="single"/>
          <w:lang w:val="en-US"/>
        </w:rPr>
        <w:tab/>
      </w:r>
      <w:r w:rsidRPr="0035180C">
        <w:rPr>
          <w:b/>
          <w:sz w:val="24"/>
          <w:szCs w:val="24"/>
          <w:u w:val="single"/>
          <w:lang w:val="en-US"/>
        </w:rPr>
        <w:tab/>
      </w:r>
      <w:r w:rsidRPr="0035180C">
        <w:rPr>
          <w:b/>
          <w:sz w:val="24"/>
          <w:szCs w:val="24"/>
          <w:lang w:val="en-US"/>
        </w:rPr>
        <w:t>202_</w:t>
      </w:r>
      <w:r>
        <w:rPr>
          <w:b/>
          <w:sz w:val="24"/>
          <w:szCs w:val="24"/>
        </w:rPr>
        <w:t>г</w:t>
      </w:r>
      <w:r w:rsidRPr="0035180C">
        <w:rPr>
          <w:b/>
          <w:sz w:val="24"/>
          <w:szCs w:val="24"/>
          <w:lang w:val="en-US"/>
        </w:rPr>
        <w:t>.</w:t>
      </w:r>
    </w:p>
    <w:p w:rsidR="00386748" w:rsidRPr="0035180C" w:rsidRDefault="00386748">
      <w:pPr>
        <w:spacing w:line="312" w:lineRule="auto"/>
        <w:rPr>
          <w:b/>
          <w:sz w:val="24"/>
          <w:szCs w:val="24"/>
          <w:lang w:val="en-US"/>
        </w:rPr>
      </w:pPr>
    </w:p>
    <w:p w:rsidR="00386748" w:rsidRPr="003A4F28" w:rsidRDefault="003A4F28">
      <w:pPr>
        <w:spacing w:line="312" w:lineRule="auto"/>
        <w:rPr>
          <w:b/>
          <w:sz w:val="24"/>
          <w:szCs w:val="24"/>
          <w:lang w:val="en-US"/>
        </w:rPr>
      </w:pPr>
      <w:r>
        <w:rPr>
          <w:b/>
          <w:sz w:val="24"/>
          <w:szCs w:val="24"/>
          <w:lang w:val="en-US"/>
        </w:rPr>
        <w:t>Laboratory Economist</w:t>
      </w:r>
    </w:p>
    <w:p w:rsidR="00386748" w:rsidRPr="0035180C" w:rsidRDefault="000C5392">
      <w:pPr>
        <w:spacing w:line="312" w:lineRule="auto"/>
        <w:rPr>
          <w:b/>
          <w:sz w:val="24"/>
          <w:szCs w:val="24"/>
          <w:u w:val="single"/>
          <w:lang w:val="en-US"/>
        </w:rPr>
      </w:pPr>
      <w:r w:rsidRPr="0035180C">
        <w:rPr>
          <w:b/>
          <w:sz w:val="24"/>
          <w:szCs w:val="24"/>
          <w:u w:val="single"/>
          <w:lang w:val="en-US"/>
        </w:rPr>
        <w:tab/>
      </w:r>
      <w:r w:rsidRPr="0035180C">
        <w:rPr>
          <w:b/>
          <w:sz w:val="24"/>
          <w:szCs w:val="24"/>
          <w:u w:val="single"/>
          <w:lang w:val="en-US"/>
        </w:rPr>
        <w:tab/>
        <w:t>/</w:t>
      </w:r>
      <w:r w:rsidRPr="0035180C">
        <w:rPr>
          <w:b/>
          <w:sz w:val="24"/>
          <w:szCs w:val="24"/>
          <w:u w:val="single"/>
          <w:lang w:val="en-US"/>
        </w:rPr>
        <w:tab/>
        <w:t>___________/</w:t>
      </w:r>
    </w:p>
    <w:p w:rsidR="00386748" w:rsidRDefault="000C5392">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 г.</w:t>
      </w:r>
      <w:bookmarkEnd w:id="10"/>
    </w:p>
    <w:p w:rsidR="00386748" w:rsidRPr="003A4F28" w:rsidRDefault="00386748" w:rsidP="003A4F28">
      <w:pPr>
        <w:suppressAutoHyphens w:val="0"/>
        <w:rPr>
          <w:b/>
          <w:sz w:val="24"/>
          <w:szCs w:val="24"/>
          <w:lang w:val="en-US"/>
        </w:rPr>
      </w:pPr>
    </w:p>
    <w:sectPr w:rsidR="00386748" w:rsidRPr="003A4F28" w:rsidSect="00386748">
      <w:footerReference w:type="default" r:id="rId20"/>
      <w:pgSz w:w="11906" w:h="16838"/>
      <w:pgMar w:top="1134" w:right="567" w:bottom="1134" w:left="1418" w:header="0" w:footer="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401" w:rsidRDefault="001A1401" w:rsidP="00386748">
      <w:r>
        <w:separator/>
      </w:r>
    </w:p>
  </w:endnote>
  <w:endnote w:type="continuationSeparator" w:id="1">
    <w:p w:rsidR="001A1401" w:rsidRDefault="001A1401" w:rsidP="003867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Roboto">
    <w:altName w:val="Times New Roman"/>
    <w:panose1 w:val="00000000000000000000"/>
    <w:charset w:val="00"/>
    <w:family w:val="roman"/>
    <w:notTrueType/>
    <w:pitch w:val="default"/>
    <w:sig w:usb0="00000000" w:usb1="00000000" w:usb2="00000000" w:usb3="00000000" w:csb0="00000000" w:csb1="00000000"/>
  </w:font>
  <w:font w:name="Droid Sans Devanagar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NotoSans-Regular">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otoSansMath-Regular">
    <w:altName w:val="Arial Unicode MS"/>
    <w:panose1 w:val="00000000000000000000"/>
    <w:charset w:val="86"/>
    <w:family w:val="auto"/>
    <w:notTrueType/>
    <w:pitch w:val="default"/>
    <w:sig w:usb0="00000001" w:usb1="080E0000" w:usb2="00000010" w:usb3="00000000" w:csb0="00040000" w:csb1="00000000"/>
  </w:font>
  <w:font w:name="CMR8">
    <w:altName w:val="Times New Roman"/>
    <w:panose1 w:val="00000000000000000000"/>
    <w:charset w:val="00"/>
    <w:family w:val="roman"/>
    <w:notTrueType/>
    <w:pitch w:val="default"/>
    <w:sig w:usb0="00000000" w:usb1="00000000" w:usb2="00000000" w:usb3="00000000" w:csb0="00000000" w:csb1="00000000"/>
  </w:font>
  <w:font w:name="CMTI8">
    <w:panose1 w:val="00000000000000000000"/>
    <w:charset w:val="00"/>
    <w:family w:val="roman"/>
    <w:notTrueType/>
    <w:pitch w:val="default"/>
    <w:sig w:usb0="00000000" w:usb1="00000000" w:usb2="00000000" w:usb3="00000000" w:csb0="00000000" w:csb1="00000000"/>
  </w:font>
  <w:font w:name="CMBX8">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2D" w:rsidRDefault="00712ED0">
    <w:pPr>
      <w:pStyle w:val="Footer"/>
      <w:jc w:val="center"/>
    </w:pPr>
    <w:fldSimple w:instr="PAGE">
      <w:r w:rsidR="00631E74">
        <w:rPr>
          <w:noProof/>
        </w:rPr>
        <w:t>1</w:t>
      </w:r>
    </w:fldSimple>
  </w:p>
  <w:p w:rsidR="001E432D" w:rsidRDefault="001E43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401" w:rsidRDefault="001A1401" w:rsidP="00386748">
      <w:r>
        <w:separator/>
      </w:r>
    </w:p>
  </w:footnote>
  <w:footnote w:type="continuationSeparator" w:id="1">
    <w:p w:rsidR="001A1401" w:rsidRDefault="001A1401" w:rsidP="003867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characterSpacingControl w:val="doNotCompress"/>
  <w:footnotePr>
    <w:footnote w:id="0"/>
    <w:footnote w:id="1"/>
  </w:footnotePr>
  <w:endnotePr>
    <w:endnote w:id="0"/>
    <w:endnote w:id="1"/>
  </w:endnotePr>
  <w:compat/>
  <w:rsids>
    <w:rsidRoot w:val="00386748"/>
    <w:rsid w:val="00010C01"/>
    <w:rsid w:val="00066AFE"/>
    <w:rsid w:val="000C5392"/>
    <w:rsid w:val="001A1401"/>
    <w:rsid w:val="001A2462"/>
    <w:rsid w:val="001E432D"/>
    <w:rsid w:val="002A2B47"/>
    <w:rsid w:val="002F0D07"/>
    <w:rsid w:val="0035180C"/>
    <w:rsid w:val="00386748"/>
    <w:rsid w:val="003A4F28"/>
    <w:rsid w:val="00631E74"/>
    <w:rsid w:val="00702F15"/>
    <w:rsid w:val="00712ED0"/>
    <w:rsid w:val="008547CD"/>
    <w:rsid w:val="008A3C5E"/>
    <w:rsid w:val="008B5603"/>
    <w:rsid w:val="00931B85"/>
    <w:rsid w:val="00A44568"/>
    <w:rsid w:val="00CA7FA3"/>
    <w:rsid w:val="00DE1CEC"/>
    <w:rsid w:val="00DE2A61"/>
    <w:rsid w:val="00E249BC"/>
    <w:rsid w:val="00F338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48"/>
    <w:pPr>
      <w:suppressAutoHyphens/>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386748"/>
    <w:pPr>
      <w:keepNext/>
      <w:keepLines/>
      <w:spacing w:before="120" w:after="120"/>
      <w:outlineLvl w:val="0"/>
    </w:pPr>
    <w:rPr>
      <w:b/>
      <w:bCs/>
      <w:sz w:val="24"/>
      <w:szCs w:val="28"/>
    </w:rPr>
  </w:style>
  <w:style w:type="paragraph" w:customStyle="1" w:styleId="Heading2">
    <w:name w:val="Heading 2"/>
    <w:basedOn w:val="a"/>
    <w:qFormat/>
    <w:rsid w:val="00386748"/>
    <w:pPr>
      <w:keepNext/>
      <w:keepLines/>
      <w:outlineLvl w:val="1"/>
    </w:pPr>
    <w:rPr>
      <w:b/>
      <w:bCs/>
      <w:sz w:val="24"/>
      <w:szCs w:val="26"/>
    </w:rPr>
  </w:style>
  <w:style w:type="paragraph" w:customStyle="1" w:styleId="Heading3">
    <w:name w:val="Heading 3"/>
    <w:basedOn w:val="a"/>
    <w:qFormat/>
    <w:rsid w:val="00386748"/>
    <w:pPr>
      <w:keepNext/>
      <w:keepLines/>
      <w:outlineLvl w:val="2"/>
    </w:pPr>
    <w:rPr>
      <w:b/>
      <w:bCs/>
      <w:sz w:val="24"/>
    </w:rPr>
  </w:style>
  <w:style w:type="character" w:customStyle="1" w:styleId="5">
    <w:name w:val="Основной шрифт абзаца5"/>
    <w:qFormat/>
    <w:rsid w:val="00386748"/>
  </w:style>
  <w:style w:type="character" w:customStyle="1" w:styleId="WW8Num1z0">
    <w:name w:val="WW8Num1z0"/>
    <w:qFormat/>
    <w:rsid w:val="00386748"/>
  </w:style>
  <w:style w:type="character" w:customStyle="1" w:styleId="WW8Num1z1">
    <w:name w:val="WW8Num1z1"/>
    <w:qFormat/>
    <w:rsid w:val="00386748"/>
    <w:rPr>
      <w:sz w:val="22"/>
      <w:szCs w:val="22"/>
    </w:rPr>
  </w:style>
  <w:style w:type="character" w:customStyle="1" w:styleId="WW8Num2z0">
    <w:name w:val="WW8Num2z0"/>
    <w:qFormat/>
    <w:rsid w:val="00386748"/>
  </w:style>
  <w:style w:type="character" w:customStyle="1" w:styleId="WW8Num3z0">
    <w:name w:val="WW8Num3z0"/>
    <w:qFormat/>
    <w:rsid w:val="00386748"/>
    <w:rPr>
      <w:b/>
      <w:sz w:val="22"/>
    </w:rPr>
  </w:style>
  <w:style w:type="character" w:customStyle="1" w:styleId="WW8Num3z1">
    <w:name w:val="WW8Num3z1"/>
    <w:qFormat/>
    <w:rsid w:val="00386748"/>
  </w:style>
  <w:style w:type="character" w:customStyle="1" w:styleId="WW8Num5z0">
    <w:name w:val="WW8Num5z0"/>
    <w:qFormat/>
    <w:rsid w:val="00386748"/>
  </w:style>
  <w:style w:type="character" w:customStyle="1" w:styleId="4">
    <w:name w:val="Основной шрифт абзаца4"/>
    <w:qFormat/>
    <w:rsid w:val="00386748"/>
  </w:style>
  <w:style w:type="character" w:customStyle="1" w:styleId="WW8Num4z0">
    <w:name w:val="WW8Num4z0"/>
    <w:qFormat/>
    <w:rsid w:val="00386748"/>
  </w:style>
  <w:style w:type="character" w:customStyle="1" w:styleId="WW8Num5z1">
    <w:name w:val="WW8Num5z1"/>
    <w:qFormat/>
    <w:rsid w:val="00386748"/>
  </w:style>
  <w:style w:type="character" w:customStyle="1" w:styleId="3">
    <w:name w:val="Основной шрифт абзаца3"/>
    <w:qFormat/>
    <w:rsid w:val="00386748"/>
  </w:style>
  <w:style w:type="character" w:customStyle="1" w:styleId="2">
    <w:name w:val="Основной шрифт абзаца2"/>
    <w:qFormat/>
    <w:rsid w:val="00386748"/>
  </w:style>
  <w:style w:type="character" w:customStyle="1" w:styleId="1">
    <w:name w:val="Основной шрифт абзаца1"/>
    <w:qFormat/>
    <w:rsid w:val="00386748"/>
  </w:style>
  <w:style w:type="character" w:styleId="a3">
    <w:name w:val="Strong"/>
    <w:qFormat/>
    <w:rsid w:val="00386748"/>
    <w:rPr>
      <w:b/>
      <w:bCs/>
    </w:rPr>
  </w:style>
  <w:style w:type="character" w:customStyle="1" w:styleId="Bullets">
    <w:name w:val="Bullets"/>
    <w:qFormat/>
    <w:rsid w:val="00386748"/>
    <w:rPr>
      <w:rFonts w:ascii="OpenSymbol" w:eastAsia="OpenSymbol" w:hAnsi="OpenSymbol" w:cs="OpenSymbol"/>
    </w:rPr>
  </w:style>
  <w:style w:type="character" w:customStyle="1" w:styleId="a4">
    <w:name w:val="Символ нумерации"/>
    <w:qFormat/>
    <w:rsid w:val="00386748"/>
  </w:style>
  <w:style w:type="character" w:styleId="a5">
    <w:name w:val="Placeholder Text"/>
    <w:basedOn w:val="a0"/>
    <w:qFormat/>
    <w:rsid w:val="00386748"/>
    <w:rPr>
      <w:color w:val="808080"/>
    </w:rPr>
  </w:style>
  <w:style w:type="character" w:customStyle="1" w:styleId="ListLabel154">
    <w:name w:val="ListLabel 154"/>
    <w:qFormat/>
    <w:rsid w:val="00386748"/>
    <w:rPr>
      <w:rFonts w:cs="Symbol"/>
      <w:strike w:val="0"/>
      <w:dstrike w:val="0"/>
    </w:rPr>
  </w:style>
  <w:style w:type="character" w:customStyle="1" w:styleId="ListLabel155">
    <w:name w:val="ListLabel 155"/>
    <w:qFormat/>
    <w:rsid w:val="00386748"/>
    <w:rPr>
      <w:rFonts w:cs="Courier New"/>
    </w:rPr>
  </w:style>
  <w:style w:type="character" w:customStyle="1" w:styleId="ListLabel156">
    <w:name w:val="ListLabel 156"/>
    <w:qFormat/>
    <w:rsid w:val="00386748"/>
    <w:rPr>
      <w:rFonts w:cs="Wingdings"/>
    </w:rPr>
  </w:style>
  <w:style w:type="character" w:customStyle="1" w:styleId="ListLabel157">
    <w:name w:val="ListLabel 157"/>
    <w:qFormat/>
    <w:rsid w:val="00386748"/>
    <w:rPr>
      <w:rFonts w:cs="Symbol"/>
    </w:rPr>
  </w:style>
  <w:style w:type="character" w:customStyle="1" w:styleId="ListLabel158">
    <w:name w:val="ListLabel 158"/>
    <w:qFormat/>
    <w:rsid w:val="00386748"/>
    <w:rPr>
      <w:rFonts w:cs="Courier New"/>
    </w:rPr>
  </w:style>
  <w:style w:type="character" w:customStyle="1" w:styleId="ListLabel159">
    <w:name w:val="ListLabel 159"/>
    <w:qFormat/>
    <w:rsid w:val="00386748"/>
    <w:rPr>
      <w:rFonts w:cs="Wingdings"/>
    </w:rPr>
  </w:style>
  <w:style w:type="character" w:customStyle="1" w:styleId="ListLabel160">
    <w:name w:val="ListLabel 160"/>
    <w:qFormat/>
    <w:rsid w:val="00386748"/>
    <w:rPr>
      <w:rFonts w:cs="Symbol"/>
    </w:rPr>
  </w:style>
  <w:style w:type="character" w:customStyle="1" w:styleId="ListLabel161">
    <w:name w:val="ListLabel 161"/>
    <w:qFormat/>
    <w:rsid w:val="00386748"/>
    <w:rPr>
      <w:rFonts w:cs="Courier New"/>
    </w:rPr>
  </w:style>
  <w:style w:type="character" w:customStyle="1" w:styleId="ListLabel162">
    <w:name w:val="ListLabel 162"/>
    <w:qFormat/>
    <w:rsid w:val="00386748"/>
    <w:rPr>
      <w:rFonts w:cs="Wingdings"/>
    </w:rPr>
  </w:style>
  <w:style w:type="character" w:customStyle="1" w:styleId="ListLabel163">
    <w:name w:val="ListLabel 163"/>
    <w:qFormat/>
    <w:rsid w:val="00386748"/>
    <w:rPr>
      <w:rFonts w:cs="Symbol"/>
      <w:strike w:val="0"/>
      <w:dstrike w:val="0"/>
    </w:rPr>
  </w:style>
  <w:style w:type="character" w:customStyle="1" w:styleId="ListLabel164">
    <w:name w:val="ListLabel 164"/>
    <w:qFormat/>
    <w:rsid w:val="00386748"/>
    <w:rPr>
      <w:rFonts w:cs="Courier New"/>
    </w:rPr>
  </w:style>
  <w:style w:type="character" w:customStyle="1" w:styleId="ListLabel165">
    <w:name w:val="ListLabel 165"/>
    <w:qFormat/>
    <w:rsid w:val="00386748"/>
    <w:rPr>
      <w:rFonts w:cs="Wingdings"/>
    </w:rPr>
  </w:style>
  <w:style w:type="character" w:customStyle="1" w:styleId="ListLabel166">
    <w:name w:val="ListLabel 166"/>
    <w:qFormat/>
    <w:rsid w:val="00386748"/>
    <w:rPr>
      <w:rFonts w:cs="Symbol"/>
    </w:rPr>
  </w:style>
  <w:style w:type="character" w:customStyle="1" w:styleId="ListLabel167">
    <w:name w:val="ListLabel 167"/>
    <w:qFormat/>
    <w:rsid w:val="00386748"/>
    <w:rPr>
      <w:rFonts w:cs="Courier New"/>
    </w:rPr>
  </w:style>
  <w:style w:type="character" w:customStyle="1" w:styleId="ListLabel168">
    <w:name w:val="ListLabel 168"/>
    <w:qFormat/>
    <w:rsid w:val="00386748"/>
    <w:rPr>
      <w:rFonts w:cs="Wingdings"/>
    </w:rPr>
  </w:style>
  <w:style w:type="character" w:customStyle="1" w:styleId="ListLabel169">
    <w:name w:val="ListLabel 169"/>
    <w:qFormat/>
    <w:rsid w:val="00386748"/>
    <w:rPr>
      <w:rFonts w:cs="Symbol"/>
    </w:rPr>
  </w:style>
  <w:style w:type="character" w:customStyle="1" w:styleId="ListLabel170">
    <w:name w:val="ListLabel 170"/>
    <w:qFormat/>
    <w:rsid w:val="00386748"/>
    <w:rPr>
      <w:rFonts w:cs="Courier New"/>
    </w:rPr>
  </w:style>
  <w:style w:type="character" w:customStyle="1" w:styleId="ListLabel171">
    <w:name w:val="ListLabel 171"/>
    <w:qFormat/>
    <w:rsid w:val="00386748"/>
    <w:rPr>
      <w:rFonts w:cs="Wingdings"/>
    </w:rPr>
  </w:style>
  <w:style w:type="character" w:customStyle="1" w:styleId="ListLabel172">
    <w:name w:val="ListLabel 172"/>
    <w:qFormat/>
    <w:rsid w:val="00386748"/>
    <w:rPr>
      <w:rFonts w:cs="Symbol"/>
      <w:strike w:val="0"/>
      <w:dstrike w:val="0"/>
    </w:rPr>
  </w:style>
  <w:style w:type="character" w:customStyle="1" w:styleId="ListLabel173">
    <w:name w:val="ListLabel 173"/>
    <w:qFormat/>
    <w:rsid w:val="00386748"/>
    <w:rPr>
      <w:rFonts w:cs="Courier New"/>
    </w:rPr>
  </w:style>
  <w:style w:type="character" w:customStyle="1" w:styleId="ListLabel174">
    <w:name w:val="ListLabel 174"/>
    <w:qFormat/>
    <w:rsid w:val="00386748"/>
    <w:rPr>
      <w:rFonts w:cs="Wingdings"/>
    </w:rPr>
  </w:style>
  <w:style w:type="character" w:customStyle="1" w:styleId="ListLabel175">
    <w:name w:val="ListLabel 175"/>
    <w:qFormat/>
    <w:rsid w:val="00386748"/>
    <w:rPr>
      <w:rFonts w:cs="Symbol"/>
    </w:rPr>
  </w:style>
  <w:style w:type="character" w:customStyle="1" w:styleId="ListLabel176">
    <w:name w:val="ListLabel 176"/>
    <w:qFormat/>
    <w:rsid w:val="00386748"/>
    <w:rPr>
      <w:rFonts w:cs="Courier New"/>
    </w:rPr>
  </w:style>
  <w:style w:type="character" w:customStyle="1" w:styleId="ListLabel177">
    <w:name w:val="ListLabel 177"/>
    <w:qFormat/>
    <w:rsid w:val="00386748"/>
    <w:rPr>
      <w:rFonts w:cs="Wingdings"/>
    </w:rPr>
  </w:style>
  <w:style w:type="character" w:customStyle="1" w:styleId="ListLabel178">
    <w:name w:val="ListLabel 178"/>
    <w:qFormat/>
    <w:rsid w:val="00386748"/>
    <w:rPr>
      <w:rFonts w:cs="Symbol"/>
    </w:rPr>
  </w:style>
  <w:style w:type="character" w:customStyle="1" w:styleId="ListLabel179">
    <w:name w:val="ListLabel 179"/>
    <w:qFormat/>
    <w:rsid w:val="00386748"/>
    <w:rPr>
      <w:rFonts w:cs="Courier New"/>
    </w:rPr>
  </w:style>
  <w:style w:type="character" w:customStyle="1" w:styleId="ListLabel180">
    <w:name w:val="ListLabel 180"/>
    <w:qFormat/>
    <w:rsid w:val="00386748"/>
    <w:rPr>
      <w:rFonts w:cs="Wingdings"/>
    </w:rPr>
  </w:style>
  <w:style w:type="character" w:customStyle="1" w:styleId="ListLabel181">
    <w:name w:val="ListLabel 181"/>
    <w:qFormat/>
    <w:rsid w:val="00386748"/>
    <w:rPr>
      <w:rFonts w:cs="Symbol"/>
      <w:strike w:val="0"/>
      <w:dstrike w:val="0"/>
    </w:rPr>
  </w:style>
  <w:style w:type="character" w:customStyle="1" w:styleId="ListLabel182">
    <w:name w:val="ListLabel 182"/>
    <w:qFormat/>
    <w:rsid w:val="00386748"/>
    <w:rPr>
      <w:rFonts w:cs="Courier New"/>
    </w:rPr>
  </w:style>
  <w:style w:type="character" w:customStyle="1" w:styleId="ListLabel183">
    <w:name w:val="ListLabel 183"/>
    <w:qFormat/>
    <w:rsid w:val="00386748"/>
    <w:rPr>
      <w:rFonts w:cs="Wingdings"/>
    </w:rPr>
  </w:style>
  <w:style w:type="character" w:customStyle="1" w:styleId="ListLabel184">
    <w:name w:val="ListLabel 184"/>
    <w:qFormat/>
    <w:rsid w:val="00386748"/>
    <w:rPr>
      <w:rFonts w:cs="Symbol"/>
    </w:rPr>
  </w:style>
  <w:style w:type="character" w:customStyle="1" w:styleId="ListLabel185">
    <w:name w:val="ListLabel 185"/>
    <w:qFormat/>
    <w:rsid w:val="00386748"/>
    <w:rPr>
      <w:rFonts w:cs="Courier New"/>
    </w:rPr>
  </w:style>
  <w:style w:type="character" w:customStyle="1" w:styleId="ListLabel186">
    <w:name w:val="ListLabel 186"/>
    <w:qFormat/>
    <w:rsid w:val="00386748"/>
    <w:rPr>
      <w:rFonts w:cs="Wingdings"/>
    </w:rPr>
  </w:style>
  <w:style w:type="character" w:customStyle="1" w:styleId="ListLabel187">
    <w:name w:val="ListLabel 187"/>
    <w:qFormat/>
    <w:rsid w:val="00386748"/>
    <w:rPr>
      <w:rFonts w:cs="Symbol"/>
    </w:rPr>
  </w:style>
  <w:style w:type="character" w:customStyle="1" w:styleId="ListLabel188">
    <w:name w:val="ListLabel 188"/>
    <w:qFormat/>
    <w:rsid w:val="00386748"/>
    <w:rPr>
      <w:rFonts w:cs="Courier New"/>
    </w:rPr>
  </w:style>
  <w:style w:type="character" w:customStyle="1" w:styleId="ListLabel189">
    <w:name w:val="ListLabel 189"/>
    <w:qFormat/>
    <w:rsid w:val="00386748"/>
    <w:rPr>
      <w:rFonts w:cs="Wingdings"/>
    </w:rPr>
  </w:style>
  <w:style w:type="character" w:customStyle="1" w:styleId="ListLabel190">
    <w:name w:val="ListLabel 190"/>
    <w:qFormat/>
    <w:rsid w:val="00386748"/>
    <w:rPr>
      <w:rFonts w:cs="Symbol"/>
      <w:strike w:val="0"/>
      <w:dstrike w:val="0"/>
    </w:rPr>
  </w:style>
  <w:style w:type="character" w:customStyle="1" w:styleId="ListLabel191">
    <w:name w:val="ListLabel 191"/>
    <w:qFormat/>
    <w:rsid w:val="00386748"/>
    <w:rPr>
      <w:rFonts w:cs="Courier New"/>
    </w:rPr>
  </w:style>
  <w:style w:type="character" w:customStyle="1" w:styleId="ListLabel192">
    <w:name w:val="ListLabel 192"/>
    <w:qFormat/>
    <w:rsid w:val="00386748"/>
    <w:rPr>
      <w:rFonts w:cs="Wingdings"/>
    </w:rPr>
  </w:style>
  <w:style w:type="character" w:customStyle="1" w:styleId="ListLabel193">
    <w:name w:val="ListLabel 193"/>
    <w:qFormat/>
    <w:rsid w:val="00386748"/>
    <w:rPr>
      <w:rFonts w:cs="Symbol"/>
    </w:rPr>
  </w:style>
  <w:style w:type="character" w:customStyle="1" w:styleId="ListLabel194">
    <w:name w:val="ListLabel 194"/>
    <w:qFormat/>
    <w:rsid w:val="00386748"/>
    <w:rPr>
      <w:rFonts w:cs="Courier New"/>
    </w:rPr>
  </w:style>
  <w:style w:type="character" w:customStyle="1" w:styleId="ListLabel195">
    <w:name w:val="ListLabel 195"/>
    <w:qFormat/>
    <w:rsid w:val="00386748"/>
    <w:rPr>
      <w:rFonts w:cs="Wingdings"/>
    </w:rPr>
  </w:style>
  <w:style w:type="character" w:customStyle="1" w:styleId="ListLabel196">
    <w:name w:val="ListLabel 196"/>
    <w:qFormat/>
    <w:rsid w:val="00386748"/>
    <w:rPr>
      <w:rFonts w:cs="Symbol"/>
    </w:rPr>
  </w:style>
  <w:style w:type="character" w:customStyle="1" w:styleId="ListLabel197">
    <w:name w:val="ListLabel 197"/>
    <w:qFormat/>
    <w:rsid w:val="00386748"/>
    <w:rPr>
      <w:rFonts w:cs="Courier New"/>
    </w:rPr>
  </w:style>
  <w:style w:type="character" w:customStyle="1" w:styleId="ListLabel198">
    <w:name w:val="ListLabel 198"/>
    <w:qFormat/>
    <w:rsid w:val="00386748"/>
    <w:rPr>
      <w:rFonts w:cs="Wingdings"/>
    </w:rPr>
  </w:style>
  <w:style w:type="character" w:customStyle="1" w:styleId="a6">
    <w:name w:val="Текст выноски Знак"/>
    <w:basedOn w:val="a0"/>
    <w:qFormat/>
    <w:rsid w:val="00386748"/>
    <w:rPr>
      <w:rFonts w:ascii="Tahoma" w:hAnsi="Tahoma" w:cs="Tahoma"/>
      <w:sz w:val="16"/>
      <w:szCs w:val="16"/>
      <w:lang w:eastAsia="zh-CN"/>
    </w:rPr>
  </w:style>
  <w:style w:type="character" w:customStyle="1" w:styleId="tlid-translation">
    <w:name w:val="tlid-translation"/>
    <w:basedOn w:val="a0"/>
    <w:qFormat/>
    <w:rsid w:val="00386748"/>
  </w:style>
  <w:style w:type="character" w:customStyle="1" w:styleId="-">
    <w:name w:val="Интернет-ссылка"/>
    <w:basedOn w:val="a0"/>
    <w:rsid w:val="00386748"/>
    <w:rPr>
      <w:color w:val="0563C1"/>
      <w:u w:val="single"/>
    </w:rPr>
  </w:style>
  <w:style w:type="character" w:customStyle="1" w:styleId="10">
    <w:name w:val="Заголовок 1 Знак"/>
    <w:basedOn w:val="a0"/>
    <w:qFormat/>
    <w:rsid w:val="00386748"/>
    <w:rPr>
      <w:rFonts w:eastAsia="Times New Roman" w:cs="Times New Roman"/>
      <w:b/>
      <w:bCs/>
      <w:sz w:val="24"/>
      <w:szCs w:val="28"/>
      <w:lang w:eastAsia="zh-CN"/>
    </w:rPr>
  </w:style>
  <w:style w:type="character" w:customStyle="1" w:styleId="20">
    <w:name w:val="Заголовок 2 Знак"/>
    <w:basedOn w:val="a0"/>
    <w:qFormat/>
    <w:rsid w:val="00386748"/>
    <w:rPr>
      <w:rFonts w:eastAsia="Times New Roman" w:cs="Times New Roman"/>
      <w:b/>
      <w:bCs/>
      <w:sz w:val="24"/>
      <w:szCs w:val="26"/>
      <w:lang w:eastAsia="zh-CN"/>
    </w:rPr>
  </w:style>
  <w:style w:type="character" w:customStyle="1" w:styleId="30">
    <w:name w:val="Заголовок 3 Знак"/>
    <w:basedOn w:val="a0"/>
    <w:qFormat/>
    <w:rsid w:val="00386748"/>
    <w:rPr>
      <w:rFonts w:eastAsia="Times New Roman" w:cs="Times New Roman"/>
      <w:b/>
      <w:bCs/>
      <w:sz w:val="24"/>
      <w:lang w:eastAsia="zh-CN"/>
    </w:rPr>
  </w:style>
  <w:style w:type="character" w:customStyle="1" w:styleId="a7">
    <w:name w:val="Верхний колонтитул Знак"/>
    <w:basedOn w:val="a0"/>
    <w:qFormat/>
    <w:rsid w:val="00386748"/>
    <w:rPr>
      <w:lang w:eastAsia="zh-CN"/>
    </w:rPr>
  </w:style>
  <w:style w:type="character" w:customStyle="1" w:styleId="a8">
    <w:name w:val="Нижний колонтитул Знак"/>
    <w:basedOn w:val="a0"/>
    <w:qFormat/>
    <w:rsid w:val="00386748"/>
    <w:rPr>
      <w:lang w:eastAsia="zh-CN"/>
    </w:rPr>
  </w:style>
  <w:style w:type="character" w:customStyle="1" w:styleId="ListLabel199">
    <w:name w:val="ListLabel 199"/>
    <w:qFormat/>
    <w:rsid w:val="00386748"/>
    <w:rPr>
      <w:rFonts w:cs="Symbol"/>
      <w:strike w:val="0"/>
      <w:dstrike w:val="0"/>
    </w:rPr>
  </w:style>
  <w:style w:type="character" w:customStyle="1" w:styleId="ListLabel200">
    <w:name w:val="ListLabel 200"/>
    <w:qFormat/>
    <w:rsid w:val="00386748"/>
    <w:rPr>
      <w:rFonts w:cs="Courier New"/>
    </w:rPr>
  </w:style>
  <w:style w:type="character" w:customStyle="1" w:styleId="ListLabel201">
    <w:name w:val="ListLabel 201"/>
    <w:qFormat/>
    <w:rsid w:val="00386748"/>
    <w:rPr>
      <w:rFonts w:cs="Wingdings"/>
    </w:rPr>
  </w:style>
  <w:style w:type="character" w:customStyle="1" w:styleId="ListLabel202">
    <w:name w:val="ListLabel 202"/>
    <w:qFormat/>
    <w:rsid w:val="00386748"/>
    <w:rPr>
      <w:rFonts w:cs="Symbol"/>
    </w:rPr>
  </w:style>
  <w:style w:type="character" w:customStyle="1" w:styleId="ListLabel203">
    <w:name w:val="ListLabel 203"/>
    <w:qFormat/>
    <w:rsid w:val="00386748"/>
    <w:rPr>
      <w:rFonts w:cs="Courier New"/>
    </w:rPr>
  </w:style>
  <w:style w:type="character" w:customStyle="1" w:styleId="ListLabel204">
    <w:name w:val="ListLabel 204"/>
    <w:qFormat/>
    <w:rsid w:val="00386748"/>
    <w:rPr>
      <w:rFonts w:cs="Wingdings"/>
    </w:rPr>
  </w:style>
  <w:style w:type="character" w:customStyle="1" w:styleId="ListLabel205">
    <w:name w:val="ListLabel 205"/>
    <w:qFormat/>
    <w:rsid w:val="00386748"/>
    <w:rPr>
      <w:rFonts w:cs="Symbol"/>
    </w:rPr>
  </w:style>
  <w:style w:type="character" w:customStyle="1" w:styleId="ListLabel206">
    <w:name w:val="ListLabel 206"/>
    <w:qFormat/>
    <w:rsid w:val="00386748"/>
    <w:rPr>
      <w:rFonts w:cs="Courier New"/>
    </w:rPr>
  </w:style>
  <w:style w:type="character" w:customStyle="1" w:styleId="ListLabel207">
    <w:name w:val="ListLabel 207"/>
    <w:qFormat/>
    <w:rsid w:val="00386748"/>
    <w:rPr>
      <w:rFonts w:cs="Wingdings"/>
    </w:rPr>
  </w:style>
  <w:style w:type="character" w:customStyle="1" w:styleId="ListLabel208">
    <w:name w:val="ListLabel 208"/>
    <w:qFormat/>
    <w:rsid w:val="00386748"/>
    <w:rPr>
      <w:rFonts w:cs="Symbol"/>
      <w:strike w:val="0"/>
      <w:dstrike w:val="0"/>
    </w:rPr>
  </w:style>
  <w:style w:type="character" w:customStyle="1" w:styleId="ListLabel209">
    <w:name w:val="ListLabel 209"/>
    <w:qFormat/>
    <w:rsid w:val="00386748"/>
    <w:rPr>
      <w:rFonts w:cs="Courier New"/>
    </w:rPr>
  </w:style>
  <w:style w:type="character" w:customStyle="1" w:styleId="ListLabel210">
    <w:name w:val="ListLabel 210"/>
    <w:qFormat/>
    <w:rsid w:val="00386748"/>
    <w:rPr>
      <w:rFonts w:cs="Wingdings"/>
    </w:rPr>
  </w:style>
  <w:style w:type="character" w:customStyle="1" w:styleId="ListLabel211">
    <w:name w:val="ListLabel 211"/>
    <w:qFormat/>
    <w:rsid w:val="00386748"/>
    <w:rPr>
      <w:rFonts w:cs="Symbol"/>
    </w:rPr>
  </w:style>
  <w:style w:type="character" w:customStyle="1" w:styleId="ListLabel212">
    <w:name w:val="ListLabel 212"/>
    <w:qFormat/>
    <w:rsid w:val="00386748"/>
    <w:rPr>
      <w:rFonts w:cs="Courier New"/>
    </w:rPr>
  </w:style>
  <w:style w:type="character" w:customStyle="1" w:styleId="ListLabel213">
    <w:name w:val="ListLabel 213"/>
    <w:qFormat/>
    <w:rsid w:val="00386748"/>
    <w:rPr>
      <w:rFonts w:cs="Wingdings"/>
    </w:rPr>
  </w:style>
  <w:style w:type="character" w:customStyle="1" w:styleId="ListLabel214">
    <w:name w:val="ListLabel 214"/>
    <w:qFormat/>
    <w:rsid w:val="00386748"/>
    <w:rPr>
      <w:rFonts w:cs="Symbol"/>
    </w:rPr>
  </w:style>
  <w:style w:type="character" w:customStyle="1" w:styleId="ListLabel215">
    <w:name w:val="ListLabel 215"/>
    <w:qFormat/>
    <w:rsid w:val="00386748"/>
    <w:rPr>
      <w:rFonts w:cs="Courier New"/>
    </w:rPr>
  </w:style>
  <w:style w:type="character" w:customStyle="1" w:styleId="ListLabel216">
    <w:name w:val="ListLabel 216"/>
    <w:qFormat/>
    <w:rsid w:val="00386748"/>
    <w:rPr>
      <w:rFonts w:cs="Wingdings"/>
    </w:rPr>
  </w:style>
  <w:style w:type="character" w:customStyle="1" w:styleId="ListLabel217">
    <w:name w:val="ListLabel 217"/>
    <w:qFormat/>
    <w:rsid w:val="00386748"/>
    <w:rPr>
      <w:color w:val="auto"/>
      <w:sz w:val="24"/>
      <w:szCs w:val="24"/>
    </w:rPr>
  </w:style>
  <w:style w:type="character" w:customStyle="1" w:styleId="ListLabel218">
    <w:name w:val="ListLabel 218"/>
    <w:qFormat/>
    <w:rsid w:val="00386748"/>
    <w:rPr>
      <w:rFonts w:eastAsia="OpenSymbol"/>
      <w:i/>
      <w:iCs/>
      <w:sz w:val="24"/>
      <w:szCs w:val="24"/>
      <w:lang w:val="en-US"/>
    </w:rPr>
  </w:style>
  <w:style w:type="character" w:customStyle="1" w:styleId="ListLabel219">
    <w:name w:val="ListLabel 219"/>
    <w:qFormat/>
    <w:rsid w:val="00386748"/>
    <w:rPr>
      <w:rFonts w:eastAsia="OpenSymbol"/>
      <w:sz w:val="24"/>
      <w:szCs w:val="24"/>
      <w:lang w:val="en-US"/>
    </w:rPr>
  </w:style>
  <w:style w:type="character" w:customStyle="1" w:styleId="a9">
    <w:name w:val="Ссылка указателя"/>
    <w:qFormat/>
    <w:rsid w:val="00386748"/>
  </w:style>
  <w:style w:type="paragraph" w:customStyle="1" w:styleId="aa">
    <w:name w:val="Заголовок"/>
    <w:basedOn w:val="a"/>
    <w:next w:val="ab"/>
    <w:qFormat/>
    <w:rsid w:val="00386748"/>
    <w:pPr>
      <w:keepNext/>
      <w:spacing w:before="240" w:after="120" w:line="259" w:lineRule="auto"/>
    </w:pPr>
    <w:rPr>
      <w:rFonts w:ascii="Liberation Sans" w:eastAsia="Roboto" w:hAnsi="Liberation Sans" w:cs="Roboto"/>
      <w:sz w:val="28"/>
      <w:szCs w:val="28"/>
      <w:lang w:eastAsia="en-US"/>
    </w:rPr>
  </w:style>
  <w:style w:type="paragraph" w:styleId="ab">
    <w:name w:val="Body Text"/>
    <w:basedOn w:val="a"/>
    <w:rsid w:val="00386748"/>
    <w:pPr>
      <w:spacing w:after="140" w:line="276" w:lineRule="auto"/>
    </w:pPr>
  </w:style>
  <w:style w:type="paragraph" w:styleId="ac">
    <w:name w:val="List"/>
    <w:basedOn w:val="ab"/>
    <w:rsid w:val="00386748"/>
    <w:rPr>
      <w:rFonts w:cs="Droid Sans Devanagari"/>
    </w:rPr>
  </w:style>
  <w:style w:type="paragraph" w:customStyle="1" w:styleId="Caption">
    <w:name w:val="Caption"/>
    <w:basedOn w:val="a"/>
    <w:qFormat/>
    <w:rsid w:val="00386748"/>
    <w:pPr>
      <w:suppressLineNumbers/>
      <w:spacing w:before="120" w:after="120"/>
    </w:pPr>
    <w:rPr>
      <w:rFonts w:cs="Lohit Devanagari"/>
      <w:i/>
      <w:iCs/>
      <w:sz w:val="24"/>
      <w:szCs w:val="24"/>
    </w:rPr>
  </w:style>
  <w:style w:type="paragraph" w:styleId="ad">
    <w:name w:val="index heading"/>
    <w:basedOn w:val="a"/>
    <w:qFormat/>
    <w:rsid w:val="00386748"/>
    <w:pPr>
      <w:suppressLineNumbers/>
      <w:spacing w:after="160" w:line="259" w:lineRule="auto"/>
    </w:pPr>
    <w:rPr>
      <w:rFonts w:ascii="Calibri" w:eastAsia="Calibri" w:hAnsi="Calibri"/>
      <w:sz w:val="24"/>
      <w:szCs w:val="24"/>
      <w:lang w:eastAsia="en-US"/>
    </w:rPr>
  </w:style>
  <w:style w:type="paragraph" w:customStyle="1" w:styleId="11">
    <w:name w:val="Указатель1"/>
    <w:basedOn w:val="a"/>
    <w:qFormat/>
    <w:rsid w:val="00386748"/>
    <w:pPr>
      <w:suppressLineNumbers/>
    </w:pPr>
    <w:rPr>
      <w:rFonts w:cs="Droid Sans Devanagari"/>
    </w:rPr>
  </w:style>
  <w:style w:type="paragraph" w:styleId="ae">
    <w:name w:val="caption"/>
    <w:basedOn w:val="a"/>
    <w:qFormat/>
    <w:rsid w:val="00386748"/>
    <w:pPr>
      <w:suppressLineNumbers/>
      <w:spacing w:before="120" w:after="120"/>
    </w:pPr>
    <w:rPr>
      <w:rFonts w:ascii="Calibri" w:hAnsi="Calibri" w:cs="Calibri"/>
      <w:i/>
      <w:iCs/>
      <w:sz w:val="24"/>
      <w:szCs w:val="24"/>
    </w:rPr>
  </w:style>
  <w:style w:type="paragraph" w:customStyle="1" w:styleId="40">
    <w:name w:val="Название объекта4"/>
    <w:basedOn w:val="a"/>
    <w:qFormat/>
    <w:rsid w:val="00386748"/>
    <w:pPr>
      <w:suppressLineNumbers/>
      <w:spacing w:before="120" w:after="120"/>
    </w:pPr>
    <w:rPr>
      <w:rFonts w:ascii="Calibri" w:hAnsi="Calibri" w:cs="Calibri"/>
      <w:i/>
      <w:iCs/>
      <w:sz w:val="24"/>
      <w:szCs w:val="24"/>
    </w:rPr>
  </w:style>
  <w:style w:type="paragraph" w:customStyle="1" w:styleId="31">
    <w:name w:val="Название объекта3"/>
    <w:basedOn w:val="a"/>
    <w:qFormat/>
    <w:rsid w:val="00386748"/>
    <w:pPr>
      <w:suppressLineNumbers/>
      <w:spacing w:before="120" w:after="120"/>
    </w:pPr>
    <w:rPr>
      <w:rFonts w:ascii="Calibri" w:hAnsi="Calibri" w:cs="Calibri"/>
      <w:i/>
      <w:iCs/>
      <w:sz w:val="24"/>
      <w:szCs w:val="24"/>
    </w:rPr>
  </w:style>
  <w:style w:type="paragraph" w:customStyle="1" w:styleId="21">
    <w:name w:val="Название объекта2"/>
    <w:basedOn w:val="a"/>
    <w:qFormat/>
    <w:rsid w:val="00386748"/>
    <w:pPr>
      <w:suppressLineNumbers/>
      <w:spacing w:before="120" w:after="120"/>
    </w:pPr>
    <w:rPr>
      <w:rFonts w:ascii="Calibri" w:hAnsi="Calibri" w:cs="Calibri"/>
      <w:i/>
      <w:iCs/>
      <w:sz w:val="24"/>
      <w:szCs w:val="24"/>
    </w:rPr>
  </w:style>
  <w:style w:type="paragraph" w:customStyle="1" w:styleId="12">
    <w:name w:val="Название объекта1"/>
    <w:basedOn w:val="a"/>
    <w:qFormat/>
    <w:rsid w:val="00386748"/>
    <w:pPr>
      <w:suppressLineNumbers/>
      <w:spacing w:before="120" w:after="120"/>
    </w:pPr>
    <w:rPr>
      <w:rFonts w:cs="Droid Sans Devanagari"/>
      <w:i/>
      <w:iCs/>
      <w:sz w:val="24"/>
      <w:szCs w:val="24"/>
    </w:rPr>
  </w:style>
  <w:style w:type="paragraph" w:customStyle="1" w:styleId="13">
    <w:name w:val="Обычный (веб)1"/>
    <w:basedOn w:val="a"/>
    <w:qFormat/>
    <w:rsid w:val="00386748"/>
    <w:pPr>
      <w:spacing w:before="100" w:after="100"/>
    </w:pPr>
    <w:rPr>
      <w:sz w:val="24"/>
      <w:szCs w:val="24"/>
    </w:rPr>
  </w:style>
  <w:style w:type="paragraph" w:customStyle="1" w:styleId="af">
    <w:name w:val="Содержимое таблицы"/>
    <w:basedOn w:val="a"/>
    <w:qFormat/>
    <w:rsid w:val="00386748"/>
    <w:pPr>
      <w:widowControl w:val="0"/>
      <w:suppressLineNumbers/>
      <w:spacing w:after="160" w:line="259" w:lineRule="auto"/>
    </w:pPr>
    <w:rPr>
      <w:rFonts w:eastAsia="Calibri"/>
      <w:sz w:val="24"/>
      <w:szCs w:val="24"/>
      <w:lang w:eastAsia="en-US"/>
    </w:rPr>
  </w:style>
  <w:style w:type="paragraph" w:customStyle="1" w:styleId="af0">
    <w:name w:val="Заголовок таблицы"/>
    <w:basedOn w:val="af"/>
    <w:qFormat/>
    <w:rsid w:val="00386748"/>
    <w:pPr>
      <w:jc w:val="center"/>
    </w:pPr>
    <w:rPr>
      <w:b/>
      <w:bCs/>
    </w:rPr>
  </w:style>
  <w:style w:type="paragraph" w:styleId="af1">
    <w:name w:val="List Paragraph"/>
    <w:basedOn w:val="a"/>
    <w:uiPriority w:val="34"/>
    <w:qFormat/>
    <w:rsid w:val="00386748"/>
    <w:pPr>
      <w:suppressAutoHyphens w:val="0"/>
      <w:spacing w:after="160" w:line="252" w:lineRule="auto"/>
      <w:ind w:left="720"/>
      <w:contextualSpacing/>
    </w:pPr>
    <w:rPr>
      <w:rFonts w:eastAsia="Calibri"/>
      <w:sz w:val="24"/>
      <w:szCs w:val="24"/>
    </w:rPr>
  </w:style>
  <w:style w:type="paragraph" w:styleId="af2">
    <w:name w:val="Balloon Text"/>
    <w:basedOn w:val="a"/>
    <w:qFormat/>
    <w:rsid w:val="00386748"/>
    <w:rPr>
      <w:rFonts w:ascii="Tahoma" w:hAnsi="Tahoma" w:cs="Tahoma"/>
      <w:sz w:val="16"/>
      <w:szCs w:val="16"/>
    </w:rPr>
  </w:style>
  <w:style w:type="paragraph" w:styleId="af3">
    <w:name w:val="TOC Heading"/>
    <w:basedOn w:val="Heading1"/>
    <w:qFormat/>
    <w:rsid w:val="00386748"/>
    <w:pPr>
      <w:suppressAutoHyphens w:val="0"/>
      <w:spacing w:line="276" w:lineRule="auto"/>
    </w:pPr>
    <w:rPr>
      <w:lang w:eastAsia="en-US"/>
    </w:rPr>
  </w:style>
  <w:style w:type="paragraph" w:customStyle="1" w:styleId="TOC1">
    <w:name w:val="TOC 1"/>
    <w:basedOn w:val="a"/>
    <w:autoRedefine/>
    <w:rsid w:val="00386748"/>
    <w:pPr>
      <w:spacing w:after="100"/>
    </w:pPr>
  </w:style>
  <w:style w:type="paragraph" w:customStyle="1" w:styleId="TOC2">
    <w:name w:val="TOC 2"/>
    <w:basedOn w:val="a"/>
    <w:autoRedefine/>
    <w:rsid w:val="00386748"/>
    <w:pPr>
      <w:spacing w:after="100"/>
      <w:ind w:left="200"/>
    </w:pPr>
  </w:style>
  <w:style w:type="paragraph" w:customStyle="1" w:styleId="TOC3">
    <w:name w:val="TOC 3"/>
    <w:basedOn w:val="a"/>
    <w:autoRedefine/>
    <w:rsid w:val="00386748"/>
    <w:pPr>
      <w:spacing w:after="100"/>
      <w:ind w:left="400"/>
    </w:pPr>
  </w:style>
  <w:style w:type="paragraph" w:customStyle="1" w:styleId="Header">
    <w:name w:val="Header"/>
    <w:basedOn w:val="a"/>
    <w:rsid w:val="00386748"/>
    <w:pPr>
      <w:tabs>
        <w:tab w:val="center" w:pos="4677"/>
        <w:tab w:val="right" w:pos="9355"/>
      </w:tabs>
    </w:pPr>
  </w:style>
  <w:style w:type="paragraph" w:customStyle="1" w:styleId="Footer">
    <w:name w:val="Footer"/>
    <w:basedOn w:val="a"/>
    <w:rsid w:val="00386748"/>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istina.msu.ru/journals/7278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dx.doi.org/10.1134/s10637761220401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5908</Words>
  <Characters>33682</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Форма № 21</vt:lpstr>
    </vt:vector>
  </TitlesOfParts>
  <Company/>
  <LinksUpToDate>false</LinksUpToDate>
  <CharactersWithSpaces>39511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21</dc:title>
  <dc:creator>Галя Афанасьева</dc:creator>
  <cp:lastModifiedBy>Александр Блинов</cp:lastModifiedBy>
  <cp:revision>7</cp:revision>
  <cp:lastPrinted>2023-01-25T11:39:00Z</cp:lastPrinted>
  <dcterms:created xsi:type="dcterms:W3CDTF">2023-05-03T12:20:00Z</dcterms:created>
  <dcterms:modified xsi:type="dcterms:W3CDTF">2023-05-03T12:46:00Z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