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CC6" w:rsidRPr="00095299" w:rsidRDefault="00977964">
      <w:pPr>
        <w:spacing w:line="288" w:lineRule="auto"/>
        <w:jc w:val="center"/>
        <w:rPr>
          <w:rFonts w:eastAsia="MS Mincho"/>
          <w:b/>
          <w:lang w:eastAsia="ja-JP"/>
        </w:rPr>
      </w:pPr>
      <w:r w:rsidRPr="00095299">
        <w:rPr>
          <w:rFonts w:eastAsia="MS Mincho"/>
          <w:b/>
          <w:lang w:eastAsia="ja-JP"/>
        </w:rPr>
        <w:t>ОТЧЕТ</w:t>
      </w:r>
    </w:p>
    <w:p w:rsidR="008B4CC6" w:rsidRPr="00095299" w:rsidRDefault="00977964">
      <w:pPr>
        <w:spacing w:line="288" w:lineRule="auto"/>
        <w:jc w:val="center"/>
        <w:rPr>
          <w:rFonts w:eastAsia="MS Mincho"/>
          <w:b/>
          <w:lang w:eastAsia="ja-JP"/>
        </w:rPr>
      </w:pPr>
      <w:r w:rsidRPr="00095299">
        <w:rPr>
          <w:rFonts w:eastAsia="MS Mincho"/>
          <w:b/>
          <w:lang w:eastAsia="ja-JP"/>
        </w:rPr>
        <w:t xml:space="preserve">по научно-исследовательскому проекту </w:t>
      </w:r>
    </w:p>
    <w:p w:rsidR="008B4CC6" w:rsidRPr="00095299" w:rsidRDefault="00977964">
      <w:pPr>
        <w:spacing w:line="288" w:lineRule="auto"/>
        <w:jc w:val="center"/>
        <w:rPr>
          <w:rFonts w:eastAsia="MS Mincho"/>
          <w:b/>
          <w:lang w:eastAsia="ja-JP"/>
        </w:rPr>
      </w:pPr>
      <w:r w:rsidRPr="00095299">
        <w:rPr>
          <w:rFonts w:eastAsia="MS Mincho"/>
          <w:b/>
          <w:lang w:val="en-US" w:eastAsia="ja-JP"/>
        </w:rPr>
        <w:t>TANGRA</w:t>
      </w:r>
      <w:r w:rsidRPr="00095299">
        <w:rPr>
          <w:rFonts w:eastAsia="MS Mincho"/>
          <w:b/>
          <w:lang w:eastAsia="ja-JP"/>
        </w:rPr>
        <w:t xml:space="preserve"> (</w:t>
      </w:r>
      <w:r w:rsidRPr="00095299">
        <w:rPr>
          <w:rFonts w:eastAsia="MS Mincho"/>
          <w:b/>
          <w:lang w:val="en-US" w:eastAsia="ja-JP"/>
        </w:rPr>
        <w:t>Tagged</w:t>
      </w:r>
      <w:r w:rsidRPr="00095299">
        <w:rPr>
          <w:rFonts w:eastAsia="MS Mincho"/>
          <w:b/>
          <w:lang w:eastAsia="ja-JP"/>
        </w:rPr>
        <w:t xml:space="preserve"> </w:t>
      </w:r>
      <w:r w:rsidRPr="00095299">
        <w:rPr>
          <w:rFonts w:eastAsia="MS Mincho"/>
          <w:b/>
          <w:lang w:val="en-US" w:eastAsia="ja-JP"/>
        </w:rPr>
        <w:t>Neutrons</w:t>
      </w:r>
      <w:r w:rsidRPr="00095299">
        <w:rPr>
          <w:rFonts w:eastAsia="MS Mincho"/>
          <w:b/>
          <w:lang w:eastAsia="ja-JP"/>
        </w:rPr>
        <w:t xml:space="preserve"> </w:t>
      </w:r>
      <w:r w:rsidRPr="00095299">
        <w:rPr>
          <w:rFonts w:eastAsia="MS Mincho"/>
          <w:b/>
          <w:lang w:val="en-US" w:eastAsia="ja-JP"/>
        </w:rPr>
        <w:t>and</w:t>
      </w:r>
      <w:r w:rsidRPr="00095299">
        <w:rPr>
          <w:rFonts w:eastAsia="MS Mincho"/>
          <w:b/>
          <w:lang w:eastAsia="ja-JP"/>
        </w:rPr>
        <w:t xml:space="preserve"> </w:t>
      </w:r>
      <w:r w:rsidRPr="00095299">
        <w:rPr>
          <w:rFonts w:eastAsia="MS Mincho"/>
          <w:b/>
          <w:lang w:val="en-US" w:eastAsia="ja-JP"/>
        </w:rPr>
        <w:t>Gamma</w:t>
      </w:r>
      <w:r w:rsidRPr="00095299">
        <w:rPr>
          <w:rFonts w:eastAsia="MS Mincho"/>
          <w:b/>
          <w:lang w:eastAsia="ja-JP"/>
        </w:rPr>
        <w:t xml:space="preserve"> </w:t>
      </w:r>
      <w:r w:rsidRPr="00095299">
        <w:rPr>
          <w:rFonts w:eastAsia="MS Mincho"/>
          <w:b/>
          <w:lang w:val="en-US" w:eastAsia="ja-JP"/>
        </w:rPr>
        <w:t>Rays</w:t>
      </w:r>
      <w:r w:rsidRPr="00095299">
        <w:rPr>
          <w:rFonts w:eastAsia="MS Mincho"/>
          <w:b/>
          <w:lang w:eastAsia="ja-JP"/>
        </w:rPr>
        <w:t>)</w:t>
      </w:r>
    </w:p>
    <w:p w:rsidR="008B4CC6" w:rsidRPr="00095299" w:rsidRDefault="00977964">
      <w:pPr>
        <w:spacing w:line="288" w:lineRule="auto"/>
        <w:jc w:val="center"/>
        <w:rPr>
          <w:rFonts w:eastAsia="MS Mincho"/>
          <w:b/>
          <w:lang w:eastAsia="ja-JP"/>
        </w:rPr>
      </w:pPr>
      <w:r w:rsidRPr="00095299">
        <w:rPr>
          <w:rFonts w:eastAsia="MS Mincho"/>
          <w:b/>
          <w:lang w:eastAsia="ja-JP"/>
        </w:rPr>
        <w:t>«Разработка и развитие метода меченых нейтронов для определения элементной структуры вещества и изучения ядерных реакций»</w:t>
      </w:r>
    </w:p>
    <w:p w:rsidR="008B4CC6" w:rsidRPr="00095299" w:rsidRDefault="00977964">
      <w:pPr>
        <w:spacing w:line="288" w:lineRule="auto"/>
        <w:jc w:val="center"/>
        <w:rPr>
          <w:rFonts w:eastAsia="MS Mincho"/>
          <w:b/>
          <w:lang w:eastAsia="ja-JP"/>
        </w:rPr>
      </w:pPr>
      <w:r w:rsidRPr="00095299">
        <w:rPr>
          <w:rFonts w:eastAsia="MS Mincho"/>
          <w:b/>
          <w:lang w:eastAsia="ja-JP"/>
        </w:rPr>
        <w:t>за 2022-2023 гг.</w:t>
      </w:r>
    </w:p>
    <w:p w:rsidR="008B4CC6" w:rsidRPr="00095299" w:rsidRDefault="008B4CC6">
      <w:pPr>
        <w:spacing w:line="288" w:lineRule="auto"/>
        <w:ind w:firstLine="706"/>
        <w:rPr>
          <w:rFonts w:eastAsia="MS Mincho"/>
          <w:b/>
          <w:lang w:eastAsia="ja-JP"/>
        </w:rPr>
      </w:pPr>
    </w:p>
    <w:p w:rsidR="008B4CC6" w:rsidRPr="00095299" w:rsidRDefault="00977964">
      <w:pPr>
        <w:spacing w:line="288" w:lineRule="auto"/>
        <w:ind w:firstLine="706"/>
        <w:rPr>
          <w:rFonts w:eastAsia="MS Mincho"/>
          <w:lang w:eastAsia="ja-JP"/>
        </w:rPr>
      </w:pPr>
      <w:r w:rsidRPr="00095299">
        <w:rPr>
          <w:rFonts w:eastAsia="MS Mincho"/>
          <w:b/>
          <w:lang w:eastAsia="ja-JP"/>
        </w:rPr>
        <w:t>Тема:</w:t>
      </w:r>
      <w:r w:rsidRPr="00095299">
        <w:rPr>
          <w:rFonts w:eastAsia="MS Mincho"/>
          <w:lang w:eastAsia="ja-JP"/>
        </w:rPr>
        <w:t xml:space="preserve"> «Исследования взаимодействия нейтронов с ядрами и свойств нейтрона»</w:t>
      </w:r>
    </w:p>
    <w:p w:rsidR="008B4CC6" w:rsidRPr="00095299" w:rsidRDefault="00977964">
      <w:pPr>
        <w:spacing w:line="288" w:lineRule="auto"/>
        <w:ind w:firstLine="706"/>
        <w:rPr>
          <w:rFonts w:eastAsia="MS Mincho"/>
          <w:lang w:eastAsia="ja-JP"/>
        </w:rPr>
      </w:pPr>
      <w:r w:rsidRPr="00095299">
        <w:rPr>
          <w:rFonts w:eastAsia="MS Mincho"/>
          <w:b/>
          <w:lang w:eastAsia="ja-JP"/>
        </w:rPr>
        <w:t>Шифр темы:</w:t>
      </w:r>
      <w:r w:rsidRPr="00095299">
        <w:rPr>
          <w:rFonts w:eastAsia="MS Mincho"/>
          <w:lang w:eastAsia="ja-JP"/>
        </w:rPr>
        <w:t xml:space="preserve"> 03-4-1128-2017/2022</w:t>
      </w:r>
    </w:p>
    <w:p w:rsidR="008B4CC6" w:rsidRPr="00095299" w:rsidRDefault="00977964">
      <w:pPr>
        <w:spacing w:line="288" w:lineRule="auto"/>
        <w:ind w:firstLine="706"/>
        <w:rPr>
          <w:rFonts w:eastAsia="MS Mincho"/>
          <w:lang w:eastAsia="ja-JP"/>
        </w:rPr>
      </w:pPr>
      <w:r w:rsidRPr="00095299">
        <w:rPr>
          <w:rFonts w:eastAsia="MS Mincho"/>
          <w:b/>
          <w:lang w:eastAsia="ja-JP"/>
        </w:rPr>
        <w:t>Руководитель проекта:</w:t>
      </w:r>
      <w:r w:rsidRPr="00095299">
        <w:rPr>
          <w:rFonts w:eastAsia="MS Mincho"/>
          <w:lang w:eastAsia="ja-JP"/>
        </w:rPr>
        <w:t xml:space="preserve"> Копач Ю.Н.</w:t>
      </w:r>
    </w:p>
    <w:p w:rsidR="008B4CC6" w:rsidRPr="00095299" w:rsidRDefault="00977964">
      <w:pPr>
        <w:spacing w:line="288" w:lineRule="auto"/>
        <w:ind w:firstLine="706"/>
        <w:rPr>
          <w:rFonts w:eastAsia="MS Mincho"/>
          <w:lang w:eastAsia="ja-JP"/>
        </w:rPr>
      </w:pPr>
      <w:r w:rsidRPr="00095299">
        <w:rPr>
          <w:rFonts w:eastAsia="MS Mincho"/>
          <w:b/>
          <w:lang w:eastAsia="ja-JP"/>
        </w:rPr>
        <w:t>Координатор:</w:t>
      </w:r>
      <w:r w:rsidRPr="00095299">
        <w:rPr>
          <w:rFonts w:eastAsia="MS Mincho"/>
          <w:lang w:eastAsia="ja-JP"/>
        </w:rPr>
        <w:t xml:space="preserve"> Русков И.Н.</w:t>
      </w:r>
    </w:p>
    <w:p w:rsidR="008B4CC6" w:rsidRPr="00095299" w:rsidRDefault="008B4CC6">
      <w:pPr>
        <w:spacing w:line="288" w:lineRule="auto"/>
        <w:ind w:firstLine="706"/>
        <w:rPr>
          <w:rFonts w:eastAsia="MS Mincho"/>
          <w:lang w:eastAsia="ja-JP"/>
        </w:rPr>
      </w:pPr>
    </w:p>
    <w:p w:rsidR="008B4CC6" w:rsidRPr="00095299" w:rsidRDefault="00977964">
      <w:pPr>
        <w:spacing w:line="288" w:lineRule="auto"/>
        <w:ind w:firstLine="360"/>
        <w:jc w:val="both"/>
      </w:pPr>
      <w:r w:rsidRPr="00095299">
        <w:t xml:space="preserve">В 2022 и начале 2023 года основные усилия коллаборации TANGRA были сосредоточены на подготовке и выполнении эксперимента по исследованию рассеяния нейтронов на ядрах углерода. Анализ данных предыдущего эксперимента показал принципиальную возможность выполнения измерений угловых распределений упруго -и неупруго рассеянных нейтронов с использованием стандартной для проекта конфигурации установки. </w:t>
      </w:r>
    </w:p>
    <w:p w:rsidR="008B4CC6" w:rsidRPr="00095299" w:rsidRDefault="00977964">
      <w:pPr>
        <w:spacing w:line="288" w:lineRule="auto"/>
        <w:ind w:firstLine="360"/>
        <w:jc w:val="both"/>
      </w:pPr>
      <w:r w:rsidRPr="00095299">
        <w:t>Другими направлениями работ были:</w:t>
      </w:r>
    </w:p>
    <w:p w:rsidR="008B4CC6" w:rsidRPr="00095299" w:rsidRDefault="00977964">
      <w:pPr>
        <w:spacing w:line="288" w:lineRule="auto"/>
        <w:ind w:firstLine="360"/>
        <w:jc w:val="both"/>
      </w:pPr>
      <w:r w:rsidRPr="00095299">
        <w:t>1) разработка метода определения концентрации углерода в почвах</w:t>
      </w:r>
    </w:p>
    <w:p w:rsidR="008B4CC6" w:rsidRPr="00095299" w:rsidRDefault="00977964">
      <w:pPr>
        <w:spacing w:line="288" w:lineRule="auto"/>
        <w:ind w:firstLine="360"/>
        <w:jc w:val="both"/>
      </w:pPr>
      <w:r w:rsidRPr="00095299">
        <w:t xml:space="preserve">2) продолжение анализа накопленных ранее данных по выходам и угловым </w:t>
      </w:r>
      <w:r w:rsidRPr="00095299">
        <w:tab/>
        <w:t>распределениям γ-квантов, испускаемых в ходе нейтрон-ядерных реакций</w:t>
      </w:r>
    </w:p>
    <w:p w:rsidR="008B4CC6" w:rsidRPr="00095299" w:rsidRDefault="00977964">
      <w:pPr>
        <w:spacing w:line="288" w:lineRule="auto"/>
        <w:ind w:firstLine="360"/>
        <w:jc w:val="both"/>
      </w:pPr>
      <w:r w:rsidRPr="00095299">
        <w:t xml:space="preserve">3) развитие библиотеки TalysLib для упрощения доступа к экспериментальным и </w:t>
      </w:r>
      <w:r w:rsidRPr="00095299">
        <w:tab/>
        <w:t xml:space="preserve">оцененным данным, а также результатам теоретического расчета параметров ядерных </w:t>
      </w:r>
      <w:r w:rsidRPr="00095299">
        <w:tab/>
        <w:t>реакций.</w:t>
      </w:r>
    </w:p>
    <w:p w:rsidR="008B4CC6" w:rsidRPr="00095299" w:rsidRDefault="00977964">
      <w:pPr>
        <w:spacing w:line="288" w:lineRule="auto"/>
        <w:ind w:firstLine="360"/>
        <w:jc w:val="both"/>
      </w:pPr>
      <w:r w:rsidRPr="00095299">
        <w:t xml:space="preserve">Источником нейтронов, использующимся в экспериментах коллаборации TANGRA, является нейтронный генератор ИНГ-27 непрерывного действия, серийно производимый во Всероссийском научно-исследовательский институте автоматики им. Н.Л. Духова (ФГУП «ВНИИА»). Основным элементом конструкции нейтронного генератора является отпаянная необслуживаемая нейтронная трубка, представляющая из себя компактный ускоритель дейтронов, мишень, состоящую из гидрида титана, обогащенную тритием и </w:t>
      </w:r>
      <w:proofErr w:type="gramStart"/>
      <w:r w:rsidRPr="00095299">
        <w:t>α-</w:t>
      </w:r>
      <w:proofErr w:type="gramEnd"/>
      <w:r w:rsidRPr="00095299">
        <w:t>детектор, совмещенные в одном герметичном металло-стеклянном или металло-керамическом корпусе. Генерация нейтронов происходит в результате реакции слияния дейтронов и тритонов, из-за чего происходит излучение нейтронов и α-частиц. Регистрация α-частиц позиционно-чувствительным детектором позволяет оценить направление излучения нейтрона, получить временную привязку к моменту его рождения, то есть, «пометить» его.</w:t>
      </w:r>
    </w:p>
    <w:p w:rsidR="008B4CC6" w:rsidRPr="00095299" w:rsidRDefault="00977964">
      <w:pPr>
        <w:spacing w:line="288" w:lineRule="auto"/>
        <w:ind w:left="1068"/>
        <w:jc w:val="both"/>
        <w:rPr>
          <w:b/>
        </w:rPr>
      </w:pPr>
      <w:r w:rsidRPr="00095299">
        <w:rPr>
          <w:b/>
          <w:i/>
        </w:rPr>
        <w:t>1.</w:t>
      </w:r>
      <w:r w:rsidRPr="00095299">
        <w:rPr>
          <w:b/>
          <w:i/>
        </w:rPr>
        <w:tab/>
        <w:t>Измерение угловых распределений рассеянных нейтронов на углероде</w:t>
      </w:r>
    </w:p>
    <w:p w:rsidR="008B4CC6" w:rsidRPr="00095299" w:rsidRDefault="00977964">
      <w:pPr>
        <w:spacing w:line="288" w:lineRule="auto"/>
        <w:ind w:firstLine="567"/>
        <w:jc w:val="both"/>
      </w:pPr>
      <w:r w:rsidRPr="00095299">
        <w:rPr>
          <w:rFonts w:eastAsia="WenQuanYi Micro Hei"/>
          <w:color w:val="00000A"/>
          <w:lang w:eastAsia="zh-CN" w:bidi="hi-IN"/>
        </w:rPr>
        <w:t xml:space="preserve">В 2021 году впервые в рамках проекта TANGRA был проведен эксперимент по измерению угловых распределений упруго и неупруго рассеянных нейтронов. Схема экспериментальной установки показана на Рис. 5. В качестве мишени использовался наборный блок из графитовых пластин </w:t>
      </w:r>
      <w:r w:rsidRPr="00095299">
        <w:rPr>
          <w:rFonts w:eastAsia="WenQuanYi Micro Hei"/>
          <w:color w:val="000000"/>
          <w:lang w:eastAsia="zh-CN" w:bidi="hi-IN"/>
        </w:rPr>
        <w:t>размером 44 × 44 × 2 см. Большая площадь образца была продиктована желанием использовать все меченые пучки нейтронов при размещении мишени на расстоянии 50 см от генератора. Время измерения составило 22.6 часов. Также было проведено измерение без образца в течение 8 часов.</w:t>
      </w:r>
    </w:p>
    <w:p w:rsidR="008B4CC6" w:rsidRPr="00095299" w:rsidRDefault="00977964">
      <w:pPr>
        <w:spacing w:line="288" w:lineRule="auto"/>
        <w:ind w:firstLine="567"/>
        <w:jc w:val="both"/>
        <w:rPr>
          <w:rFonts w:eastAsia="WenQuanYi Micro Hei"/>
          <w:color w:val="000000"/>
        </w:rPr>
      </w:pPr>
      <w:r w:rsidRPr="00095299">
        <w:rPr>
          <w:noProof/>
        </w:rPr>
        <w:lastRenderedPageBreak/>
        <w:drawing>
          <wp:inline distT="0" distB="0" distL="0" distR="0">
            <wp:extent cx="2505075" cy="2476500"/>
            <wp:effectExtent l="0" t="0" r="0" b="0"/>
            <wp:docPr id="1" name="Image1" descr="Z:\home\ilya\server\RAID1\Publications\2021\ИЗВЕСТИЯ РАН. СЕРИЯ ФИЗИЧЕСКАЯ\Dashkov\Project\JPG\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Z:\home\ilya\server\RAID1\Publications\2021\ИЗВЕСТИЯ РАН. СЕРИЯ ФИЗИЧЕСКАЯ\Dashkov\Project\JPG\Fig1.jpg"/>
                    <pic:cNvPicPr>
                      <a:picLocks noChangeAspect="1" noChangeArrowheads="1"/>
                    </pic:cNvPicPr>
                  </pic:nvPicPr>
                  <pic:blipFill>
                    <a:blip r:embed="rId7" cstate="print"/>
                    <a:stretch>
                      <a:fillRect/>
                    </a:stretch>
                  </pic:blipFill>
                  <pic:spPr bwMode="auto">
                    <a:xfrm>
                      <a:off x="0" y="0"/>
                      <a:ext cx="2505075" cy="2476500"/>
                    </a:xfrm>
                    <a:prstGeom prst="rect">
                      <a:avLst/>
                    </a:prstGeom>
                  </pic:spPr>
                </pic:pic>
              </a:graphicData>
            </a:graphic>
          </wp:inline>
        </w:drawing>
      </w:r>
      <w:bookmarkStart w:id="0" w:name="_Hlk131693003"/>
      <w:bookmarkEnd w:id="0"/>
      <w:r w:rsidR="00CB783F" w:rsidRPr="00CB783F">
        <w:rPr>
          <w:noProof/>
        </w:rPr>
        <w:pict>
          <v:rect id="Frame6" o:spid="_x0000_s1026" style="position:absolute;left:0;text-align:left;margin-left:244.85pt;margin-top:85.8pt;width:192.75pt;height:95.75pt;z-index:5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" o:allowincell="f" stroked="f" strokeweight="0">
            <v:textbox>
              <w:txbxContent>
                <w:p w:rsidR="00E36455" w:rsidRDefault="00E36455">
                  <w:pPr>
                    <w:pStyle w:val="FrameContents"/>
                    <w:jc w:val="both"/>
                    <w:rPr>
                      <w:rFonts w:eastAsia="WenQuanYi Micro Hei"/>
                      <w:i/>
                      <w:color w:val="000000"/>
                      <w:sz w:val="22"/>
                      <w:szCs w:val="22"/>
                      <w:lang w:eastAsia="zh-CN" w:bidi="hi-IN"/>
                    </w:rPr>
                  </w:pPr>
                  <w:r>
                    <w:rPr>
                      <w:rFonts w:eastAsia="WenQuanYi Micro Hei"/>
                      <w:i/>
                      <w:color w:val="000000"/>
                      <w:sz w:val="22"/>
                      <w:szCs w:val="22"/>
                      <w:lang w:eastAsia="zh-CN" w:bidi="hi-IN"/>
                    </w:rPr>
                    <w:t>Рис. 5. Схема установки TANGRA для измерения углового распределения нейтронов. 1 – генератор нейтронов ИНГ-27 (звёздочкой отмечена тритиевая мишень), 2 – образец из углерода, 3 – детектор нейтронов. Расстояния указаны в см.</w:t>
                  </w:r>
                </w:p>
              </w:txbxContent>
            </v:textbox>
          </v:rect>
        </w:pict>
      </w:r>
    </w:p>
    <w:p w:rsidR="008B4CC6" w:rsidRPr="00095299" w:rsidRDefault="008B4CC6">
      <w:pPr>
        <w:spacing w:line="288" w:lineRule="auto"/>
        <w:ind w:firstLine="567"/>
        <w:jc w:val="both"/>
      </w:pPr>
    </w:p>
    <w:p w:rsidR="008B4CC6" w:rsidRPr="00095299" w:rsidRDefault="00977964">
      <w:pPr>
        <w:spacing w:line="288" w:lineRule="auto"/>
        <w:ind w:firstLine="567"/>
        <w:jc w:val="both"/>
      </w:pPr>
      <w:r w:rsidRPr="00095299">
        <w:t>Были построены времяпролётные гистограммы, показывающие зависимость числа зарегистрированных событий N</w:t>
      </w:r>
      <w:r w:rsidRPr="00095299">
        <w:rPr>
          <w:vertAlign w:val="subscript"/>
        </w:rPr>
        <w:t>t</w:t>
      </w:r>
      <w:r w:rsidRPr="00095299">
        <w:t xml:space="preserve"> от разности времён срабатывания детектора нейтронов t</w:t>
      </w:r>
      <w:r w:rsidRPr="00095299">
        <w:rPr>
          <w:vertAlign w:val="subscript"/>
        </w:rPr>
        <w:t>d</w:t>
      </w:r>
      <w:r w:rsidRPr="00095299">
        <w:t xml:space="preserve"> и X-стрипа α-детектора t</w:t>
      </w:r>
      <w:r w:rsidRPr="00095299">
        <w:rPr>
          <w:vertAlign w:val="subscript"/>
        </w:rPr>
        <w:t>x</w:t>
      </w:r>
      <w:r w:rsidRPr="00095299">
        <w:t xml:space="preserve"> для каждой комбинации пикселя α-детектора и детектора нейтронов. Для временной калибровки использовался пик, соответствующий γ-излучению, исходящему от корпуса генератора. Так как X-стрипы били в мишень под разными углами, каждый полученный спектр соответствовал своему углу рассеяния нейтронов θ в системе центра масс продуктов реакции, где 9º ≤ θ ≤ 171º.</w:t>
      </w:r>
    </w:p>
    <w:p w:rsidR="008B4CC6" w:rsidRPr="00095299" w:rsidRDefault="00977964">
      <w:pPr>
        <w:spacing w:line="288" w:lineRule="auto"/>
        <w:ind w:firstLine="567"/>
        <w:jc w:val="both"/>
      </w:pPr>
      <w:r w:rsidRPr="00095299">
        <w:t xml:space="preserve">Для устранения эффектов, не связанных со взаимодействием частиц с облучаемым образцом, было произведено вычитание нормированных данных, полученных в измерениях без образца. Примеры итоговых времяпролётных гистограмм показаны на рис. 6. Для пиков упругого рассеяния и рассеяния на первое возбуждённое состояние были определены площади, равные числу нейтронов, рассеянных в соответствующем процессе под определённым углом. Полученную зависимость числа нейтронов от угла рассеяния можно назвать угловым распределением. Несмотря на то, что в спектре присутствуют пики более высоких по энергии состояний </w:t>
      </w:r>
      <w:r w:rsidRPr="00095299">
        <w:rPr>
          <w:vertAlign w:val="superscript"/>
        </w:rPr>
        <w:t>12</w:t>
      </w:r>
      <w:r w:rsidRPr="00095299">
        <w:t>C, точное определение их площадей не может быть произведено для всего диапазона доступных углов, из-за недостаточного числа событий.</w:t>
      </w:r>
    </w:p>
    <w:p w:rsidR="008B4CC6" w:rsidRPr="00095299" w:rsidRDefault="00977964">
      <w:pPr>
        <w:spacing w:line="288" w:lineRule="auto"/>
        <w:ind w:firstLine="567"/>
        <w:jc w:val="both"/>
      </w:pPr>
      <w:r w:rsidRPr="00095299">
        <w:t>Для преодоления недостатков данного эксперимента нами в настоящий момент ведутся аналогичные измерения. Главные отличия выполняемой сейчас экспериментальной работы следующие:</w:t>
      </w:r>
    </w:p>
    <w:p w:rsidR="008B4CC6" w:rsidRPr="00095299" w:rsidRDefault="00977964">
      <w:pPr>
        <w:spacing w:line="288" w:lineRule="auto"/>
        <w:ind w:firstLine="567"/>
        <w:jc w:val="both"/>
      </w:pPr>
      <w:r w:rsidRPr="00095299">
        <w:t>1) Используется более мощный нейтронный генератор с интенсивностью нейтронного потока около 10</w:t>
      </w:r>
      <w:r w:rsidRPr="00095299">
        <w:rPr>
          <w:vertAlign w:val="superscript"/>
        </w:rPr>
        <w:t>8</w:t>
      </w:r>
      <w:r w:rsidRPr="00095299">
        <w:t xml:space="preserve"> н/с и α-детектором на 256 пикселей.</w:t>
      </w:r>
    </w:p>
    <w:p w:rsidR="008B4CC6" w:rsidRPr="00095299" w:rsidRDefault="00977964">
      <w:pPr>
        <w:spacing w:line="288" w:lineRule="auto"/>
        <w:ind w:firstLine="567"/>
        <w:jc w:val="both"/>
      </w:pPr>
      <w:r w:rsidRPr="00095299">
        <w:t>2) Измерения с образцом и без образца имеют одинаковую продолжительность</w:t>
      </w:r>
    </w:p>
    <w:p w:rsidR="008B4CC6" w:rsidRPr="00095299" w:rsidRDefault="00977964">
      <w:pPr>
        <w:spacing w:line="288" w:lineRule="auto"/>
        <w:ind w:firstLine="567"/>
        <w:jc w:val="both"/>
      </w:pPr>
      <w:r w:rsidRPr="00095299">
        <w:t>3) Планируется накопить ~в 50 раз больше событий.</w:t>
      </w:r>
    </w:p>
    <w:p w:rsidR="008B4CC6" w:rsidRPr="00095299" w:rsidRDefault="00977964">
      <w:pPr>
        <w:spacing w:line="288" w:lineRule="auto"/>
        <w:jc w:val="center"/>
        <w:rPr>
          <w:rFonts w:eastAsia="WenQuanYi Micro Hei"/>
          <w:color w:val="000000"/>
        </w:rPr>
      </w:pPr>
      <w:r w:rsidRPr="00095299">
        <w:rPr>
          <w:noProof/>
        </w:rPr>
        <w:lastRenderedPageBreak/>
        <w:drawing>
          <wp:inline distT="0" distB="0" distL="0" distR="0">
            <wp:extent cx="3924300" cy="5400675"/>
            <wp:effectExtent l="0" t="0" r="0" b="0"/>
            <wp:docPr id="4" name="Image5" descr="Z:\home\dimitar\RAID\dgrozdanov\My_Phd\Disser\Pictures\TOF_C12_plas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Z:\home\dimitar\RAID\dgrozdanov\My_Phd\Disser\Pictures\TOF_C12_plastic.png"/>
                    <pic:cNvPicPr>
                      <a:picLocks noChangeAspect="1" noChangeArrowheads="1"/>
                    </pic:cNvPicPr>
                  </pic:nvPicPr>
                  <pic:blipFill>
                    <a:blip r:embed="rId8" cstate="print"/>
                    <a:stretch>
                      <a:fillRect/>
                    </a:stretch>
                  </pic:blipFill>
                  <pic:spPr bwMode="auto">
                    <a:xfrm>
                      <a:off x="0" y="0"/>
                      <a:ext cx="3924300" cy="5400675"/>
                    </a:xfrm>
                    <a:prstGeom prst="rect">
                      <a:avLst/>
                    </a:prstGeom>
                  </pic:spPr>
                </pic:pic>
              </a:graphicData>
            </a:graphic>
          </wp:inline>
        </w:drawing>
      </w:r>
    </w:p>
    <w:p w:rsidR="008B4CC6" w:rsidRPr="00095299" w:rsidRDefault="00977964">
      <w:pPr>
        <w:spacing w:line="288" w:lineRule="auto"/>
        <w:jc w:val="center"/>
        <w:rPr>
          <w:rFonts w:eastAsia="WenQuanYi Micro Hei"/>
          <w:color w:val="000000"/>
        </w:rPr>
      </w:pPr>
      <w:r w:rsidRPr="00095299">
        <w:rPr>
          <w:i/>
        </w:rPr>
        <w:t xml:space="preserve">Рис. 6. Времяпролетные спектры, полученные для θ = 36 а), θ = 170 б). 1 – пик γ-квантов от корпус нейтронного генератора, 2 – пик γ-квантов от образца, 3 – пик упруго рассеянных нейтронов, 4, 5, 6 – пики нейтронов, рассеянных на первое, второе и третье возбуждённое состояние </w:t>
      </w:r>
      <w:r w:rsidRPr="00095299">
        <w:rPr>
          <w:i/>
          <w:vertAlign w:val="superscript"/>
        </w:rPr>
        <w:t>12</w:t>
      </w:r>
      <w:r w:rsidRPr="00095299">
        <w:rPr>
          <w:i/>
        </w:rPr>
        <w:t>C, соответственно, 7 – пик γ-квантов от задней стенка. А – измерение с образца (</w:t>
      </w:r>
      <w:r w:rsidRPr="00095299">
        <w:rPr>
          <w:i/>
          <w:vertAlign w:val="superscript"/>
        </w:rPr>
        <w:t>12</w:t>
      </w:r>
      <w:r w:rsidRPr="00095299">
        <w:rPr>
          <w:i/>
        </w:rPr>
        <w:t xml:space="preserve">С), Б – измерение без образца и В – разность. </w:t>
      </w:r>
    </w:p>
    <w:p w:rsidR="008B4CC6" w:rsidRPr="00095299" w:rsidRDefault="008B4CC6">
      <w:pPr>
        <w:spacing w:line="288" w:lineRule="auto"/>
        <w:ind w:firstLine="567"/>
        <w:jc w:val="both"/>
        <w:rPr>
          <w:rFonts w:eastAsia="WenQuanYi Micro Hei"/>
          <w:lang w:eastAsia="zh-CN" w:bidi="hi-IN"/>
        </w:rPr>
      </w:pPr>
    </w:p>
    <w:p w:rsidR="008B4CC6" w:rsidRPr="00095299" w:rsidRDefault="008B4CC6">
      <w:pPr>
        <w:spacing w:line="288" w:lineRule="auto"/>
        <w:ind w:firstLine="706"/>
        <w:rPr>
          <w:rFonts w:eastAsia="MS Mincho"/>
          <w:lang w:eastAsia="ja-JP"/>
        </w:rPr>
      </w:pPr>
    </w:p>
    <w:p w:rsidR="008B4CC6" w:rsidRPr="00095299" w:rsidRDefault="008B4CC6">
      <w:pPr>
        <w:spacing w:line="288" w:lineRule="auto"/>
        <w:ind w:firstLine="706"/>
        <w:rPr>
          <w:rFonts w:eastAsia="MS Mincho"/>
          <w:lang w:eastAsia="ja-JP"/>
        </w:rPr>
      </w:pPr>
    </w:p>
    <w:p w:rsidR="008B4CC6" w:rsidRPr="00095299" w:rsidRDefault="00977964">
      <w:pPr>
        <w:spacing w:line="288" w:lineRule="auto"/>
        <w:ind w:left="720"/>
        <w:jc w:val="both"/>
        <w:rPr>
          <w:b/>
        </w:rPr>
      </w:pPr>
      <w:r w:rsidRPr="00095299">
        <w:rPr>
          <w:b/>
          <w:i/>
        </w:rPr>
        <w:t>2.</w:t>
      </w:r>
      <w:r w:rsidRPr="00095299">
        <w:rPr>
          <w:b/>
          <w:i/>
        </w:rPr>
        <w:tab/>
        <w:t xml:space="preserve">Определение выходов и угловых распределений вылета </w:t>
      </w:r>
      <w:r w:rsidR="00E54B0E" w:rsidRPr="00095299">
        <w:rPr>
          <w:b/>
          <w:i/>
        </w:rPr>
        <w:t>γ</w:t>
      </w:r>
      <w:r w:rsidRPr="00095299">
        <w:rPr>
          <w:b/>
          <w:i/>
        </w:rPr>
        <w:t>-квантов в реакциях нейтронов с энергией 14,1 МэВ с различными ядрами.</w:t>
      </w:r>
    </w:p>
    <w:p w:rsidR="008B4CC6" w:rsidRPr="00095299" w:rsidRDefault="008B4CC6">
      <w:pPr>
        <w:spacing w:line="288" w:lineRule="auto"/>
        <w:ind w:firstLine="709"/>
        <w:jc w:val="both"/>
        <w:rPr>
          <w:b/>
        </w:rPr>
      </w:pPr>
    </w:p>
    <w:p w:rsidR="008B4CC6" w:rsidRPr="00095299" w:rsidRDefault="00977964">
      <w:pPr>
        <w:spacing w:line="288" w:lineRule="auto"/>
        <w:ind w:firstLine="709"/>
        <w:jc w:val="both"/>
      </w:pPr>
      <w:r w:rsidRPr="00095299">
        <w:t xml:space="preserve">Для изучения характеристик </w:t>
      </w:r>
      <w:bookmarkStart w:id="1" w:name="_Hlk131684030"/>
      <w:r w:rsidR="00E54B0E" w:rsidRPr="00095299">
        <w:t>γ</w:t>
      </w:r>
      <w:bookmarkEnd w:id="1"/>
      <w:r w:rsidRPr="00095299">
        <w:t xml:space="preserve">-излучения в реакциях под действием нейтронов с энергией 14,1 МэВ с ядрами в рамках проекта TANGRA было создано несколько конфигураций экспериментальной установки. Базовая часть установки TANGRA включает в себя портативный генератор ИНГ-27 меченых нейтронов с энергией 14.1 МэВ, коллиматор и профилометр пучка быстрых нейтронов. Различные варианты детектирующих систем включают в себя линейку детекторов с возможностью расположить их в кольцевой </w:t>
      </w:r>
      <w:r w:rsidRPr="00095299">
        <w:lastRenderedPageBreak/>
        <w:t>геометрии (“Ромашка”, “Ромаша”), детектирующую систему на основе HPGe и систему сбора и анализа данных (DAQ). В работах, проводимых в 2020-2022 гг., использовались детектирующие системы “Ромаша” и “HРGe”.</w:t>
      </w:r>
    </w:p>
    <w:p w:rsidR="008B4CC6" w:rsidRPr="00095299" w:rsidRDefault="00977964">
      <w:pPr>
        <w:spacing w:line="288" w:lineRule="auto"/>
        <w:ind w:firstLine="708"/>
        <w:jc w:val="both"/>
      </w:pPr>
      <w:r w:rsidRPr="00095299">
        <w:t>В качестве источника меченых нейтронов использовался портативный нейтронный генератор ИНГ-27, работающий в непрерывном режиме, в котором происходит ускорение дейтронов до энергий 80–100 кэВ и их фокусировка на тритиевой мишени. Портативный нейтронный генератор ИНГ-27 производства ФГУП “ВНИИА” имеет встроенный 64-канальный кремниевый α-детектор, разделенный на 8 стрипов как в горизонтальном, так и вертикальном направлении, благодаря чему фактически формируется 64 пучка меченых нейтронов с энергией 14.1 МэВ. Максимальная интенсивность потока нейтронов в 4π-геометрии, создаваемого генератором, может составлять 5 × 10</w:t>
      </w:r>
      <w:r w:rsidRPr="00095299">
        <w:rPr>
          <w:vertAlign w:val="superscript"/>
        </w:rPr>
        <w:t>7</w:t>
      </w:r>
      <w:r w:rsidRPr="00095299">
        <w:t xml:space="preserve"> с</w:t>
      </w:r>
      <w:r w:rsidRPr="00095299">
        <w:rPr>
          <w:vertAlign w:val="superscript"/>
        </w:rPr>
        <w:t>−1</w:t>
      </w:r>
      <w:r w:rsidRPr="00095299">
        <w:t>.</w:t>
      </w:r>
    </w:p>
    <w:p w:rsidR="008B4CC6" w:rsidRPr="00095299" w:rsidRDefault="00977964">
      <w:pPr>
        <w:spacing w:line="288" w:lineRule="auto"/>
        <w:ind w:firstLine="708"/>
        <w:jc w:val="both"/>
      </w:pPr>
      <w:r w:rsidRPr="00095299">
        <w:t>Установка проекта “TANGRA” на основе спектрометра “Ромаша” (рис. 1) состоит из 18 сцинтилляционных γ-детекторов на основе кристаллов BGO диаметром 76 мм и толщиной 65 мм. Детекторы γ-квантов расположены в горизонтальной плоскости по окружности радиусом 750 мм с шагом по углу 14°. В данной конфигурации отсутствует дополнительная пассивная коллимация нейтронного пучка, падающего на мишень, что позволяет сократить расстояние от источника нейтронов до исследуемого образца до 125 мм.</w:t>
      </w:r>
    </w:p>
    <w:p w:rsidR="008B4CC6" w:rsidRPr="00095299" w:rsidRDefault="008B4CC6">
      <w:pPr>
        <w:spacing w:line="288" w:lineRule="auto"/>
        <w:ind w:firstLine="709"/>
        <w:jc w:val="both"/>
      </w:pPr>
    </w:p>
    <w:p w:rsidR="008B4CC6" w:rsidRPr="00095299" w:rsidRDefault="00977964">
      <w:pPr>
        <w:spacing w:line="288" w:lineRule="auto"/>
        <w:ind w:firstLine="709"/>
        <w:jc w:val="center"/>
      </w:pPr>
      <w:r w:rsidRPr="00095299">
        <w:rPr>
          <w:noProof/>
        </w:rPr>
        <w:drawing>
          <wp:inline distT="0" distB="0" distL="0" distR="0">
            <wp:extent cx="3371850" cy="305752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
                    <pic:cNvPicPr>
                      <a:picLocks noChangeAspect="1" noChangeArrowheads="1"/>
                    </pic:cNvPicPr>
                  </pic:nvPicPr>
                  <pic:blipFill>
                    <a:blip r:embed="rId9" cstate="print"/>
                    <a:srcRect l="-66" t="-73" r="-66" b="-73"/>
                    <a:stretch>
                      <a:fillRect/>
                    </a:stretch>
                  </pic:blipFill>
                  <pic:spPr bwMode="auto">
                    <a:xfrm>
                      <a:off x="0" y="0"/>
                      <a:ext cx="3371850" cy="3057525"/>
                    </a:xfrm>
                    <a:prstGeom prst="rect">
                      <a:avLst/>
                    </a:prstGeom>
                  </pic:spPr>
                </pic:pic>
              </a:graphicData>
            </a:graphic>
          </wp:inline>
        </w:drawing>
      </w:r>
    </w:p>
    <w:p w:rsidR="008B4CC6" w:rsidRPr="00095299" w:rsidRDefault="008B4CC6">
      <w:pPr>
        <w:spacing w:line="288" w:lineRule="auto"/>
        <w:ind w:firstLine="709"/>
        <w:jc w:val="both"/>
      </w:pPr>
    </w:p>
    <w:p w:rsidR="008B4CC6" w:rsidRPr="00095299" w:rsidRDefault="00977964">
      <w:pPr>
        <w:spacing w:line="288" w:lineRule="auto"/>
        <w:ind w:firstLine="709"/>
        <w:jc w:val="both"/>
        <w:rPr>
          <w:i/>
        </w:rPr>
      </w:pPr>
      <w:r w:rsidRPr="00095299">
        <w:rPr>
          <w:i/>
        </w:rPr>
        <w:t>Рис. 1. Схема экспериментальной установки “Ромаша”: 1 – нейтронный генератор ИНГ-27, 2 – мишень,3 – держатель мишени, 4 – алюминиевая рама установки, 5 – подставки для детекторов γ-излучения, 6 – детекторы γ-излучения, пронумерованные от 1 до 18.</w:t>
      </w:r>
    </w:p>
    <w:p w:rsidR="008B4CC6" w:rsidRPr="00095299" w:rsidRDefault="008B4CC6">
      <w:pPr>
        <w:spacing w:line="288" w:lineRule="auto"/>
        <w:ind w:firstLine="709"/>
        <w:jc w:val="both"/>
      </w:pPr>
    </w:p>
    <w:p w:rsidR="008B4CC6" w:rsidRPr="00095299" w:rsidRDefault="00977964">
      <w:pPr>
        <w:spacing w:line="288" w:lineRule="auto"/>
        <w:ind w:firstLine="709"/>
        <w:jc w:val="both"/>
      </w:pPr>
      <w:r w:rsidRPr="00095299">
        <w:t xml:space="preserve">Установка “HРGe” (рис. 2) представляет собой γ-детектор на основе кристалла из сверхчистого германия (HРGe) диаметром 57.5 мм и толщиной 66.6 мм. Детектор располагается на минимально возможном расстоянии от образца, исключающем попадание прямых меченых нейтронов в детектор. Для уменьшения фона от прямых нейтронов и </w:t>
      </w:r>
      <w:r w:rsidRPr="00095299">
        <w:lastRenderedPageBreak/>
        <w:t>защиты детектора от повреждения быстрыми нейтронами используется свинцовый коллиматор.</w:t>
      </w:r>
    </w:p>
    <w:p w:rsidR="008B4CC6" w:rsidRPr="00095299" w:rsidRDefault="00977964">
      <w:pPr>
        <w:spacing w:line="288" w:lineRule="auto"/>
        <w:ind w:firstLine="708"/>
        <w:jc w:val="both"/>
      </w:pPr>
      <w:r w:rsidRPr="00095299">
        <w:t xml:space="preserve">Мишени помещались в прямоугольный алюминиевый контейнер высотой 14 см. Горизонтальные размеры контейнера определялись таким образом, чтобы поглощение и рассеяние </w:t>
      </w:r>
      <w:r w:rsidR="00AC2EC9" w:rsidRPr="00095299">
        <w:t>γ</w:t>
      </w:r>
      <w:r w:rsidRPr="00095299">
        <w:t xml:space="preserve">-квантов и нейтронов в мишени вносили в наблюдаемую анизотропию излучения </w:t>
      </w:r>
      <w:r w:rsidR="00AC2EC9" w:rsidRPr="00095299">
        <w:t>γ</w:t>
      </w:r>
      <w:r w:rsidRPr="00095299">
        <w:t>-квантов искажение, не превышающее 20%. Для расчетов коэффициентов поглощения и рассеяния в образце проводилось моделирование эксперимента с использованием программного пакета GEANT4 (GEometry And Tracking).</w:t>
      </w:r>
    </w:p>
    <w:p w:rsidR="008B4CC6" w:rsidRPr="00095299" w:rsidRDefault="00977964">
      <w:pPr>
        <w:spacing w:line="288" w:lineRule="auto"/>
        <w:ind w:firstLine="720"/>
        <w:jc w:val="both"/>
      </w:pPr>
      <w:r w:rsidRPr="00095299">
        <w:t xml:space="preserve">Образец располагался на легкой алюминиевой подставке. Для определения фоновой составляющей в </w:t>
      </w:r>
      <w:r w:rsidR="00AC2EC9" w:rsidRPr="00095299">
        <w:t>γ</w:t>
      </w:r>
      <w:r w:rsidRPr="00095299">
        <w:t>-спектрах, обусловленной взаимодействием нейтронов с подставкой и другими конструкционными материалами, проводилось отдельное измерение без образца.</w:t>
      </w:r>
    </w:p>
    <w:p w:rsidR="008B4CC6" w:rsidRPr="00095299" w:rsidRDefault="00977964">
      <w:pPr>
        <w:spacing w:line="288" w:lineRule="auto"/>
        <w:jc w:val="both"/>
      </w:pPr>
      <w:r w:rsidRPr="00095299">
        <w:tab/>
      </w:r>
    </w:p>
    <w:p w:rsidR="008B4CC6" w:rsidRPr="00095299" w:rsidRDefault="00977964">
      <w:pPr>
        <w:spacing w:line="288" w:lineRule="auto"/>
        <w:ind w:firstLine="709"/>
        <w:jc w:val="center"/>
      </w:pPr>
      <w:r w:rsidRPr="00095299">
        <w:rPr>
          <w:noProof/>
        </w:rPr>
        <w:drawing>
          <wp:inline distT="0" distB="0" distL="0" distR="0">
            <wp:extent cx="3019425" cy="242887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
                    <pic:cNvPicPr>
                      <a:picLocks noChangeAspect="1" noChangeArrowheads="1"/>
                    </pic:cNvPicPr>
                  </pic:nvPicPr>
                  <pic:blipFill>
                    <a:blip r:embed="rId10" cstate="print"/>
                    <a:srcRect l="-86" t="-107" r="-86" b="-107"/>
                    <a:stretch>
                      <a:fillRect/>
                    </a:stretch>
                  </pic:blipFill>
                  <pic:spPr bwMode="auto">
                    <a:xfrm>
                      <a:off x="0" y="0"/>
                      <a:ext cx="3019425" cy="2428875"/>
                    </a:xfrm>
                    <a:prstGeom prst="rect">
                      <a:avLst/>
                    </a:prstGeom>
                  </pic:spPr>
                </pic:pic>
              </a:graphicData>
            </a:graphic>
          </wp:inline>
        </w:drawing>
      </w:r>
    </w:p>
    <w:p w:rsidR="008B4CC6" w:rsidRPr="00095299" w:rsidRDefault="008B4CC6">
      <w:pPr>
        <w:spacing w:line="288" w:lineRule="auto"/>
        <w:ind w:firstLine="709"/>
        <w:jc w:val="both"/>
      </w:pPr>
    </w:p>
    <w:p w:rsidR="008B4CC6" w:rsidRPr="00095299" w:rsidRDefault="00977964">
      <w:pPr>
        <w:spacing w:line="288" w:lineRule="auto"/>
        <w:ind w:firstLine="709"/>
        <w:jc w:val="both"/>
        <w:rPr>
          <w:i/>
        </w:rPr>
      </w:pPr>
      <w:r w:rsidRPr="00095299">
        <w:rPr>
          <w:i/>
        </w:rPr>
        <w:t xml:space="preserve">Рис. 2. Схема экспериментальной установки с HPGe: 1 – нейтронный генератор ING-27, 2 – свинцовая защита, 3 – HPGe </w:t>
      </w:r>
      <w:r w:rsidR="00AC2EC9" w:rsidRPr="00095299">
        <w:rPr>
          <w:i/>
        </w:rPr>
        <w:t>γ</w:t>
      </w:r>
      <w:r w:rsidRPr="00095299">
        <w:rPr>
          <w:i/>
        </w:rPr>
        <w:t>-детектор, 4 – образец.</w:t>
      </w:r>
    </w:p>
    <w:p w:rsidR="008B4CC6" w:rsidRPr="00095299" w:rsidRDefault="008B4CC6">
      <w:pPr>
        <w:spacing w:line="288" w:lineRule="auto"/>
        <w:ind w:firstLine="709"/>
        <w:jc w:val="both"/>
      </w:pPr>
    </w:p>
    <w:p w:rsidR="008B4CC6" w:rsidRPr="00095299" w:rsidRDefault="00977964">
      <w:pPr>
        <w:spacing w:line="288" w:lineRule="auto"/>
        <w:jc w:val="both"/>
      </w:pPr>
      <w:r w:rsidRPr="00095299">
        <w:t xml:space="preserve">Все детекторы были прокалиброваны с помощью стандартных источников </w:t>
      </w:r>
      <w:r w:rsidR="00E54B0E" w:rsidRPr="00095299">
        <w:rPr>
          <w:rFonts w:eastAsia="Symbol"/>
        </w:rPr>
        <w:t>γ</w:t>
      </w:r>
      <w:r w:rsidRPr="00095299">
        <w:t>-излучения. Для сцинтилляционных детекторов BGO, у которых световыход и, соответственно, энергетическая калибровка не очень стабильны и зависят от температуры, загрузки и других внешних факторов, применялась дополнительная калибровка в реальном времени с использованием известных фоновых линий, регистрируемых при измерении с образцом.</w:t>
      </w:r>
    </w:p>
    <w:p w:rsidR="008B4CC6" w:rsidRPr="00095299" w:rsidRDefault="00977964">
      <w:pPr>
        <w:spacing w:line="288" w:lineRule="auto"/>
        <w:jc w:val="both"/>
      </w:pPr>
      <w:r w:rsidRPr="00095299">
        <w:tab/>
        <w:t>Для сбора и предварительного анализа данных используется компьютер с оцифровщиком ADCM-32 на основе двух 16-канальных плат ADCM-16.</w:t>
      </w:r>
    </w:p>
    <w:p w:rsidR="008B4CC6" w:rsidRPr="00095299" w:rsidRDefault="008B4CC6">
      <w:pPr>
        <w:spacing w:line="288" w:lineRule="auto"/>
        <w:ind w:firstLine="709"/>
        <w:jc w:val="both"/>
      </w:pPr>
    </w:p>
    <w:p w:rsidR="008B4CC6" w:rsidRPr="00095299" w:rsidRDefault="00977964">
      <w:pPr>
        <w:spacing w:line="288" w:lineRule="auto"/>
        <w:jc w:val="center"/>
      </w:pPr>
      <w:r w:rsidRPr="00095299">
        <w:rPr>
          <w:noProof/>
        </w:rPr>
        <w:lastRenderedPageBreak/>
        <w:drawing>
          <wp:inline distT="0" distB="0" distL="0" distR="0">
            <wp:extent cx="4552950" cy="2571750"/>
            <wp:effectExtent l="0" t="0" r="0" b="0"/>
            <wp:docPr id="7" name="Image2" descr="Periodic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PeriodicTable.png"/>
                    <pic:cNvPicPr>
                      <a:picLocks noChangeAspect="1" noChangeArrowheads="1"/>
                    </pic:cNvPicPr>
                  </pic:nvPicPr>
                  <pic:blipFill>
                    <a:blip r:embed="rId11" cstate="print"/>
                    <a:srcRect t="4656"/>
                    <a:stretch>
                      <a:fillRect/>
                    </a:stretch>
                  </pic:blipFill>
                  <pic:spPr bwMode="auto">
                    <a:xfrm>
                      <a:off x="0" y="0"/>
                      <a:ext cx="4552950" cy="2571750"/>
                    </a:xfrm>
                    <a:prstGeom prst="rect">
                      <a:avLst/>
                    </a:prstGeom>
                  </pic:spPr>
                </pic:pic>
              </a:graphicData>
            </a:graphic>
          </wp:inline>
        </w:drawing>
      </w:r>
    </w:p>
    <w:p w:rsidR="008B4CC6" w:rsidRPr="00095299" w:rsidRDefault="00977964">
      <w:pPr>
        <w:spacing w:line="288" w:lineRule="auto"/>
        <w:ind w:firstLine="708"/>
        <w:jc w:val="both"/>
        <w:rPr>
          <w:i/>
        </w:rPr>
      </w:pPr>
      <w:r w:rsidRPr="00095299">
        <w:rPr>
          <w:i/>
        </w:rPr>
        <w:t xml:space="preserve">Рис. 3. Образцы, для которых проведены измерения выходов и угловых распределений вылета </w:t>
      </w:r>
      <w:r w:rsidR="00E54B0E" w:rsidRPr="00095299">
        <w:rPr>
          <w:i/>
        </w:rPr>
        <w:t>γ</w:t>
      </w:r>
      <w:r w:rsidRPr="00095299">
        <w:rPr>
          <w:i/>
        </w:rPr>
        <w:t>-квантов в реакциях нейтронов с энергией 14,1 МэВ.</w:t>
      </w:r>
    </w:p>
    <w:p w:rsidR="008B4CC6" w:rsidRPr="00095299" w:rsidRDefault="008B4CC6">
      <w:pPr>
        <w:spacing w:line="288" w:lineRule="auto"/>
        <w:jc w:val="both"/>
      </w:pPr>
    </w:p>
    <w:p w:rsidR="008B4CC6" w:rsidRPr="00095299" w:rsidRDefault="00977964">
      <w:pPr>
        <w:spacing w:line="288" w:lineRule="auto"/>
        <w:jc w:val="both"/>
      </w:pPr>
      <w:r w:rsidRPr="00095299">
        <w:t xml:space="preserve">На Рис. 3 приведены элементы, для которых были измерены выходы </w:t>
      </w:r>
      <w:r w:rsidR="00E54B0E" w:rsidRPr="00095299">
        <w:t>γ</w:t>
      </w:r>
      <w:r w:rsidRPr="00095299">
        <w:t xml:space="preserve">-квантов (помечены голубым цветом), выходы и угловые распределения </w:t>
      </w:r>
      <w:r w:rsidR="00E54B0E" w:rsidRPr="00095299">
        <w:t>γ</w:t>
      </w:r>
      <w:r w:rsidRPr="00095299">
        <w:t xml:space="preserve">-квантов (помечены красным цветом), а также элементы, для которых имеются в наличии образцы и планируется проведение экспериментов в новой конфигурации экспериментальной установки.  </w:t>
      </w:r>
    </w:p>
    <w:p w:rsidR="008B4CC6" w:rsidRPr="00095299" w:rsidRDefault="00977964">
      <w:pPr>
        <w:spacing w:line="288" w:lineRule="auto"/>
        <w:ind w:firstLine="708"/>
        <w:jc w:val="both"/>
      </w:pPr>
      <w:r w:rsidRPr="00095299">
        <w:t xml:space="preserve">В качестве примера результатов по измерению выходов и угловых распределений </w:t>
      </w:r>
      <w:r w:rsidR="00E54B0E" w:rsidRPr="00095299">
        <w:t>γ</w:t>
      </w:r>
      <w:r w:rsidRPr="00095299">
        <w:t xml:space="preserve">-квантов, образующихся в реакциях нейтронов с энергией 14,1 МэВ, приведены результаты для фосфора. Фосфор является важным для жизнедеятельности растений элементом, и задача определения его концентрации в минералах, являющихся сырьем для производства удобрений, достаточно актуальна. </w:t>
      </w:r>
      <w:r w:rsidR="0097247B" w:rsidRPr="00095299">
        <w:t xml:space="preserve">Полученные нами результаты по выходам в сравнении с данными из компиляции [1] и модельными оценками, полученными с помощью кода </w:t>
      </w:r>
      <w:r w:rsidR="0097247B" w:rsidRPr="00095299">
        <w:rPr>
          <w:lang w:val="en-US"/>
        </w:rPr>
        <w:t>TALYS</w:t>
      </w:r>
      <w:r w:rsidR="0097247B" w:rsidRPr="00095299">
        <w:t xml:space="preserve">, приведены в таблице 1. </w:t>
      </w:r>
    </w:p>
    <w:p w:rsidR="008B4CC6" w:rsidRPr="00095299" w:rsidRDefault="008B4CC6">
      <w:pPr>
        <w:spacing w:line="288" w:lineRule="auto"/>
        <w:ind w:firstLine="708"/>
        <w:jc w:val="both"/>
      </w:pPr>
    </w:p>
    <w:tbl>
      <w:tblPr>
        <w:tblStyle w:val="af9"/>
        <w:tblW w:w="8742" w:type="dxa"/>
        <w:jc w:val="center"/>
        <w:tblLook w:val="04A0"/>
      </w:tblPr>
      <w:tblGrid>
        <w:gridCol w:w="1062"/>
        <w:gridCol w:w="1455"/>
        <w:gridCol w:w="1369"/>
        <w:gridCol w:w="1369"/>
        <w:gridCol w:w="1216"/>
        <w:gridCol w:w="1055"/>
        <w:gridCol w:w="1216"/>
      </w:tblGrid>
      <w:tr w:rsidR="0097247B" w:rsidRPr="00095299" w:rsidTr="00E36455">
        <w:trPr>
          <w:jc w:val="center"/>
        </w:trPr>
        <w:tc>
          <w:tcPr>
            <w:tcW w:w="1212" w:type="dxa"/>
            <w:vMerge w:val="restart"/>
          </w:tcPr>
          <w:p w:rsidR="0097247B" w:rsidRPr="00095299" w:rsidRDefault="0097247B" w:rsidP="00E36455">
            <w:pPr>
              <w:jc w:val="center"/>
            </w:pPr>
            <w:r w:rsidRPr="00095299">
              <w:rPr>
                <w:bCs/>
              </w:rPr>
              <w:t>E</w:t>
            </w:r>
            <w:r w:rsidRPr="00095299">
              <w:rPr>
                <w:bCs/>
                <w:vertAlign w:val="subscript"/>
              </w:rPr>
              <w:t>γ</w:t>
            </w:r>
            <w:r w:rsidRPr="00095299">
              <w:rPr>
                <w:bCs/>
              </w:rPr>
              <w:t xml:space="preserve"> (keV)</w:t>
            </w:r>
          </w:p>
          <w:p w:rsidR="0097247B" w:rsidRPr="00095299" w:rsidRDefault="0097247B" w:rsidP="00E36455">
            <w:pPr>
              <w:jc w:val="center"/>
            </w:pPr>
          </w:p>
        </w:tc>
        <w:tc>
          <w:tcPr>
            <w:tcW w:w="1555" w:type="dxa"/>
            <w:vMerge w:val="restart"/>
          </w:tcPr>
          <w:p w:rsidR="0097247B" w:rsidRPr="00095299" w:rsidRDefault="0097247B" w:rsidP="00E36455">
            <w:pPr>
              <w:jc w:val="center"/>
            </w:pPr>
            <w:r w:rsidRPr="00095299">
              <w:rPr>
                <w:bCs/>
              </w:rPr>
              <w:t>Reaction</w:t>
            </w:r>
          </w:p>
          <w:p w:rsidR="0097247B" w:rsidRPr="00095299" w:rsidRDefault="0097247B" w:rsidP="00E36455">
            <w:pPr>
              <w:jc w:val="center"/>
            </w:pPr>
          </w:p>
        </w:tc>
        <w:tc>
          <w:tcPr>
            <w:tcW w:w="1273" w:type="dxa"/>
            <w:vMerge w:val="restart"/>
          </w:tcPr>
          <w:p w:rsidR="0097247B" w:rsidRPr="00095299" w:rsidRDefault="0097247B" w:rsidP="00E36455">
            <w:pPr>
              <w:jc w:val="center"/>
            </w:pPr>
            <w:r w:rsidRPr="00095299">
              <w:rPr>
                <w:bCs/>
              </w:rPr>
              <w:t>J</w:t>
            </w:r>
            <w:r w:rsidRPr="00095299">
              <w:rPr>
                <w:bCs/>
                <w:vertAlign w:val="subscript"/>
              </w:rPr>
              <w:t>i</w:t>
            </w:r>
            <w:r w:rsidRPr="00095299">
              <w:rPr>
                <w:bCs/>
                <w:vertAlign w:val="superscript"/>
              </w:rPr>
              <w:t>P</w:t>
            </w:r>
          </w:p>
          <w:p w:rsidR="0097247B" w:rsidRPr="00095299" w:rsidRDefault="0097247B" w:rsidP="00E36455">
            <w:r w:rsidRPr="00095299">
              <w:rPr>
                <w:bCs/>
              </w:rPr>
              <w:t>(E</w:t>
            </w:r>
            <w:r w:rsidRPr="00095299">
              <w:rPr>
                <w:bCs/>
                <w:vertAlign w:val="subscript"/>
              </w:rPr>
              <w:t>i</w:t>
            </w:r>
            <w:r w:rsidRPr="00095299">
              <w:rPr>
                <w:bCs/>
              </w:rPr>
              <w:t>,keV)</w:t>
            </w:r>
          </w:p>
          <w:p w:rsidR="0097247B" w:rsidRPr="00095299" w:rsidRDefault="0097247B" w:rsidP="00E36455">
            <w:pPr>
              <w:jc w:val="center"/>
            </w:pPr>
          </w:p>
        </w:tc>
        <w:tc>
          <w:tcPr>
            <w:tcW w:w="1320" w:type="dxa"/>
            <w:vMerge w:val="restart"/>
          </w:tcPr>
          <w:p w:rsidR="0097247B" w:rsidRPr="00095299" w:rsidRDefault="0097247B" w:rsidP="00E36455">
            <w:pPr>
              <w:jc w:val="center"/>
            </w:pPr>
            <w:r w:rsidRPr="00095299">
              <w:rPr>
                <w:bCs/>
              </w:rPr>
              <w:t>J</w:t>
            </w:r>
            <w:r w:rsidRPr="00095299">
              <w:rPr>
                <w:bCs/>
                <w:vertAlign w:val="subscript"/>
              </w:rPr>
              <w:t>j</w:t>
            </w:r>
            <w:r w:rsidRPr="00095299">
              <w:rPr>
                <w:bCs/>
                <w:vertAlign w:val="superscript"/>
              </w:rPr>
              <w:t>P</w:t>
            </w:r>
          </w:p>
          <w:p w:rsidR="0097247B" w:rsidRPr="00095299" w:rsidRDefault="0097247B" w:rsidP="00E36455">
            <w:pPr>
              <w:jc w:val="center"/>
            </w:pPr>
            <w:r w:rsidRPr="00095299">
              <w:rPr>
                <w:bCs/>
              </w:rPr>
              <w:t>(E</w:t>
            </w:r>
            <w:r w:rsidRPr="00095299">
              <w:rPr>
                <w:bCs/>
                <w:vertAlign w:val="subscript"/>
              </w:rPr>
              <w:t>j</w:t>
            </w:r>
            <w:r w:rsidRPr="00095299">
              <w:rPr>
                <w:bCs/>
              </w:rPr>
              <w:t>, keV)</w:t>
            </w:r>
          </w:p>
          <w:p w:rsidR="0097247B" w:rsidRPr="00095299" w:rsidRDefault="0097247B" w:rsidP="00E36455">
            <w:pPr>
              <w:jc w:val="center"/>
            </w:pPr>
          </w:p>
        </w:tc>
        <w:tc>
          <w:tcPr>
            <w:tcW w:w="3382" w:type="dxa"/>
            <w:gridSpan w:val="3"/>
          </w:tcPr>
          <w:p w:rsidR="0097247B" w:rsidRPr="00095299" w:rsidRDefault="0097247B" w:rsidP="00E36455">
            <w:pPr>
              <w:jc w:val="center"/>
            </w:pPr>
            <w:r w:rsidRPr="00095299">
              <w:rPr>
                <w:bCs/>
              </w:rPr>
              <w:t>Y</w:t>
            </w:r>
            <w:r w:rsidRPr="00095299">
              <w:rPr>
                <w:bCs/>
                <w:vertAlign w:val="subscript"/>
              </w:rPr>
              <w:t>γ</w:t>
            </w:r>
            <w:r w:rsidRPr="00095299">
              <w:rPr>
                <w:bCs/>
              </w:rPr>
              <w:t>, %</w:t>
            </w:r>
          </w:p>
        </w:tc>
      </w:tr>
      <w:tr w:rsidR="0097247B" w:rsidRPr="00095299" w:rsidTr="00E36455">
        <w:trPr>
          <w:jc w:val="center"/>
        </w:trPr>
        <w:tc>
          <w:tcPr>
            <w:tcW w:w="1212" w:type="dxa"/>
            <w:vMerge/>
          </w:tcPr>
          <w:p w:rsidR="0097247B" w:rsidRPr="00095299" w:rsidRDefault="0097247B" w:rsidP="00E36455">
            <w:pPr>
              <w:jc w:val="both"/>
            </w:pPr>
          </w:p>
        </w:tc>
        <w:tc>
          <w:tcPr>
            <w:tcW w:w="1555" w:type="dxa"/>
            <w:vMerge/>
          </w:tcPr>
          <w:p w:rsidR="0097247B" w:rsidRPr="00095299" w:rsidRDefault="0097247B" w:rsidP="00E36455">
            <w:pPr>
              <w:jc w:val="both"/>
            </w:pPr>
          </w:p>
        </w:tc>
        <w:tc>
          <w:tcPr>
            <w:tcW w:w="1273" w:type="dxa"/>
            <w:vMerge/>
          </w:tcPr>
          <w:p w:rsidR="0097247B" w:rsidRPr="00095299" w:rsidRDefault="0097247B" w:rsidP="00E36455">
            <w:pPr>
              <w:jc w:val="both"/>
            </w:pPr>
          </w:p>
        </w:tc>
        <w:tc>
          <w:tcPr>
            <w:tcW w:w="1320" w:type="dxa"/>
            <w:vMerge/>
          </w:tcPr>
          <w:p w:rsidR="0097247B" w:rsidRPr="00095299" w:rsidRDefault="0097247B" w:rsidP="00E36455">
            <w:pPr>
              <w:jc w:val="both"/>
            </w:pPr>
          </w:p>
        </w:tc>
        <w:tc>
          <w:tcPr>
            <w:tcW w:w="997" w:type="dxa"/>
          </w:tcPr>
          <w:p w:rsidR="0097247B" w:rsidRPr="00095299" w:rsidRDefault="0097247B" w:rsidP="00E36455">
            <w:pPr>
              <w:jc w:val="both"/>
            </w:pPr>
            <w:r w:rsidRPr="00095299">
              <w:t>This work</w:t>
            </w:r>
          </w:p>
          <w:p w:rsidR="0097247B" w:rsidRPr="00095299" w:rsidRDefault="0097247B" w:rsidP="00E36455">
            <w:pPr>
              <w:jc w:val="both"/>
            </w:pPr>
          </w:p>
        </w:tc>
        <w:tc>
          <w:tcPr>
            <w:tcW w:w="1201" w:type="dxa"/>
          </w:tcPr>
          <w:p w:rsidR="0097247B" w:rsidRPr="00095299" w:rsidRDefault="0097247B" w:rsidP="00E36455">
            <w:pPr>
              <w:jc w:val="both"/>
            </w:pPr>
            <w:r w:rsidRPr="00095299">
              <w:t>TALYS</w:t>
            </w:r>
          </w:p>
          <w:p w:rsidR="0097247B" w:rsidRPr="00095299" w:rsidRDefault="0097247B" w:rsidP="00E36455">
            <w:pPr>
              <w:jc w:val="both"/>
            </w:pPr>
          </w:p>
        </w:tc>
        <w:tc>
          <w:tcPr>
            <w:tcW w:w="1184" w:type="dxa"/>
          </w:tcPr>
          <w:p w:rsidR="0097247B" w:rsidRPr="00095299" w:rsidRDefault="0097247B" w:rsidP="00E36455">
            <w:pPr>
              <w:jc w:val="center"/>
            </w:pPr>
            <w:r w:rsidRPr="00095299">
              <w:t>[1]</w:t>
            </w:r>
          </w:p>
        </w:tc>
      </w:tr>
      <w:tr w:rsidR="0097247B" w:rsidRPr="00095299" w:rsidTr="00E36455">
        <w:trPr>
          <w:jc w:val="center"/>
        </w:trPr>
        <w:tc>
          <w:tcPr>
            <w:tcW w:w="1212" w:type="dxa"/>
          </w:tcPr>
          <w:p w:rsidR="0097247B" w:rsidRPr="00095299" w:rsidRDefault="0097247B" w:rsidP="00E36455">
            <w:pPr>
              <w:jc w:val="both"/>
              <w:rPr>
                <w:b/>
                <w:bCs/>
              </w:rPr>
            </w:pPr>
            <w:r w:rsidRPr="00095299">
              <w:rPr>
                <w:b/>
                <w:bCs/>
              </w:rPr>
              <w:t>752.2</w:t>
            </w:r>
          </w:p>
        </w:tc>
        <w:tc>
          <w:tcPr>
            <w:tcW w:w="1555" w:type="dxa"/>
          </w:tcPr>
          <w:p w:rsidR="0097247B" w:rsidRPr="00095299" w:rsidRDefault="0097247B" w:rsidP="00E36455">
            <w:pPr>
              <w:jc w:val="both"/>
              <w:rPr>
                <w:b/>
                <w:bCs/>
              </w:rPr>
            </w:pPr>
            <w:r w:rsidRPr="00095299">
              <w:rPr>
                <w:b/>
                <w:bCs/>
                <w:vertAlign w:val="superscript"/>
              </w:rPr>
              <w:t>31</w:t>
            </w:r>
            <w:r w:rsidRPr="00095299">
              <w:rPr>
                <w:b/>
                <w:bCs/>
              </w:rPr>
              <w:t>P(n,p)</w:t>
            </w:r>
            <w:r w:rsidRPr="00095299">
              <w:rPr>
                <w:b/>
                <w:bCs/>
                <w:vertAlign w:val="superscript"/>
              </w:rPr>
              <w:t>31</w:t>
            </w:r>
            <w:r w:rsidRPr="00095299">
              <w:rPr>
                <w:b/>
                <w:bCs/>
              </w:rPr>
              <w:t>Si</w:t>
            </w:r>
          </w:p>
        </w:tc>
        <w:tc>
          <w:tcPr>
            <w:tcW w:w="1273" w:type="dxa"/>
          </w:tcPr>
          <w:p w:rsidR="0097247B" w:rsidRPr="00095299" w:rsidRDefault="0097247B" w:rsidP="00E36455">
            <w:pPr>
              <w:jc w:val="center"/>
              <w:rPr>
                <w:b/>
                <w:bCs/>
              </w:rPr>
            </w:pPr>
            <w:r w:rsidRPr="00095299">
              <w:rPr>
                <w:b/>
                <w:bCs/>
                <w:position w:val="-18"/>
              </w:rPr>
              <w:object w:dxaOrig="74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5pt;height:31.95pt" o:ole="">
                  <v:imagedata r:id="rId12" o:title=""/>
                </v:shape>
                <o:OLEObject Type="Embed" ProgID="Equation.DSMT4" ShapeID="_x0000_i1025" DrawAspect="Content" ObjectID="_1745674660" r:id="rId13"/>
              </w:object>
            </w:r>
          </w:p>
        </w:tc>
        <w:tc>
          <w:tcPr>
            <w:tcW w:w="1320" w:type="dxa"/>
          </w:tcPr>
          <w:p w:rsidR="0097247B" w:rsidRPr="00095299" w:rsidRDefault="0097247B" w:rsidP="00E36455">
            <w:pPr>
              <w:jc w:val="center"/>
              <w:rPr>
                <w:b/>
                <w:bCs/>
              </w:rPr>
            </w:pPr>
            <w:r w:rsidRPr="00095299">
              <w:rPr>
                <w:b/>
                <w:bCs/>
                <w:position w:val="-18"/>
              </w:rPr>
              <w:object w:dxaOrig="460" w:dyaOrig="480">
                <v:shape id="_x0000_i1026" type="#_x0000_t75" style="width:30.05pt;height:31.95pt" o:ole="">
                  <v:imagedata r:id="rId14" o:title=""/>
                </v:shape>
                <o:OLEObject Type="Embed" ProgID="Equation.DSMT4" ShapeID="_x0000_i1026" DrawAspect="Content" ObjectID="_1745674661" r:id="rId15"/>
              </w:object>
            </w:r>
          </w:p>
        </w:tc>
        <w:tc>
          <w:tcPr>
            <w:tcW w:w="997" w:type="dxa"/>
          </w:tcPr>
          <w:p w:rsidR="0097247B" w:rsidRPr="00095299" w:rsidRDefault="0097247B" w:rsidP="00E36455">
            <w:pPr>
              <w:jc w:val="both"/>
              <w:rPr>
                <w:b/>
                <w:bCs/>
              </w:rPr>
            </w:pPr>
            <w:r w:rsidRPr="00095299">
              <w:rPr>
                <w:b/>
                <w:bCs/>
              </w:rPr>
              <w:t>5.7(2.3)</w:t>
            </w:r>
          </w:p>
        </w:tc>
        <w:tc>
          <w:tcPr>
            <w:tcW w:w="1201" w:type="dxa"/>
          </w:tcPr>
          <w:p w:rsidR="0097247B" w:rsidRPr="00095299" w:rsidRDefault="0097247B" w:rsidP="00E36455">
            <w:pPr>
              <w:jc w:val="both"/>
              <w:rPr>
                <w:b/>
                <w:bCs/>
              </w:rPr>
            </w:pPr>
            <w:r w:rsidRPr="00095299">
              <w:rPr>
                <w:b/>
                <w:bCs/>
              </w:rPr>
              <w:t>4.6</w:t>
            </w:r>
          </w:p>
        </w:tc>
        <w:tc>
          <w:tcPr>
            <w:tcW w:w="1184" w:type="dxa"/>
          </w:tcPr>
          <w:p w:rsidR="0097247B" w:rsidRPr="00095299" w:rsidRDefault="0097247B" w:rsidP="00E36455">
            <w:pPr>
              <w:jc w:val="both"/>
            </w:pPr>
          </w:p>
        </w:tc>
      </w:tr>
      <w:tr w:rsidR="0097247B" w:rsidRPr="00095299" w:rsidTr="00E36455">
        <w:trPr>
          <w:jc w:val="center"/>
        </w:trPr>
        <w:tc>
          <w:tcPr>
            <w:tcW w:w="1212" w:type="dxa"/>
          </w:tcPr>
          <w:p w:rsidR="0097247B" w:rsidRPr="00095299" w:rsidRDefault="0097247B" w:rsidP="00E36455">
            <w:pPr>
              <w:jc w:val="both"/>
              <w:rPr>
                <w:b/>
                <w:bCs/>
              </w:rPr>
            </w:pPr>
            <w:r w:rsidRPr="00095299">
              <w:rPr>
                <w:b/>
                <w:bCs/>
              </w:rPr>
              <w:t>983.0</w:t>
            </w:r>
          </w:p>
        </w:tc>
        <w:tc>
          <w:tcPr>
            <w:tcW w:w="1555" w:type="dxa"/>
          </w:tcPr>
          <w:p w:rsidR="0097247B" w:rsidRPr="00095299" w:rsidRDefault="0097247B" w:rsidP="00E36455">
            <w:pPr>
              <w:jc w:val="both"/>
              <w:rPr>
                <w:b/>
                <w:bCs/>
              </w:rPr>
            </w:pPr>
            <w:r w:rsidRPr="00095299">
              <w:rPr>
                <w:b/>
                <w:bCs/>
                <w:vertAlign w:val="superscript"/>
              </w:rPr>
              <w:t>31</w:t>
            </w:r>
            <w:r w:rsidRPr="00095299">
              <w:rPr>
                <w:b/>
                <w:bCs/>
              </w:rPr>
              <w:t>P(n,α)</w:t>
            </w:r>
            <w:r w:rsidRPr="00095299">
              <w:rPr>
                <w:b/>
                <w:bCs/>
                <w:vertAlign w:val="superscript"/>
              </w:rPr>
              <w:t>28</w:t>
            </w:r>
            <w:r w:rsidRPr="00095299">
              <w:rPr>
                <w:b/>
                <w:bCs/>
              </w:rPr>
              <w:t>Al</w:t>
            </w:r>
          </w:p>
        </w:tc>
        <w:tc>
          <w:tcPr>
            <w:tcW w:w="1273" w:type="dxa"/>
          </w:tcPr>
          <w:p w:rsidR="0097247B" w:rsidRPr="00095299" w:rsidRDefault="0097247B" w:rsidP="00E36455">
            <w:pPr>
              <w:jc w:val="center"/>
              <w:rPr>
                <w:b/>
                <w:bCs/>
              </w:rPr>
            </w:pPr>
            <w:r w:rsidRPr="00095299">
              <w:rPr>
                <w:b/>
                <w:bCs/>
                <w:position w:val="-8"/>
              </w:rPr>
              <w:object w:dxaOrig="760" w:dyaOrig="279">
                <v:shape id="_x0000_i1027" type="#_x0000_t75" style="width:54.45pt;height:20.65pt" o:ole="">
                  <v:imagedata r:id="rId16" o:title=""/>
                </v:shape>
                <o:OLEObject Type="Embed" ProgID="Equation.DSMT4" ShapeID="_x0000_i1027" DrawAspect="Content" ObjectID="_1745674662" r:id="rId17"/>
              </w:object>
            </w:r>
          </w:p>
        </w:tc>
        <w:tc>
          <w:tcPr>
            <w:tcW w:w="1320" w:type="dxa"/>
          </w:tcPr>
          <w:p w:rsidR="0097247B" w:rsidRPr="00095299" w:rsidRDefault="0097247B" w:rsidP="00E36455">
            <w:pPr>
              <w:jc w:val="center"/>
              <w:rPr>
                <w:b/>
                <w:bCs/>
              </w:rPr>
            </w:pPr>
            <w:r w:rsidRPr="00095299">
              <w:rPr>
                <w:b/>
                <w:bCs/>
                <w:position w:val="-10"/>
              </w:rPr>
              <w:object w:dxaOrig="660" w:dyaOrig="300">
                <v:shape id="_x0000_i1028" type="#_x0000_t75" style="width:46.35pt;height:21.3pt" o:ole="">
                  <v:imagedata r:id="rId18" o:title=""/>
                </v:shape>
                <o:OLEObject Type="Embed" ProgID="Equation.DSMT4" ShapeID="_x0000_i1028" DrawAspect="Content" ObjectID="_1745674663" r:id="rId19"/>
              </w:object>
            </w:r>
          </w:p>
        </w:tc>
        <w:tc>
          <w:tcPr>
            <w:tcW w:w="997" w:type="dxa"/>
          </w:tcPr>
          <w:p w:rsidR="0097247B" w:rsidRPr="00095299" w:rsidRDefault="0097247B" w:rsidP="00E36455">
            <w:pPr>
              <w:jc w:val="both"/>
              <w:rPr>
                <w:b/>
                <w:bCs/>
              </w:rPr>
            </w:pPr>
            <w:r w:rsidRPr="00095299">
              <w:rPr>
                <w:b/>
                <w:bCs/>
              </w:rPr>
              <w:t>4.6(1.0)</w:t>
            </w:r>
          </w:p>
        </w:tc>
        <w:tc>
          <w:tcPr>
            <w:tcW w:w="1201" w:type="dxa"/>
          </w:tcPr>
          <w:p w:rsidR="0097247B" w:rsidRPr="00095299" w:rsidRDefault="0097247B" w:rsidP="00E36455">
            <w:pPr>
              <w:jc w:val="both"/>
              <w:rPr>
                <w:b/>
                <w:bCs/>
              </w:rPr>
            </w:pPr>
            <w:r w:rsidRPr="00095299">
              <w:rPr>
                <w:b/>
                <w:bCs/>
              </w:rPr>
              <w:t>6.4</w:t>
            </w:r>
          </w:p>
        </w:tc>
        <w:tc>
          <w:tcPr>
            <w:tcW w:w="1184" w:type="dxa"/>
          </w:tcPr>
          <w:p w:rsidR="0097247B" w:rsidRPr="00095299" w:rsidRDefault="0097247B" w:rsidP="00E36455">
            <w:pPr>
              <w:jc w:val="both"/>
            </w:pPr>
          </w:p>
        </w:tc>
      </w:tr>
      <w:tr w:rsidR="0097247B" w:rsidRPr="00095299" w:rsidTr="00E36455">
        <w:trPr>
          <w:jc w:val="center"/>
        </w:trPr>
        <w:tc>
          <w:tcPr>
            <w:tcW w:w="1212" w:type="dxa"/>
          </w:tcPr>
          <w:p w:rsidR="0097247B" w:rsidRPr="00095299" w:rsidRDefault="0097247B" w:rsidP="00E36455">
            <w:pPr>
              <w:jc w:val="both"/>
              <w:rPr>
                <w:b/>
                <w:bCs/>
                <w:color w:val="FF0000"/>
              </w:rPr>
            </w:pPr>
            <w:r w:rsidRPr="00095299">
              <w:rPr>
                <w:b/>
                <w:bCs/>
                <w:color w:val="FF0000"/>
              </w:rPr>
              <w:t>1136.2</w:t>
            </w:r>
          </w:p>
        </w:tc>
        <w:tc>
          <w:tcPr>
            <w:tcW w:w="1555" w:type="dxa"/>
          </w:tcPr>
          <w:p w:rsidR="0097247B" w:rsidRPr="00095299" w:rsidRDefault="0097247B" w:rsidP="00E36455">
            <w:pPr>
              <w:rPr>
                <w:b/>
                <w:bCs/>
                <w:color w:val="FF0000"/>
              </w:rPr>
            </w:pPr>
            <w:r w:rsidRPr="00095299">
              <w:rPr>
                <w:b/>
                <w:bCs/>
                <w:color w:val="FF0000"/>
                <w:vertAlign w:val="superscript"/>
              </w:rPr>
              <w:t>31</w:t>
            </w:r>
            <w:r w:rsidRPr="00095299">
              <w:rPr>
                <w:b/>
                <w:bCs/>
                <w:color w:val="FF0000"/>
              </w:rPr>
              <w:t>P(n,n')</w:t>
            </w:r>
            <w:r w:rsidRPr="00095299">
              <w:rPr>
                <w:b/>
                <w:bCs/>
                <w:color w:val="FF0000"/>
                <w:vertAlign w:val="superscript"/>
              </w:rPr>
              <w:t>31</w:t>
            </w:r>
            <w:r w:rsidRPr="00095299">
              <w:rPr>
                <w:b/>
                <w:bCs/>
                <w:color w:val="FF0000"/>
              </w:rPr>
              <w:t>P</w:t>
            </w:r>
          </w:p>
        </w:tc>
        <w:tc>
          <w:tcPr>
            <w:tcW w:w="1273" w:type="dxa"/>
          </w:tcPr>
          <w:p w:rsidR="0097247B" w:rsidRPr="00095299" w:rsidRDefault="0097247B" w:rsidP="00E36455">
            <w:pPr>
              <w:jc w:val="center"/>
              <w:rPr>
                <w:b/>
                <w:bCs/>
                <w:color w:val="FF0000"/>
              </w:rPr>
            </w:pPr>
            <w:r w:rsidRPr="00095299">
              <w:rPr>
                <w:b/>
                <w:bCs/>
                <w:color w:val="FF0000"/>
                <w:position w:val="-18"/>
              </w:rPr>
              <w:object w:dxaOrig="820" w:dyaOrig="480">
                <v:shape id="_x0000_i1029" type="#_x0000_t75" style="width:53.85pt;height:31.95pt" o:ole="">
                  <v:imagedata r:id="rId20" o:title=""/>
                </v:shape>
                <o:OLEObject Type="Embed" ProgID="Equation.DSMT4" ShapeID="_x0000_i1029" DrawAspect="Content" ObjectID="_1745674664" r:id="rId21"/>
              </w:object>
            </w:r>
          </w:p>
        </w:tc>
        <w:tc>
          <w:tcPr>
            <w:tcW w:w="1320" w:type="dxa"/>
          </w:tcPr>
          <w:p w:rsidR="0097247B" w:rsidRPr="00095299" w:rsidRDefault="0097247B" w:rsidP="00E36455">
            <w:pPr>
              <w:jc w:val="both"/>
              <w:rPr>
                <w:b/>
                <w:bCs/>
                <w:color w:val="FF0000"/>
              </w:rPr>
            </w:pPr>
            <w:r w:rsidRPr="00095299">
              <w:rPr>
                <w:b/>
                <w:bCs/>
                <w:color w:val="FF0000"/>
                <w:position w:val="-18"/>
              </w:rPr>
              <w:object w:dxaOrig="820" w:dyaOrig="480">
                <v:shape id="_x0000_i1030" type="#_x0000_t75" style="width:53.85pt;height:31.95pt" o:ole="">
                  <v:imagedata r:id="rId22" o:title=""/>
                </v:shape>
                <o:OLEObject Type="Embed" ProgID="Equation.DSMT4" ShapeID="_x0000_i1030" DrawAspect="Content" ObjectID="_1745674665" r:id="rId23"/>
              </w:object>
            </w:r>
          </w:p>
        </w:tc>
        <w:tc>
          <w:tcPr>
            <w:tcW w:w="997" w:type="dxa"/>
          </w:tcPr>
          <w:p w:rsidR="0097247B" w:rsidRPr="00095299" w:rsidRDefault="0097247B" w:rsidP="00E36455">
            <w:pPr>
              <w:jc w:val="both"/>
              <w:rPr>
                <w:b/>
                <w:bCs/>
                <w:color w:val="FF0000"/>
              </w:rPr>
            </w:pPr>
            <w:r w:rsidRPr="00095299">
              <w:rPr>
                <w:b/>
                <w:bCs/>
                <w:color w:val="FF0000"/>
              </w:rPr>
              <w:t>7.7(1.4)</w:t>
            </w:r>
          </w:p>
        </w:tc>
        <w:tc>
          <w:tcPr>
            <w:tcW w:w="1201" w:type="dxa"/>
          </w:tcPr>
          <w:p w:rsidR="0097247B" w:rsidRPr="00095299" w:rsidRDefault="0097247B" w:rsidP="00E36455">
            <w:pPr>
              <w:jc w:val="both"/>
              <w:rPr>
                <w:b/>
                <w:bCs/>
                <w:color w:val="FF0000"/>
              </w:rPr>
            </w:pPr>
            <w:r w:rsidRPr="00095299">
              <w:rPr>
                <w:b/>
                <w:bCs/>
                <w:color w:val="FF0000"/>
              </w:rPr>
              <w:t>2.2</w:t>
            </w:r>
          </w:p>
        </w:tc>
        <w:tc>
          <w:tcPr>
            <w:tcW w:w="1184" w:type="dxa"/>
          </w:tcPr>
          <w:p w:rsidR="0097247B" w:rsidRPr="00095299" w:rsidRDefault="0097247B" w:rsidP="00E36455">
            <w:pPr>
              <w:jc w:val="both"/>
              <w:rPr>
                <w:color w:val="FF0000"/>
              </w:rPr>
            </w:pPr>
          </w:p>
        </w:tc>
      </w:tr>
      <w:tr w:rsidR="0097247B" w:rsidRPr="00095299" w:rsidTr="00E36455">
        <w:trPr>
          <w:jc w:val="center"/>
        </w:trPr>
        <w:tc>
          <w:tcPr>
            <w:tcW w:w="1212" w:type="dxa"/>
          </w:tcPr>
          <w:p w:rsidR="0097247B" w:rsidRPr="00095299" w:rsidRDefault="0097247B" w:rsidP="00E36455">
            <w:pPr>
              <w:jc w:val="both"/>
              <w:rPr>
                <w:color w:val="1F497D" w:themeColor="text2"/>
              </w:rPr>
            </w:pPr>
            <w:r w:rsidRPr="00095299">
              <w:rPr>
                <w:color w:val="1F497D" w:themeColor="text2"/>
              </w:rPr>
              <w:t>1263.3*</w:t>
            </w:r>
          </w:p>
          <w:p w:rsidR="0097247B" w:rsidRPr="00095299" w:rsidRDefault="0097247B" w:rsidP="00E36455">
            <w:pPr>
              <w:jc w:val="both"/>
              <w:rPr>
                <w:color w:val="1F497D" w:themeColor="text2"/>
              </w:rPr>
            </w:pPr>
            <w:r w:rsidRPr="00095299">
              <w:rPr>
                <w:color w:val="1F497D" w:themeColor="text2"/>
              </w:rPr>
              <w:t>1266.1*</w:t>
            </w:r>
          </w:p>
        </w:tc>
        <w:tc>
          <w:tcPr>
            <w:tcW w:w="1555" w:type="dxa"/>
          </w:tcPr>
          <w:p w:rsidR="0097247B" w:rsidRPr="00095299" w:rsidRDefault="0097247B" w:rsidP="00E36455">
            <w:pPr>
              <w:jc w:val="both"/>
              <w:rPr>
                <w:color w:val="1F497D" w:themeColor="text2"/>
                <w:lang w:val="en-US"/>
              </w:rPr>
            </w:pPr>
            <w:r w:rsidRPr="00095299">
              <w:rPr>
                <w:color w:val="1F497D" w:themeColor="text2"/>
                <w:vertAlign w:val="superscript"/>
                <w:lang w:val="en-US"/>
              </w:rPr>
              <w:t>31</w:t>
            </w:r>
            <w:r w:rsidRPr="00095299">
              <w:rPr>
                <w:color w:val="1F497D" w:themeColor="text2"/>
                <w:lang w:val="en-US"/>
              </w:rPr>
              <w:t>P(n,d)</w:t>
            </w:r>
            <w:r w:rsidRPr="00095299">
              <w:rPr>
                <w:color w:val="1F497D" w:themeColor="text2"/>
                <w:vertAlign w:val="superscript"/>
                <w:lang w:val="en-US"/>
              </w:rPr>
              <w:t>30</w:t>
            </w:r>
            <w:r w:rsidRPr="00095299">
              <w:rPr>
                <w:color w:val="1F497D" w:themeColor="text2"/>
                <w:lang w:val="en-US"/>
              </w:rPr>
              <w:t>Si</w:t>
            </w:r>
          </w:p>
          <w:p w:rsidR="0097247B" w:rsidRPr="00095299" w:rsidRDefault="0097247B" w:rsidP="00E36455">
            <w:pPr>
              <w:jc w:val="both"/>
              <w:rPr>
                <w:color w:val="1F497D" w:themeColor="text2"/>
                <w:lang w:val="en-US"/>
              </w:rPr>
            </w:pPr>
            <w:r w:rsidRPr="00095299">
              <w:rPr>
                <w:color w:val="1F497D" w:themeColor="text2"/>
                <w:vertAlign w:val="superscript"/>
                <w:lang w:val="en-US"/>
              </w:rPr>
              <w:t>31</w:t>
            </w:r>
            <w:r w:rsidRPr="00095299">
              <w:rPr>
                <w:color w:val="1F497D" w:themeColor="text2"/>
                <w:lang w:val="en-US"/>
              </w:rPr>
              <w:t>P(n,n')</w:t>
            </w:r>
            <w:r w:rsidRPr="00095299">
              <w:rPr>
                <w:color w:val="1F497D" w:themeColor="text2"/>
                <w:vertAlign w:val="superscript"/>
                <w:lang w:val="en-US"/>
              </w:rPr>
              <w:t>31</w:t>
            </w:r>
            <w:r w:rsidRPr="00095299">
              <w:rPr>
                <w:color w:val="1F497D" w:themeColor="text2"/>
                <w:lang w:val="en-US"/>
              </w:rPr>
              <w:t>P</w:t>
            </w:r>
          </w:p>
        </w:tc>
        <w:tc>
          <w:tcPr>
            <w:tcW w:w="1273" w:type="dxa"/>
          </w:tcPr>
          <w:p w:rsidR="0097247B" w:rsidRPr="00095299" w:rsidRDefault="0097247B" w:rsidP="00E36455">
            <w:pPr>
              <w:jc w:val="center"/>
              <w:rPr>
                <w:color w:val="1F497D" w:themeColor="text2"/>
              </w:rPr>
            </w:pPr>
            <w:r w:rsidRPr="00095299">
              <w:rPr>
                <w:color w:val="1F497D" w:themeColor="text2"/>
                <w:position w:val="-10"/>
              </w:rPr>
              <w:object w:dxaOrig="800" w:dyaOrig="300">
                <v:shape id="_x0000_i1031" type="#_x0000_t75" style="width:56.35pt;height:21.3pt" o:ole="">
                  <v:imagedata r:id="rId24" o:title=""/>
                </v:shape>
                <o:OLEObject Type="Embed" ProgID="Equation.DSMT4" ShapeID="_x0000_i1031" DrawAspect="Content" ObjectID="_1745674666" r:id="rId25"/>
              </w:object>
            </w:r>
          </w:p>
          <w:p w:rsidR="0097247B" w:rsidRPr="00095299" w:rsidRDefault="0097247B" w:rsidP="00E36455">
            <w:pPr>
              <w:jc w:val="center"/>
              <w:rPr>
                <w:color w:val="1F497D" w:themeColor="text2"/>
              </w:rPr>
            </w:pPr>
            <w:r w:rsidRPr="00095299">
              <w:rPr>
                <w:color w:val="1F497D" w:themeColor="text2"/>
                <w:position w:val="-18"/>
              </w:rPr>
              <w:object w:dxaOrig="800" w:dyaOrig="480">
                <v:shape id="_x0000_i1032" type="#_x0000_t75" style="width:52.6pt;height:31.95pt" o:ole="">
                  <v:imagedata r:id="rId26" o:title=""/>
                </v:shape>
                <o:OLEObject Type="Embed" ProgID="Equation.DSMT4" ShapeID="_x0000_i1032" DrawAspect="Content" ObjectID="_1745674667" r:id="rId27"/>
              </w:object>
            </w:r>
          </w:p>
        </w:tc>
        <w:tc>
          <w:tcPr>
            <w:tcW w:w="1320" w:type="dxa"/>
          </w:tcPr>
          <w:p w:rsidR="0097247B" w:rsidRPr="00095299" w:rsidRDefault="0097247B" w:rsidP="00E36455">
            <w:pPr>
              <w:jc w:val="center"/>
              <w:rPr>
                <w:color w:val="1F497D" w:themeColor="text2"/>
              </w:rPr>
            </w:pPr>
            <w:r w:rsidRPr="00095299">
              <w:rPr>
                <w:color w:val="1F497D" w:themeColor="text2"/>
                <w:position w:val="-10"/>
              </w:rPr>
              <w:object w:dxaOrig="820" w:dyaOrig="300">
                <v:shape id="_x0000_i1033" type="#_x0000_t75" style="width:57.6pt;height:21.3pt" o:ole="">
                  <v:imagedata r:id="rId28" o:title=""/>
                </v:shape>
                <o:OLEObject Type="Embed" ProgID="Equation.DSMT4" ShapeID="_x0000_i1033" DrawAspect="Content" ObjectID="_1745674668" r:id="rId29"/>
              </w:object>
            </w:r>
          </w:p>
          <w:p w:rsidR="0097247B" w:rsidRPr="00095299" w:rsidRDefault="0097247B" w:rsidP="00E36455">
            <w:pPr>
              <w:jc w:val="center"/>
              <w:rPr>
                <w:color w:val="1F497D" w:themeColor="text2"/>
              </w:rPr>
            </w:pPr>
            <w:r w:rsidRPr="00095299">
              <w:rPr>
                <w:color w:val="1F497D" w:themeColor="text2"/>
                <w:position w:val="-18"/>
              </w:rPr>
              <w:object w:dxaOrig="460" w:dyaOrig="480">
                <v:shape id="_x0000_i1034" type="#_x0000_t75" style="width:30.05pt;height:31.95pt" o:ole="">
                  <v:imagedata r:id="rId30" o:title=""/>
                </v:shape>
                <o:OLEObject Type="Embed" ProgID="Equation.DSMT4" ShapeID="_x0000_i1034" DrawAspect="Content" ObjectID="_1745674669" r:id="rId31"/>
              </w:object>
            </w:r>
          </w:p>
        </w:tc>
        <w:tc>
          <w:tcPr>
            <w:tcW w:w="997" w:type="dxa"/>
          </w:tcPr>
          <w:p w:rsidR="0097247B" w:rsidRPr="00095299" w:rsidRDefault="0097247B" w:rsidP="00E36455">
            <w:pPr>
              <w:jc w:val="both"/>
              <w:rPr>
                <w:color w:val="1F497D" w:themeColor="text2"/>
              </w:rPr>
            </w:pPr>
            <w:r w:rsidRPr="00095299">
              <w:rPr>
                <w:color w:val="1F497D" w:themeColor="text2"/>
              </w:rPr>
              <w:t>72.8(11.6)</w:t>
            </w:r>
          </w:p>
        </w:tc>
        <w:tc>
          <w:tcPr>
            <w:tcW w:w="1201" w:type="dxa"/>
          </w:tcPr>
          <w:p w:rsidR="0097247B" w:rsidRPr="00095299" w:rsidRDefault="0097247B" w:rsidP="00E36455">
            <w:pPr>
              <w:jc w:val="both"/>
              <w:rPr>
                <w:color w:val="1F497D" w:themeColor="text2"/>
              </w:rPr>
            </w:pPr>
            <w:r w:rsidRPr="00095299">
              <w:rPr>
                <w:color w:val="1F497D" w:themeColor="text2"/>
              </w:rPr>
              <w:t>5.0</w:t>
            </w:r>
          </w:p>
          <w:p w:rsidR="0097247B" w:rsidRPr="00095299" w:rsidRDefault="0097247B" w:rsidP="00E36455">
            <w:pPr>
              <w:jc w:val="both"/>
              <w:rPr>
                <w:color w:val="1F497D" w:themeColor="text2"/>
              </w:rPr>
            </w:pPr>
            <w:r w:rsidRPr="00095299">
              <w:rPr>
                <w:color w:val="1F497D" w:themeColor="text2"/>
              </w:rPr>
              <w:t>53.7</w:t>
            </w:r>
          </w:p>
        </w:tc>
        <w:tc>
          <w:tcPr>
            <w:tcW w:w="1184" w:type="dxa"/>
          </w:tcPr>
          <w:p w:rsidR="0097247B" w:rsidRPr="00095299" w:rsidRDefault="0097247B" w:rsidP="00E36455">
            <w:pPr>
              <w:jc w:val="both"/>
              <w:rPr>
                <w:color w:val="1F497D" w:themeColor="text2"/>
              </w:rPr>
            </w:pPr>
            <w:r w:rsidRPr="00095299">
              <w:rPr>
                <w:color w:val="1F497D" w:themeColor="text2"/>
              </w:rPr>
              <w:t>43.8(10.6)</w:t>
            </w:r>
          </w:p>
        </w:tc>
      </w:tr>
      <w:tr w:rsidR="0097247B" w:rsidRPr="00095299" w:rsidTr="00E36455">
        <w:trPr>
          <w:jc w:val="center"/>
        </w:trPr>
        <w:tc>
          <w:tcPr>
            <w:tcW w:w="1212" w:type="dxa"/>
          </w:tcPr>
          <w:p w:rsidR="0097247B" w:rsidRPr="00095299" w:rsidRDefault="0097247B" w:rsidP="00E36455">
            <w:pPr>
              <w:jc w:val="both"/>
              <w:rPr>
                <w:b/>
                <w:bCs/>
              </w:rPr>
            </w:pPr>
            <w:r w:rsidRPr="00095299">
              <w:rPr>
                <w:b/>
                <w:bCs/>
              </w:rPr>
              <w:t>1694.9</w:t>
            </w:r>
          </w:p>
        </w:tc>
        <w:tc>
          <w:tcPr>
            <w:tcW w:w="1555" w:type="dxa"/>
          </w:tcPr>
          <w:p w:rsidR="0097247B" w:rsidRPr="00095299" w:rsidRDefault="0097247B" w:rsidP="00E36455">
            <w:pPr>
              <w:jc w:val="both"/>
              <w:rPr>
                <w:b/>
                <w:bCs/>
              </w:rPr>
            </w:pPr>
            <w:r w:rsidRPr="00095299">
              <w:rPr>
                <w:b/>
                <w:bCs/>
                <w:vertAlign w:val="superscript"/>
              </w:rPr>
              <w:t>31</w:t>
            </w:r>
            <w:r w:rsidRPr="00095299">
              <w:rPr>
                <w:b/>
                <w:bCs/>
              </w:rPr>
              <w:t>P(n,p)</w:t>
            </w:r>
            <w:r w:rsidRPr="00095299">
              <w:rPr>
                <w:b/>
                <w:bCs/>
                <w:vertAlign w:val="superscript"/>
              </w:rPr>
              <w:t>31</w:t>
            </w:r>
            <w:r w:rsidRPr="00095299">
              <w:rPr>
                <w:b/>
                <w:bCs/>
              </w:rPr>
              <w:t>Si</w:t>
            </w:r>
          </w:p>
        </w:tc>
        <w:tc>
          <w:tcPr>
            <w:tcW w:w="1273" w:type="dxa"/>
          </w:tcPr>
          <w:p w:rsidR="0097247B" w:rsidRPr="00095299" w:rsidRDefault="0097247B" w:rsidP="00E36455">
            <w:pPr>
              <w:jc w:val="center"/>
              <w:rPr>
                <w:b/>
                <w:bCs/>
              </w:rPr>
            </w:pPr>
            <w:r w:rsidRPr="00095299">
              <w:rPr>
                <w:b/>
                <w:bCs/>
                <w:position w:val="-18"/>
              </w:rPr>
              <w:object w:dxaOrig="820" w:dyaOrig="480">
                <v:shape id="_x0000_i1035" type="#_x0000_t75" style="width:53.85pt;height:31.95pt" o:ole="">
                  <v:imagedata r:id="rId32" o:title=""/>
                </v:shape>
                <o:OLEObject Type="Embed" ProgID="Equation.DSMT4" ShapeID="_x0000_i1035" DrawAspect="Content" ObjectID="_1745674670" r:id="rId33"/>
              </w:object>
            </w:r>
          </w:p>
        </w:tc>
        <w:tc>
          <w:tcPr>
            <w:tcW w:w="1320" w:type="dxa"/>
          </w:tcPr>
          <w:p w:rsidR="0097247B" w:rsidRPr="00095299" w:rsidRDefault="0097247B" w:rsidP="00E36455">
            <w:pPr>
              <w:jc w:val="center"/>
              <w:rPr>
                <w:b/>
                <w:bCs/>
              </w:rPr>
            </w:pPr>
            <w:r w:rsidRPr="00095299">
              <w:rPr>
                <w:b/>
                <w:bCs/>
                <w:position w:val="-18"/>
              </w:rPr>
              <w:object w:dxaOrig="460" w:dyaOrig="480">
                <v:shape id="_x0000_i1036" type="#_x0000_t75" style="width:30.05pt;height:31.95pt" o:ole="">
                  <v:imagedata r:id="rId34" o:title=""/>
                </v:shape>
                <o:OLEObject Type="Embed" ProgID="Equation.DSMT4" ShapeID="_x0000_i1036" DrawAspect="Content" ObjectID="_1745674671" r:id="rId35"/>
              </w:object>
            </w:r>
          </w:p>
        </w:tc>
        <w:tc>
          <w:tcPr>
            <w:tcW w:w="997" w:type="dxa"/>
          </w:tcPr>
          <w:p w:rsidR="0097247B" w:rsidRPr="00095299" w:rsidRDefault="0097247B" w:rsidP="00E36455">
            <w:pPr>
              <w:jc w:val="both"/>
              <w:rPr>
                <w:b/>
                <w:bCs/>
              </w:rPr>
            </w:pPr>
            <w:r w:rsidRPr="00095299">
              <w:rPr>
                <w:b/>
                <w:bCs/>
              </w:rPr>
              <w:t>12.4(2.5)</w:t>
            </w:r>
          </w:p>
        </w:tc>
        <w:tc>
          <w:tcPr>
            <w:tcW w:w="1201" w:type="dxa"/>
          </w:tcPr>
          <w:p w:rsidR="0097247B" w:rsidRPr="00095299" w:rsidRDefault="0097247B" w:rsidP="00E36455">
            <w:pPr>
              <w:jc w:val="both"/>
              <w:rPr>
                <w:b/>
                <w:bCs/>
              </w:rPr>
            </w:pPr>
            <w:r w:rsidRPr="00095299">
              <w:rPr>
                <w:b/>
                <w:bCs/>
              </w:rPr>
              <w:t>8.6</w:t>
            </w:r>
          </w:p>
        </w:tc>
        <w:tc>
          <w:tcPr>
            <w:tcW w:w="1184" w:type="dxa"/>
          </w:tcPr>
          <w:p w:rsidR="0097247B" w:rsidRPr="00095299" w:rsidRDefault="0097247B" w:rsidP="00E36455">
            <w:pPr>
              <w:jc w:val="both"/>
              <w:rPr>
                <w:color w:val="92D050"/>
              </w:rPr>
            </w:pPr>
          </w:p>
        </w:tc>
      </w:tr>
      <w:tr w:rsidR="0097247B" w:rsidRPr="00095299" w:rsidTr="00E36455">
        <w:trPr>
          <w:jc w:val="center"/>
        </w:trPr>
        <w:tc>
          <w:tcPr>
            <w:tcW w:w="1212" w:type="dxa"/>
          </w:tcPr>
          <w:p w:rsidR="0097247B" w:rsidRPr="00095299" w:rsidRDefault="0097247B" w:rsidP="00E36455">
            <w:pPr>
              <w:jc w:val="both"/>
              <w:rPr>
                <w:b/>
                <w:bCs/>
              </w:rPr>
            </w:pPr>
            <w:r w:rsidRPr="00095299">
              <w:rPr>
                <w:b/>
                <w:bCs/>
              </w:rPr>
              <w:t>1928.3</w:t>
            </w:r>
          </w:p>
        </w:tc>
        <w:tc>
          <w:tcPr>
            <w:tcW w:w="1555" w:type="dxa"/>
          </w:tcPr>
          <w:p w:rsidR="0097247B" w:rsidRPr="00095299" w:rsidRDefault="0097247B" w:rsidP="00E36455">
            <w:pPr>
              <w:jc w:val="both"/>
              <w:rPr>
                <w:b/>
                <w:bCs/>
              </w:rPr>
            </w:pPr>
            <w:r w:rsidRPr="00095299">
              <w:rPr>
                <w:b/>
                <w:bCs/>
                <w:vertAlign w:val="superscript"/>
              </w:rPr>
              <w:t>31</w:t>
            </w:r>
            <w:r w:rsidRPr="00095299">
              <w:rPr>
                <w:b/>
                <w:bCs/>
              </w:rPr>
              <w:t>P(n,n')</w:t>
            </w:r>
            <w:r w:rsidRPr="00095299">
              <w:rPr>
                <w:b/>
                <w:bCs/>
                <w:vertAlign w:val="superscript"/>
              </w:rPr>
              <w:t>31</w:t>
            </w:r>
            <w:r w:rsidRPr="00095299">
              <w:rPr>
                <w:b/>
                <w:bCs/>
              </w:rPr>
              <w:t>P</w:t>
            </w:r>
          </w:p>
        </w:tc>
        <w:tc>
          <w:tcPr>
            <w:tcW w:w="1273" w:type="dxa"/>
          </w:tcPr>
          <w:p w:rsidR="0097247B" w:rsidRPr="00095299" w:rsidRDefault="0097247B" w:rsidP="00E36455">
            <w:pPr>
              <w:jc w:val="center"/>
              <w:rPr>
                <w:b/>
                <w:bCs/>
              </w:rPr>
            </w:pPr>
            <w:r w:rsidRPr="00095299">
              <w:rPr>
                <w:b/>
                <w:bCs/>
                <w:position w:val="-18"/>
              </w:rPr>
              <w:object w:dxaOrig="820" w:dyaOrig="480">
                <v:shape id="_x0000_i1037" type="#_x0000_t75" style="width:53.85pt;height:31.95pt" o:ole="">
                  <v:imagedata r:id="rId36" o:title=""/>
                </v:shape>
                <o:OLEObject Type="Embed" ProgID="Equation.DSMT4" ShapeID="_x0000_i1037" DrawAspect="Content" ObjectID="_1745674672" r:id="rId37"/>
              </w:object>
            </w:r>
          </w:p>
        </w:tc>
        <w:tc>
          <w:tcPr>
            <w:tcW w:w="1320" w:type="dxa"/>
          </w:tcPr>
          <w:p w:rsidR="0097247B" w:rsidRPr="00095299" w:rsidRDefault="0097247B" w:rsidP="00E36455">
            <w:pPr>
              <w:jc w:val="center"/>
              <w:rPr>
                <w:b/>
                <w:bCs/>
              </w:rPr>
            </w:pPr>
            <w:r w:rsidRPr="00095299">
              <w:rPr>
                <w:b/>
                <w:bCs/>
                <w:position w:val="-18"/>
              </w:rPr>
              <w:object w:dxaOrig="820" w:dyaOrig="480">
                <v:shape id="_x0000_i1038" type="#_x0000_t75" style="width:53.85pt;height:31.95pt" o:ole="">
                  <v:imagedata r:id="rId38" o:title=""/>
                </v:shape>
                <o:OLEObject Type="Embed" ProgID="Equation.DSMT4" ShapeID="_x0000_i1038" DrawAspect="Content" ObjectID="_1745674673" r:id="rId39"/>
              </w:object>
            </w:r>
          </w:p>
        </w:tc>
        <w:tc>
          <w:tcPr>
            <w:tcW w:w="997" w:type="dxa"/>
          </w:tcPr>
          <w:p w:rsidR="0097247B" w:rsidRPr="00095299" w:rsidRDefault="0097247B" w:rsidP="00E36455">
            <w:pPr>
              <w:jc w:val="both"/>
              <w:rPr>
                <w:b/>
                <w:bCs/>
              </w:rPr>
            </w:pPr>
            <w:r w:rsidRPr="00095299">
              <w:rPr>
                <w:b/>
                <w:bCs/>
              </w:rPr>
              <w:t>6.1(1.9)</w:t>
            </w:r>
          </w:p>
        </w:tc>
        <w:tc>
          <w:tcPr>
            <w:tcW w:w="1201" w:type="dxa"/>
          </w:tcPr>
          <w:p w:rsidR="0097247B" w:rsidRPr="00095299" w:rsidRDefault="0097247B" w:rsidP="00E36455">
            <w:pPr>
              <w:jc w:val="both"/>
              <w:rPr>
                <w:b/>
                <w:bCs/>
              </w:rPr>
            </w:pPr>
            <w:r w:rsidRPr="00095299">
              <w:rPr>
                <w:b/>
                <w:bCs/>
              </w:rPr>
              <w:t>3.9</w:t>
            </w:r>
          </w:p>
        </w:tc>
        <w:tc>
          <w:tcPr>
            <w:tcW w:w="1184" w:type="dxa"/>
          </w:tcPr>
          <w:p w:rsidR="0097247B" w:rsidRPr="00095299" w:rsidRDefault="0097247B" w:rsidP="00E36455">
            <w:pPr>
              <w:jc w:val="both"/>
              <w:rPr>
                <w:color w:val="92D050"/>
              </w:rPr>
            </w:pPr>
          </w:p>
        </w:tc>
      </w:tr>
      <w:tr w:rsidR="0097247B" w:rsidRPr="00095299" w:rsidTr="00E36455">
        <w:trPr>
          <w:jc w:val="center"/>
        </w:trPr>
        <w:tc>
          <w:tcPr>
            <w:tcW w:w="1212" w:type="dxa"/>
          </w:tcPr>
          <w:p w:rsidR="0097247B" w:rsidRPr="00095299" w:rsidRDefault="0097247B" w:rsidP="00E36455">
            <w:pPr>
              <w:jc w:val="both"/>
            </w:pPr>
            <w:r w:rsidRPr="00095299">
              <w:lastRenderedPageBreak/>
              <w:t>2148.5</w:t>
            </w:r>
          </w:p>
        </w:tc>
        <w:tc>
          <w:tcPr>
            <w:tcW w:w="1555" w:type="dxa"/>
          </w:tcPr>
          <w:p w:rsidR="0097247B" w:rsidRPr="00095299" w:rsidRDefault="0097247B" w:rsidP="00E36455">
            <w:pPr>
              <w:jc w:val="both"/>
            </w:pPr>
            <w:r w:rsidRPr="00095299">
              <w:rPr>
                <w:vertAlign w:val="superscript"/>
              </w:rPr>
              <w:t>31</w:t>
            </w:r>
            <w:r w:rsidRPr="00095299">
              <w:t>P(n,n')</w:t>
            </w:r>
            <w:r w:rsidRPr="00095299">
              <w:rPr>
                <w:vertAlign w:val="superscript"/>
              </w:rPr>
              <w:t>31</w:t>
            </w:r>
            <w:r w:rsidRPr="00095299">
              <w:t>P</w:t>
            </w:r>
          </w:p>
        </w:tc>
        <w:tc>
          <w:tcPr>
            <w:tcW w:w="1273" w:type="dxa"/>
          </w:tcPr>
          <w:p w:rsidR="0097247B" w:rsidRPr="00095299" w:rsidRDefault="0097247B" w:rsidP="00E36455">
            <w:pPr>
              <w:jc w:val="both"/>
            </w:pPr>
            <w:r w:rsidRPr="00095299">
              <w:rPr>
                <w:position w:val="-18"/>
              </w:rPr>
              <w:object w:dxaOrig="820" w:dyaOrig="480">
                <v:shape id="_x0000_i1039" type="#_x0000_t75" style="width:53.85pt;height:31.95pt" o:ole="">
                  <v:imagedata r:id="rId38" o:title=""/>
                </v:shape>
                <o:OLEObject Type="Embed" ProgID="Equation.DSMT4" ShapeID="_x0000_i1039" DrawAspect="Content" ObjectID="_1745674674" r:id="rId40"/>
              </w:object>
            </w:r>
          </w:p>
        </w:tc>
        <w:tc>
          <w:tcPr>
            <w:tcW w:w="1320" w:type="dxa"/>
          </w:tcPr>
          <w:p w:rsidR="0097247B" w:rsidRPr="00095299" w:rsidRDefault="0097247B" w:rsidP="00E36455">
            <w:pPr>
              <w:jc w:val="both"/>
            </w:pPr>
            <w:r w:rsidRPr="00095299">
              <w:rPr>
                <w:position w:val="-18"/>
              </w:rPr>
              <w:object w:dxaOrig="800" w:dyaOrig="480">
                <v:shape id="_x0000_i1040" type="#_x0000_t75" style="width:52.6pt;height:31.95pt" o:ole="">
                  <v:imagedata r:id="rId26" o:title=""/>
                </v:shape>
                <o:OLEObject Type="Embed" ProgID="Equation.DSMT4" ShapeID="_x0000_i1040" DrawAspect="Content" ObjectID="_1745674675" r:id="rId41"/>
              </w:object>
            </w:r>
          </w:p>
        </w:tc>
        <w:tc>
          <w:tcPr>
            <w:tcW w:w="997" w:type="dxa"/>
          </w:tcPr>
          <w:p w:rsidR="0097247B" w:rsidRPr="00095299" w:rsidRDefault="0097247B" w:rsidP="00E36455">
            <w:pPr>
              <w:jc w:val="both"/>
            </w:pPr>
            <w:r w:rsidRPr="00095299">
              <w:t>17.6(3.5)</w:t>
            </w:r>
          </w:p>
        </w:tc>
        <w:tc>
          <w:tcPr>
            <w:tcW w:w="1201" w:type="dxa"/>
          </w:tcPr>
          <w:p w:rsidR="0097247B" w:rsidRPr="00095299" w:rsidRDefault="0097247B" w:rsidP="00E36455">
            <w:pPr>
              <w:jc w:val="both"/>
            </w:pPr>
            <w:r w:rsidRPr="00095299">
              <w:t>16.3</w:t>
            </w:r>
          </w:p>
        </w:tc>
        <w:tc>
          <w:tcPr>
            <w:tcW w:w="1184" w:type="dxa"/>
          </w:tcPr>
          <w:p w:rsidR="0097247B" w:rsidRPr="00095299" w:rsidRDefault="0097247B" w:rsidP="00E36455">
            <w:pPr>
              <w:jc w:val="both"/>
            </w:pPr>
            <w:r w:rsidRPr="00095299">
              <w:t>14.6(3.3)</w:t>
            </w:r>
          </w:p>
        </w:tc>
      </w:tr>
      <w:tr w:rsidR="0097247B" w:rsidRPr="00095299" w:rsidTr="00E36455">
        <w:trPr>
          <w:jc w:val="center"/>
        </w:trPr>
        <w:tc>
          <w:tcPr>
            <w:tcW w:w="1212" w:type="dxa"/>
          </w:tcPr>
          <w:p w:rsidR="0097247B" w:rsidRPr="00095299" w:rsidRDefault="0097247B" w:rsidP="00E36455">
            <w:pPr>
              <w:jc w:val="both"/>
              <w:rPr>
                <w:color w:val="FF0000"/>
              </w:rPr>
            </w:pPr>
            <w:r w:rsidRPr="00095299">
              <w:rPr>
                <w:color w:val="FF0000"/>
              </w:rPr>
              <w:t>2197.6</w:t>
            </w:r>
          </w:p>
        </w:tc>
        <w:tc>
          <w:tcPr>
            <w:tcW w:w="1555" w:type="dxa"/>
          </w:tcPr>
          <w:p w:rsidR="0097247B" w:rsidRPr="00095299" w:rsidRDefault="0097247B" w:rsidP="00E36455">
            <w:pPr>
              <w:jc w:val="both"/>
              <w:rPr>
                <w:color w:val="FF0000"/>
              </w:rPr>
            </w:pPr>
            <w:r w:rsidRPr="00095299">
              <w:rPr>
                <w:color w:val="FF0000"/>
                <w:vertAlign w:val="superscript"/>
              </w:rPr>
              <w:t>31</w:t>
            </w:r>
            <w:r w:rsidRPr="00095299">
              <w:rPr>
                <w:color w:val="FF0000"/>
              </w:rPr>
              <w:t>P(n,n')</w:t>
            </w:r>
            <w:r w:rsidRPr="00095299">
              <w:rPr>
                <w:color w:val="FF0000"/>
                <w:vertAlign w:val="superscript"/>
              </w:rPr>
              <w:t>31</w:t>
            </w:r>
            <w:r w:rsidRPr="00095299">
              <w:rPr>
                <w:color w:val="FF0000"/>
              </w:rPr>
              <w:t>P</w:t>
            </w:r>
          </w:p>
        </w:tc>
        <w:tc>
          <w:tcPr>
            <w:tcW w:w="1273" w:type="dxa"/>
          </w:tcPr>
          <w:p w:rsidR="0097247B" w:rsidRPr="00095299" w:rsidRDefault="0097247B" w:rsidP="00E36455">
            <w:pPr>
              <w:jc w:val="both"/>
              <w:rPr>
                <w:color w:val="FF0000"/>
              </w:rPr>
            </w:pPr>
            <w:r w:rsidRPr="00095299">
              <w:rPr>
                <w:color w:val="FF0000"/>
                <w:position w:val="-18"/>
              </w:rPr>
              <w:object w:dxaOrig="820" w:dyaOrig="480">
                <v:shape id="_x0000_i1041" type="#_x0000_t75" style="width:53.85pt;height:31.95pt" o:ole="">
                  <v:imagedata r:id="rId42" o:title=""/>
                </v:shape>
                <o:OLEObject Type="Embed" ProgID="Equation.DSMT4" ShapeID="_x0000_i1041" DrawAspect="Content" ObjectID="_1745674676" r:id="rId43"/>
              </w:object>
            </w:r>
          </w:p>
        </w:tc>
        <w:tc>
          <w:tcPr>
            <w:tcW w:w="1320" w:type="dxa"/>
          </w:tcPr>
          <w:p w:rsidR="0097247B" w:rsidRPr="00095299" w:rsidRDefault="0097247B" w:rsidP="00E36455">
            <w:pPr>
              <w:jc w:val="both"/>
              <w:rPr>
                <w:color w:val="FF0000"/>
              </w:rPr>
            </w:pPr>
            <w:r w:rsidRPr="00095299">
              <w:rPr>
                <w:color w:val="FF0000"/>
                <w:position w:val="-18"/>
              </w:rPr>
              <w:object w:dxaOrig="820" w:dyaOrig="480">
                <v:shape id="_x0000_i1042" type="#_x0000_t75" style="width:53.85pt;height:31.95pt" o:ole="">
                  <v:imagedata r:id="rId44" o:title=""/>
                </v:shape>
                <o:OLEObject Type="Embed" ProgID="Equation.DSMT4" ShapeID="_x0000_i1042" DrawAspect="Content" ObjectID="_1745674677" r:id="rId45"/>
              </w:object>
            </w:r>
          </w:p>
        </w:tc>
        <w:tc>
          <w:tcPr>
            <w:tcW w:w="997" w:type="dxa"/>
          </w:tcPr>
          <w:p w:rsidR="0097247B" w:rsidRPr="00095299" w:rsidRDefault="0097247B" w:rsidP="00E36455">
            <w:pPr>
              <w:jc w:val="both"/>
              <w:rPr>
                <w:color w:val="FF0000"/>
              </w:rPr>
            </w:pPr>
            <w:r w:rsidRPr="00095299">
              <w:rPr>
                <w:color w:val="FF0000"/>
              </w:rPr>
              <w:t>6.0(1.2)</w:t>
            </w:r>
          </w:p>
        </w:tc>
        <w:tc>
          <w:tcPr>
            <w:tcW w:w="1201" w:type="dxa"/>
          </w:tcPr>
          <w:p w:rsidR="0097247B" w:rsidRPr="00095299" w:rsidRDefault="0097247B" w:rsidP="00E36455">
            <w:pPr>
              <w:jc w:val="both"/>
              <w:rPr>
                <w:color w:val="FF0000"/>
              </w:rPr>
            </w:pPr>
            <w:r w:rsidRPr="00095299">
              <w:rPr>
                <w:color w:val="FF0000"/>
              </w:rPr>
              <w:t>2.9</w:t>
            </w:r>
          </w:p>
        </w:tc>
        <w:tc>
          <w:tcPr>
            <w:tcW w:w="1184" w:type="dxa"/>
          </w:tcPr>
          <w:p w:rsidR="0097247B" w:rsidRPr="00095299" w:rsidRDefault="0097247B" w:rsidP="00E36455">
            <w:pPr>
              <w:jc w:val="both"/>
            </w:pPr>
          </w:p>
        </w:tc>
      </w:tr>
      <w:tr w:rsidR="0097247B" w:rsidRPr="00095299" w:rsidTr="00E36455">
        <w:trPr>
          <w:jc w:val="center"/>
        </w:trPr>
        <w:tc>
          <w:tcPr>
            <w:tcW w:w="1212" w:type="dxa"/>
          </w:tcPr>
          <w:p w:rsidR="0097247B" w:rsidRPr="00095299" w:rsidRDefault="0097247B" w:rsidP="00E36455">
            <w:pPr>
              <w:jc w:val="both"/>
            </w:pPr>
            <w:r w:rsidRPr="00095299">
              <w:t>2233.6*</w:t>
            </w:r>
          </w:p>
          <w:p w:rsidR="0097247B" w:rsidRPr="00095299" w:rsidRDefault="0097247B" w:rsidP="00E36455">
            <w:pPr>
              <w:jc w:val="both"/>
            </w:pPr>
          </w:p>
          <w:p w:rsidR="0097247B" w:rsidRPr="00095299" w:rsidRDefault="0097247B" w:rsidP="00E36455">
            <w:pPr>
              <w:jc w:val="both"/>
            </w:pPr>
            <w:r w:rsidRPr="00095299">
              <w:t>2235.3*</w:t>
            </w:r>
          </w:p>
          <w:p w:rsidR="0097247B" w:rsidRPr="00095299" w:rsidRDefault="0097247B" w:rsidP="00E36455">
            <w:pPr>
              <w:jc w:val="both"/>
            </w:pPr>
          </w:p>
          <w:p w:rsidR="0097247B" w:rsidRPr="00095299" w:rsidRDefault="0097247B" w:rsidP="00E36455">
            <w:pPr>
              <w:jc w:val="both"/>
            </w:pPr>
            <w:r w:rsidRPr="00095299">
              <w:t>2240.0*</w:t>
            </w:r>
          </w:p>
        </w:tc>
        <w:tc>
          <w:tcPr>
            <w:tcW w:w="1555" w:type="dxa"/>
          </w:tcPr>
          <w:p w:rsidR="0097247B" w:rsidRPr="00095299" w:rsidRDefault="0097247B" w:rsidP="00E36455">
            <w:pPr>
              <w:jc w:val="both"/>
              <w:rPr>
                <w:lang w:val="en-US"/>
              </w:rPr>
            </w:pPr>
            <w:r w:rsidRPr="00095299">
              <w:rPr>
                <w:vertAlign w:val="superscript"/>
                <w:lang w:val="en-US"/>
              </w:rPr>
              <w:t>31</w:t>
            </w:r>
            <w:r w:rsidRPr="00095299">
              <w:rPr>
                <w:lang w:val="en-US"/>
              </w:rPr>
              <w:t>P(n,n')</w:t>
            </w:r>
            <w:r w:rsidRPr="00095299">
              <w:rPr>
                <w:vertAlign w:val="superscript"/>
                <w:lang w:val="en-US"/>
              </w:rPr>
              <w:t>31</w:t>
            </w:r>
            <w:r w:rsidRPr="00095299">
              <w:rPr>
                <w:lang w:val="en-US"/>
              </w:rPr>
              <w:t>P</w:t>
            </w:r>
          </w:p>
          <w:p w:rsidR="0097247B" w:rsidRPr="00095299" w:rsidRDefault="0097247B" w:rsidP="00E36455">
            <w:pPr>
              <w:jc w:val="both"/>
              <w:rPr>
                <w:lang w:val="en-US"/>
              </w:rPr>
            </w:pPr>
          </w:p>
          <w:p w:rsidR="0097247B" w:rsidRPr="00095299" w:rsidRDefault="0097247B" w:rsidP="00E36455">
            <w:pPr>
              <w:jc w:val="both"/>
              <w:rPr>
                <w:lang w:val="en-US"/>
              </w:rPr>
            </w:pPr>
            <w:r w:rsidRPr="00095299">
              <w:rPr>
                <w:vertAlign w:val="superscript"/>
                <w:lang w:val="en-US"/>
              </w:rPr>
              <w:t>31</w:t>
            </w:r>
            <w:r w:rsidRPr="00095299">
              <w:rPr>
                <w:lang w:val="en-US"/>
              </w:rPr>
              <w:t>P(n,d)</w:t>
            </w:r>
            <w:r w:rsidRPr="00095299">
              <w:rPr>
                <w:vertAlign w:val="superscript"/>
                <w:lang w:val="en-US"/>
              </w:rPr>
              <w:t>30</w:t>
            </w:r>
            <w:r w:rsidRPr="00095299">
              <w:rPr>
                <w:lang w:val="en-US"/>
              </w:rPr>
              <w:t>Si</w:t>
            </w:r>
          </w:p>
          <w:p w:rsidR="0097247B" w:rsidRPr="00095299" w:rsidRDefault="0097247B" w:rsidP="00E36455">
            <w:pPr>
              <w:jc w:val="both"/>
              <w:rPr>
                <w:lang w:val="en-US"/>
              </w:rPr>
            </w:pPr>
          </w:p>
          <w:p w:rsidR="0097247B" w:rsidRPr="00095299" w:rsidRDefault="0097247B" w:rsidP="00E36455">
            <w:pPr>
              <w:jc w:val="both"/>
              <w:rPr>
                <w:lang w:val="en-US"/>
              </w:rPr>
            </w:pPr>
            <w:r w:rsidRPr="00095299">
              <w:rPr>
                <w:vertAlign w:val="superscript"/>
                <w:lang w:val="en-US"/>
              </w:rPr>
              <w:t>31</w:t>
            </w:r>
            <w:r w:rsidRPr="00095299">
              <w:rPr>
                <w:lang w:val="en-US"/>
              </w:rPr>
              <w:t>P(n,n')</w:t>
            </w:r>
            <w:r w:rsidRPr="00095299">
              <w:rPr>
                <w:vertAlign w:val="superscript"/>
                <w:lang w:val="en-US"/>
              </w:rPr>
              <w:t>31</w:t>
            </w:r>
            <w:r w:rsidRPr="00095299">
              <w:rPr>
                <w:lang w:val="en-US"/>
              </w:rPr>
              <w:t>P</w:t>
            </w:r>
          </w:p>
        </w:tc>
        <w:tc>
          <w:tcPr>
            <w:tcW w:w="1273" w:type="dxa"/>
          </w:tcPr>
          <w:p w:rsidR="0097247B" w:rsidRPr="00095299" w:rsidRDefault="0097247B" w:rsidP="00E36455">
            <w:pPr>
              <w:jc w:val="both"/>
            </w:pPr>
            <w:r w:rsidRPr="00095299">
              <w:rPr>
                <w:position w:val="-18"/>
              </w:rPr>
              <w:object w:dxaOrig="820" w:dyaOrig="480">
                <v:shape id="_x0000_i1043" type="#_x0000_t75" style="width:53.85pt;height:31.95pt" o:ole="">
                  <v:imagedata r:id="rId46" o:title=""/>
                </v:shape>
                <o:OLEObject Type="Embed" ProgID="Equation.DSMT4" ShapeID="_x0000_i1043" DrawAspect="Content" ObjectID="_1745674678" r:id="rId47"/>
              </w:object>
            </w:r>
          </w:p>
          <w:p w:rsidR="0097247B" w:rsidRPr="00095299" w:rsidRDefault="0097247B" w:rsidP="00E36455">
            <w:pPr>
              <w:jc w:val="both"/>
            </w:pPr>
            <w:r w:rsidRPr="00095299">
              <w:rPr>
                <w:position w:val="-10"/>
              </w:rPr>
              <w:object w:dxaOrig="820" w:dyaOrig="300">
                <v:shape id="_x0000_i1044" type="#_x0000_t75" style="width:57.6pt;height:21.3pt" o:ole="">
                  <v:imagedata r:id="rId48" o:title=""/>
                </v:shape>
                <o:OLEObject Type="Embed" ProgID="Equation.DSMT4" ShapeID="_x0000_i1044" DrawAspect="Content" ObjectID="_1745674679" r:id="rId49"/>
              </w:object>
            </w:r>
          </w:p>
          <w:p w:rsidR="0097247B" w:rsidRPr="00095299" w:rsidRDefault="0097247B" w:rsidP="00E36455">
            <w:pPr>
              <w:jc w:val="both"/>
            </w:pPr>
            <w:r w:rsidRPr="00095299">
              <w:rPr>
                <w:position w:val="-18"/>
              </w:rPr>
              <w:object w:dxaOrig="820" w:dyaOrig="480">
                <v:shape id="_x0000_i1045" type="#_x0000_t75" style="width:53.85pt;height:31.95pt" o:ole="">
                  <v:imagedata r:id="rId50" o:title=""/>
                </v:shape>
                <o:OLEObject Type="Embed" ProgID="Equation.DSMT4" ShapeID="_x0000_i1045" DrawAspect="Content" ObjectID="_1745674680" r:id="rId51"/>
              </w:object>
            </w:r>
          </w:p>
        </w:tc>
        <w:tc>
          <w:tcPr>
            <w:tcW w:w="1320" w:type="dxa"/>
          </w:tcPr>
          <w:p w:rsidR="0097247B" w:rsidRPr="00095299" w:rsidRDefault="0097247B" w:rsidP="00E36455">
            <w:pPr>
              <w:jc w:val="both"/>
            </w:pPr>
            <w:r w:rsidRPr="00095299">
              <w:rPr>
                <w:position w:val="-18"/>
              </w:rPr>
              <w:object w:dxaOrig="460" w:dyaOrig="480">
                <v:shape id="_x0000_i1046" type="#_x0000_t75" style="width:30.05pt;height:31.95pt" o:ole="">
                  <v:imagedata r:id="rId30" o:title=""/>
                </v:shape>
                <o:OLEObject Type="Embed" ProgID="Equation.DSMT4" ShapeID="_x0000_i1046" DrawAspect="Content" ObjectID="_1745674681" r:id="rId52"/>
              </w:object>
            </w:r>
          </w:p>
          <w:p w:rsidR="0097247B" w:rsidRPr="00095299" w:rsidRDefault="0097247B" w:rsidP="00E36455">
            <w:pPr>
              <w:jc w:val="both"/>
            </w:pPr>
            <w:r w:rsidRPr="00095299">
              <w:rPr>
                <w:position w:val="-10"/>
              </w:rPr>
              <w:object w:dxaOrig="460" w:dyaOrig="300">
                <v:shape id="_x0000_i1047" type="#_x0000_t75" style="width:35.05pt;height:22.55pt" o:ole="">
                  <v:imagedata r:id="rId53" o:title=""/>
                </v:shape>
                <o:OLEObject Type="Embed" ProgID="Equation.DSMT4" ShapeID="_x0000_i1047" DrawAspect="Content" ObjectID="_1745674682" r:id="rId54"/>
              </w:object>
            </w:r>
          </w:p>
          <w:p w:rsidR="0097247B" w:rsidRPr="00095299" w:rsidRDefault="0097247B" w:rsidP="00E36455">
            <w:pPr>
              <w:jc w:val="both"/>
            </w:pPr>
            <w:r w:rsidRPr="00095299">
              <w:rPr>
                <w:position w:val="-18"/>
              </w:rPr>
              <w:object w:dxaOrig="800" w:dyaOrig="480">
                <v:shape id="_x0000_i1048" type="#_x0000_t75" style="width:52.6pt;height:31.95pt" o:ole="">
                  <v:imagedata r:id="rId26" o:title=""/>
                </v:shape>
                <o:OLEObject Type="Embed" ProgID="Equation.DSMT4" ShapeID="_x0000_i1048" DrawAspect="Content" ObjectID="_1745674683" r:id="rId55"/>
              </w:object>
            </w:r>
          </w:p>
        </w:tc>
        <w:tc>
          <w:tcPr>
            <w:tcW w:w="997" w:type="dxa"/>
          </w:tcPr>
          <w:p w:rsidR="0097247B" w:rsidRPr="00095299" w:rsidRDefault="0097247B" w:rsidP="00E36455">
            <w:pPr>
              <w:jc w:val="both"/>
            </w:pPr>
          </w:p>
          <w:p w:rsidR="0097247B" w:rsidRPr="00095299" w:rsidRDefault="0097247B" w:rsidP="00E36455">
            <w:pPr>
              <w:jc w:val="both"/>
            </w:pPr>
            <w:r w:rsidRPr="00095299">
              <w:t>100</w:t>
            </w:r>
          </w:p>
        </w:tc>
        <w:tc>
          <w:tcPr>
            <w:tcW w:w="1201" w:type="dxa"/>
          </w:tcPr>
          <w:p w:rsidR="0097247B" w:rsidRPr="00095299" w:rsidRDefault="0097247B" w:rsidP="00E36455">
            <w:pPr>
              <w:jc w:val="both"/>
            </w:pPr>
            <w:r w:rsidRPr="00095299">
              <w:t>24.3</w:t>
            </w:r>
          </w:p>
          <w:p w:rsidR="0097247B" w:rsidRPr="00095299" w:rsidRDefault="0097247B" w:rsidP="00E36455">
            <w:pPr>
              <w:jc w:val="both"/>
            </w:pPr>
            <w:r w:rsidRPr="00095299">
              <w:t>100</w:t>
            </w:r>
          </w:p>
          <w:p w:rsidR="0097247B" w:rsidRPr="00095299" w:rsidRDefault="0097247B" w:rsidP="00E36455">
            <w:pPr>
              <w:jc w:val="both"/>
            </w:pPr>
            <w:r w:rsidRPr="00095299">
              <w:t>3.8</w:t>
            </w:r>
          </w:p>
        </w:tc>
        <w:tc>
          <w:tcPr>
            <w:tcW w:w="1184" w:type="dxa"/>
          </w:tcPr>
          <w:p w:rsidR="0097247B" w:rsidRPr="00095299" w:rsidRDefault="0097247B" w:rsidP="00E36455">
            <w:pPr>
              <w:jc w:val="both"/>
            </w:pPr>
            <w:r w:rsidRPr="00095299">
              <w:t>100</w:t>
            </w:r>
          </w:p>
        </w:tc>
      </w:tr>
      <w:tr w:rsidR="0097247B" w:rsidRPr="00095299" w:rsidTr="00E36455">
        <w:trPr>
          <w:jc w:val="center"/>
        </w:trPr>
        <w:tc>
          <w:tcPr>
            <w:tcW w:w="1212" w:type="dxa"/>
          </w:tcPr>
          <w:p w:rsidR="0097247B" w:rsidRPr="00095299" w:rsidRDefault="0097247B" w:rsidP="00E36455">
            <w:pPr>
              <w:jc w:val="both"/>
              <w:rPr>
                <w:b/>
                <w:bCs/>
                <w:color w:val="FF0000"/>
              </w:rPr>
            </w:pPr>
            <w:r w:rsidRPr="00095299">
              <w:rPr>
                <w:b/>
                <w:bCs/>
                <w:color w:val="FF0000"/>
              </w:rPr>
              <w:t>3658.3</w:t>
            </w:r>
          </w:p>
        </w:tc>
        <w:tc>
          <w:tcPr>
            <w:tcW w:w="1555" w:type="dxa"/>
          </w:tcPr>
          <w:p w:rsidR="0097247B" w:rsidRPr="00095299" w:rsidRDefault="0097247B" w:rsidP="00E36455">
            <w:pPr>
              <w:jc w:val="both"/>
              <w:rPr>
                <w:b/>
                <w:bCs/>
                <w:color w:val="FF0000"/>
              </w:rPr>
            </w:pPr>
            <w:r w:rsidRPr="00095299">
              <w:rPr>
                <w:b/>
                <w:bCs/>
                <w:color w:val="FF0000"/>
                <w:vertAlign w:val="superscript"/>
              </w:rPr>
              <w:t>31</w:t>
            </w:r>
            <w:r w:rsidRPr="00095299">
              <w:rPr>
                <w:b/>
                <w:bCs/>
                <w:color w:val="FF0000"/>
              </w:rPr>
              <w:t>P(n,n')</w:t>
            </w:r>
            <w:r w:rsidRPr="00095299">
              <w:rPr>
                <w:b/>
                <w:bCs/>
                <w:color w:val="FF0000"/>
                <w:vertAlign w:val="superscript"/>
              </w:rPr>
              <w:t>31</w:t>
            </w:r>
            <w:r w:rsidRPr="00095299">
              <w:rPr>
                <w:b/>
                <w:bCs/>
                <w:color w:val="FF0000"/>
              </w:rPr>
              <w:t>P</w:t>
            </w:r>
          </w:p>
        </w:tc>
        <w:tc>
          <w:tcPr>
            <w:tcW w:w="1273" w:type="dxa"/>
          </w:tcPr>
          <w:p w:rsidR="0097247B" w:rsidRPr="00095299" w:rsidRDefault="0097247B" w:rsidP="00E36455">
            <w:pPr>
              <w:jc w:val="both"/>
              <w:rPr>
                <w:b/>
                <w:bCs/>
                <w:color w:val="FF0000"/>
              </w:rPr>
            </w:pPr>
            <w:r w:rsidRPr="00095299">
              <w:rPr>
                <w:b/>
                <w:bCs/>
                <w:color w:val="FF0000"/>
                <w:position w:val="-18"/>
              </w:rPr>
              <w:object w:dxaOrig="820" w:dyaOrig="480">
                <v:shape id="_x0000_i1049" type="#_x0000_t75" style="width:53.85pt;height:31.95pt" o:ole="">
                  <v:imagedata r:id="rId56" o:title=""/>
                </v:shape>
                <o:OLEObject Type="Embed" ProgID="Equation.DSMT4" ShapeID="_x0000_i1049" DrawAspect="Content" ObjectID="_1745674684" r:id="rId57"/>
              </w:object>
            </w:r>
          </w:p>
        </w:tc>
        <w:tc>
          <w:tcPr>
            <w:tcW w:w="1320" w:type="dxa"/>
          </w:tcPr>
          <w:p w:rsidR="0097247B" w:rsidRPr="00095299" w:rsidRDefault="0097247B" w:rsidP="00E36455">
            <w:pPr>
              <w:jc w:val="both"/>
              <w:rPr>
                <w:b/>
                <w:bCs/>
                <w:color w:val="FF0000"/>
              </w:rPr>
            </w:pPr>
            <w:r w:rsidRPr="00095299">
              <w:rPr>
                <w:b/>
                <w:bCs/>
                <w:color w:val="FF0000"/>
                <w:position w:val="-18"/>
              </w:rPr>
              <w:object w:dxaOrig="820" w:dyaOrig="480">
                <v:shape id="_x0000_i1050" type="#_x0000_t75" style="width:53.85pt;height:31.95pt" o:ole="">
                  <v:imagedata r:id="rId44" o:title=""/>
                </v:shape>
                <o:OLEObject Type="Embed" ProgID="Equation.DSMT4" ShapeID="_x0000_i1050" DrawAspect="Content" ObjectID="_1745674685" r:id="rId58"/>
              </w:object>
            </w:r>
          </w:p>
        </w:tc>
        <w:tc>
          <w:tcPr>
            <w:tcW w:w="997" w:type="dxa"/>
          </w:tcPr>
          <w:p w:rsidR="0097247B" w:rsidRPr="00095299" w:rsidRDefault="0097247B" w:rsidP="00E36455">
            <w:pPr>
              <w:jc w:val="both"/>
              <w:rPr>
                <w:b/>
                <w:bCs/>
                <w:color w:val="FF0000"/>
              </w:rPr>
            </w:pPr>
            <w:r w:rsidRPr="00095299">
              <w:rPr>
                <w:b/>
                <w:bCs/>
                <w:color w:val="FF0000"/>
              </w:rPr>
              <w:t>13.8(3.3)</w:t>
            </w:r>
          </w:p>
        </w:tc>
        <w:tc>
          <w:tcPr>
            <w:tcW w:w="1201" w:type="dxa"/>
          </w:tcPr>
          <w:p w:rsidR="0097247B" w:rsidRPr="00095299" w:rsidRDefault="0097247B" w:rsidP="00E36455">
            <w:pPr>
              <w:jc w:val="both"/>
              <w:rPr>
                <w:b/>
                <w:bCs/>
                <w:color w:val="FF0000"/>
              </w:rPr>
            </w:pPr>
            <w:r w:rsidRPr="00095299">
              <w:rPr>
                <w:b/>
                <w:bCs/>
                <w:color w:val="FF0000"/>
              </w:rPr>
              <w:t>1.6</w:t>
            </w:r>
          </w:p>
        </w:tc>
        <w:tc>
          <w:tcPr>
            <w:tcW w:w="1184" w:type="dxa"/>
          </w:tcPr>
          <w:p w:rsidR="0097247B" w:rsidRPr="00095299" w:rsidRDefault="0097247B" w:rsidP="00E36455">
            <w:pPr>
              <w:jc w:val="both"/>
              <w:rPr>
                <w:color w:val="FF0000"/>
              </w:rPr>
            </w:pPr>
          </w:p>
        </w:tc>
      </w:tr>
    </w:tbl>
    <w:p w:rsidR="008B4CC6" w:rsidRPr="00095299" w:rsidRDefault="008B4CC6">
      <w:pPr>
        <w:spacing w:line="288" w:lineRule="auto"/>
        <w:ind w:firstLine="708"/>
        <w:jc w:val="both"/>
      </w:pPr>
    </w:p>
    <w:p w:rsidR="005713AD" w:rsidRPr="00095299" w:rsidRDefault="0097247B" w:rsidP="005713AD">
      <w:pPr>
        <w:spacing w:line="288" w:lineRule="auto"/>
        <w:ind w:firstLine="708"/>
        <w:jc w:val="both"/>
      </w:pPr>
      <w:r w:rsidRPr="00095299">
        <w:rPr>
          <w:i/>
        </w:rPr>
        <w:t xml:space="preserve">Таблица 1. Параметры измеренных γ-переходов для магния. Звездочкой ”*”помечены неразрешенные </w:t>
      </w:r>
      <w:proofErr w:type="gramStart"/>
      <w:r w:rsidRPr="00095299">
        <w:rPr>
          <w:i/>
        </w:rPr>
        <w:t>γ-</w:t>
      </w:r>
      <w:proofErr w:type="gramEnd"/>
      <w:r w:rsidRPr="00095299">
        <w:rPr>
          <w:i/>
        </w:rPr>
        <w:t xml:space="preserve">переходы. Энергии γ-квантов Eγ взяты из </w:t>
      </w:r>
      <w:r w:rsidRPr="00095299">
        <w:rPr>
          <w:i/>
          <w:lang w:val="en-US"/>
        </w:rPr>
        <w:t>ENSDF</w:t>
      </w:r>
      <w:r w:rsidRPr="00095299">
        <w:rPr>
          <w:i/>
        </w:rPr>
        <w:t>. Измеренные выходы Yγ сравниваются с результатами расчетов в TALYS 1.9, и компиляцией [1]</w:t>
      </w:r>
      <w:r w:rsidR="00977964" w:rsidRPr="00095299">
        <w:t>.</w:t>
      </w:r>
    </w:p>
    <w:p w:rsidR="008B4CC6" w:rsidRPr="00095299" w:rsidRDefault="00977964" w:rsidP="005713AD">
      <w:pPr>
        <w:spacing w:line="288" w:lineRule="auto"/>
        <w:ind w:firstLine="708"/>
        <w:jc w:val="both"/>
      </w:pPr>
      <w:r w:rsidRPr="00095299">
        <w:t xml:space="preserve"> В таблице синим цветом отмечены линии, показывающие сильное расхождение с другими работами, красным – </w:t>
      </w:r>
      <w:r w:rsidR="005713AD" w:rsidRPr="00095299">
        <w:t xml:space="preserve">с модельными расчетами </w:t>
      </w:r>
      <w:r w:rsidR="005713AD" w:rsidRPr="00095299">
        <w:rPr>
          <w:lang w:val="en-US"/>
        </w:rPr>
        <w:t>TALYS</w:t>
      </w:r>
      <w:r w:rsidR="005713AD" w:rsidRPr="00095299">
        <w:t>, жирным шрифтом выделены</w:t>
      </w:r>
      <w:r w:rsidR="00060D0B" w:rsidRPr="00095299">
        <w:t xml:space="preserve"> γ-переходы, измеренные нами впервые.</w:t>
      </w:r>
    </w:p>
    <w:p w:rsidR="00AF126F" w:rsidRPr="00095299" w:rsidRDefault="00AF126F" w:rsidP="005713AD">
      <w:pPr>
        <w:spacing w:line="288" w:lineRule="auto"/>
        <w:ind w:firstLine="708"/>
        <w:jc w:val="both"/>
      </w:pPr>
      <w:r w:rsidRPr="00095299">
        <w:t>Также нами впервые были измерены угловые распределения γ-квантов, испускаемых ядрами фосфора в ходе нейтрон-ядерных реакций для наиболее интенсивных переходов</w:t>
      </w:r>
      <w:r w:rsidR="00E54B0E" w:rsidRPr="00095299">
        <w:t>. Их графики представлены на рисунке 4, а коэффициенты аппроксимации полученных данных рядом полиномов Лежандра – в таблице 2.</w:t>
      </w:r>
    </w:p>
    <w:p w:rsidR="00AF126F" w:rsidRPr="00095299" w:rsidRDefault="00AF126F" w:rsidP="00AF126F">
      <w:pPr>
        <w:jc w:val="both"/>
      </w:pPr>
      <w:r w:rsidRPr="00095299">
        <w:rPr>
          <w:noProof/>
        </w:rPr>
        <w:drawing>
          <wp:inline distT="0" distB="0" distL="0" distR="0">
            <wp:extent cx="6120130" cy="2294812"/>
            <wp:effectExtent l="0" t="0" r="0" b="0"/>
            <wp:docPr id="256" name="Picture 2" descr="Z:\home\dimitar\RAID\Publications\2022\Nucleus\O_P_S\Pictures\P31_angel_dist.png"/>
            <wp:cNvGraphicFramePr/>
            <a:graphic xmlns:a="http://schemas.openxmlformats.org/drawingml/2006/main">
              <a:graphicData uri="http://schemas.openxmlformats.org/drawingml/2006/picture">
                <pic:pic xmlns:pic="http://schemas.openxmlformats.org/drawingml/2006/picture">
                  <pic:nvPicPr>
                    <pic:cNvPr id="256" name="Picture 2" descr="Z:\home\dimitar\RAID\Publications\2022\Nucleus\O_P_S\Pictures\P31_angel_dist.png"/>
                    <pic:cNvPicPr/>
                  </pic:nvPicPr>
                  <pic:blipFill>
                    <a:blip r:embed="rId59" cstate="print"/>
                    <a:stretch/>
                  </pic:blipFill>
                  <pic:spPr>
                    <a:xfrm>
                      <a:off x="0" y="0"/>
                      <a:ext cx="6120130" cy="2294812"/>
                    </a:xfrm>
                    <a:prstGeom prst="rect">
                      <a:avLst/>
                    </a:prstGeom>
                    <a:ln>
                      <a:noFill/>
                    </a:ln>
                  </pic:spPr>
                </pic:pic>
              </a:graphicData>
            </a:graphic>
          </wp:inline>
        </w:drawing>
      </w:r>
    </w:p>
    <w:p w:rsidR="00AF126F" w:rsidRPr="00095299" w:rsidRDefault="00AF126F" w:rsidP="00AF126F">
      <w:pPr>
        <w:jc w:val="center"/>
        <w:rPr>
          <w:i/>
          <w:iCs/>
        </w:rPr>
      </w:pPr>
      <w:r w:rsidRPr="00095299">
        <w:rPr>
          <w:i/>
          <w:iCs/>
        </w:rPr>
        <w:t xml:space="preserve">Рис. 4. Угловые распределения γ-квантов от неупругого рассеяния нейтронов с энергией 14,1 МэВ на </w:t>
      </w:r>
      <w:r w:rsidRPr="00095299">
        <w:rPr>
          <w:i/>
          <w:iCs/>
          <w:vertAlign w:val="superscript"/>
        </w:rPr>
        <w:t>31</w:t>
      </w:r>
      <w:r w:rsidRPr="00095299">
        <w:rPr>
          <w:i/>
          <w:iCs/>
        </w:rPr>
        <w:t xml:space="preserve">P. Черные точки соответствуют экспериментальным данным, черная линия-их аппроксимация, зеленая – угловое распределение из ENDF/B-8. Серой полосой обозначен доверительный интервал 2σ. </w:t>
      </w:r>
    </w:p>
    <w:p w:rsidR="00AF126F" w:rsidRPr="00095299" w:rsidRDefault="00AF126F" w:rsidP="00AF126F">
      <w:pPr>
        <w:jc w:val="both"/>
      </w:pPr>
    </w:p>
    <w:p w:rsidR="00AF126F" w:rsidRPr="00095299" w:rsidRDefault="00AF126F" w:rsidP="00AF126F">
      <w:pPr>
        <w:jc w:val="both"/>
      </w:pPr>
      <w:r w:rsidRPr="00095299">
        <w:t>Полученные нами параметры угловых распределений представлены в таблице 2</w:t>
      </w:r>
    </w:p>
    <w:p w:rsidR="00AF126F" w:rsidRPr="00095299" w:rsidRDefault="00AF126F" w:rsidP="00AF126F">
      <w:pPr>
        <w:jc w:val="both"/>
      </w:pPr>
    </w:p>
    <w:tbl>
      <w:tblPr>
        <w:tblStyle w:val="af9"/>
        <w:tblW w:w="7851" w:type="dxa"/>
        <w:jc w:val="center"/>
        <w:tblLayout w:type="fixed"/>
        <w:tblLook w:val="04A0"/>
      </w:tblPr>
      <w:tblGrid>
        <w:gridCol w:w="959"/>
        <w:gridCol w:w="1699"/>
        <w:gridCol w:w="1278"/>
        <w:gridCol w:w="1222"/>
        <w:gridCol w:w="1370"/>
        <w:gridCol w:w="1323"/>
      </w:tblGrid>
      <w:tr w:rsidR="00AF126F" w:rsidRPr="00095299" w:rsidTr="00AF126F">
        <w:trPr>
          <w:jc w:val="center"/>
        </w:trPr>
        <w:tc>
          <w:tcPr>
            <w:tcW w:w="959" w:type="dxa"/>
          </w:tcPr>
          <w:p w:rsidR="00AF126F" w:rsidRPr="00095299" w:rsidRDefault="00AF126F" w:rsidP="00E36455">
            <w:pPr>
              <w:jc w:val="center"/>
            </w:pPr>
            <w:r w:rsidRPr="00095299">
              <w:t>E</w:t>
            </w:r>
            <w:r w:rsidRPr="00095299">
              <w:rPr>
                <w:vertAlign w:val="subscript"/>
              </w:rPr>
              <w:t>γ</w:t>
            </w:r>
            <w:r w:rsidRPr="00095299">
              <w:t xml:space="preserve"> (кэВ)</w:t>
            </w:r>
          </w:p>
        </w:tc>
        <w:tc>
          <w:tcPr>
            <w:tcW w:w="1699" w:type="dxa"/>
          </w:tcPr>
          <w:p w:rsidR="00AF126F" w:rsidRPr="00095299" w:rsidRDefault="00AF126F" w:rsidP="00E36455">
            <w:pPr>
              <w:tabs>
                <w:tab w:val="left" w:pos="444"/>
              </w:tabs>
              <w:jc w:val="center"/>
            </w:pPr>
            <w:r w:rsidRPr="00095299">
              <w:t>Реакция</w:t>
            </w:r>
          </w:p>
        </w:tc>
        <w:tc>
          <w:tcPr>
            <w:tcW w:w="1278" w:type="dxa"/>
          </w:tcPr>
          <w:p w:rsidR="00AF126F" w:rsidRPr="00095299" w:rsidRDefault="00AF126F" w:rsidP="00E36455">
            <w:pPr>
              <w:jc w:val="center"/>
            </w:pPr>
            <w:r w:rsidRPr="00095299">
              <w:rPr>
                <w:bCs/>
              </w:rPr>
              <w:t>J</w:t>
            </w:r>
            <w:r w:rsidRPr="00095299">
              <w:rPr>
                <w:bCs/>
                <w:vertAlign w:val="subscript"/>
              </w:rPr>
              <w:t>i</w:t>
            </w:r>
            <w:r w:rsidRPr="00095299">
              <w:rPr>
                <w:bCs/>
                <w:vertAlign w:val="superscript"/>
              </w:rPr>
              <w:t>P</w:t>
            </w:r>
          </w:p>
          <w:p w:rsidR="00AF126F" w:rsidRPr="00095299" w:rsidRDefault="00AF126F" w:rsidP="00E36455">
            <w:r w:rsidRPr="00095299">
              <w:rPr>
                <w:bCs/>
              </w:rPr>
              <w:t>(E</w:t>
            </w:r>
            <w:r w:rsidRPr="00095299">
              <w:rPr>
                <w:bCs/>
                <w:vertAlign w:val="subscript"/>
              </w:rPr>
              <w:t>i</w:t>
            </w:r>
            <w:r w:rsidRPr="00095299">
              <w:rPr>
                <w:bCs/>
              </w:rPr>
              <w:t>, кэВ)</w:t>
            </w:r>
          </w:p>
          <w:p w:rsidR="00AF126F" w:rsidRPr="00095299" w:rsidRDefault="00AF126F" w:rsidP="00E36455">
            <w:pPr>
              <w:jc w:val="center"/>
            </w:pPr>
          </w:p>
        </w:tc>
        <w:tc>
          <w:tcPr>
            <w:tcW w:w="1222" w:type="dxa"/>
          </w:tcPr>
          <w:p w:rsidR="00AF126F" w:rsidRPr="00095299" w:rsidRDefault="00AF126F" w:rsidP="00E36455">
            <w:pPr>
              <w:jc w:val="center"/>
            </w:pPr>
            <w:r w:rsidRPr="00095299">
              <w:rPr>
                <w:bCs/>
              </w:rPr>
              <w:t>J</w:t>
            </w:r>
            <w:r w:rsidRPr="00095299">
              <w:rPr>
                <w:bCs/>
                <w:vertAlign w:val="subscript"/>
              </w:rPr>
              <w:t>j</w:t>
            </w:r>
            <w:r w:rsidRPr="00095299">
              <w:rPr>
                <w:bCs/>
                <w:vertAlign w:val="superscript"/>
              </w:rPr>
              <w:t>P</w:t>
            </w:r>
          </w:p>
          <w:p w:rsidR="00AF126F" w:rsidRPr="00095299" w:rsidRDefault="00AF126F" w:rsidP="00E36455">
            <w:r w:rsidRPr="00095299">
              <w:rPr>
                <w:bCs/>
              </w:rPr>
              <w:t>(E</w:t>
            </w:r>
            <w:r w:rsidRPr="00095299">
              <w:rPr>
                <w:bCs/>
                <w:vertAlign w:val="subscript"/>
              </w:rPr>
              <w:t>j</w:t>
            </w:r>
            <w:r w:rsidRPr="00095299">
              <w:rPr>
                <w:bCs/>
              </w:rPr>
              <w:t>,</w:t>
            </w:r>
            <w:r w:rsidRPr="00095299">
              <w:t xml:space="preserve"> </w:t>
            </w:r>
            <w:r w:rsidRPr="00095299">
              <w:rPr>
                <w:bCs/>
              </w:rPr>
              <w:t>кэВ)</w:t>
            </w:r>
          </w:p>
          <w:p w:rsidR="00AF126F" w:rsidRPr="00095299" w:rsidRDefault="00AF126F" w:rsidP="00E36455">
            <w:pPr>
              <w:jc w:val="center"/>
            </w:pPr>
          </w:p>
        </w:tc>
        <w:tc>
          <w:tcPr>
            <w:tcW w:w="1370" w:type="dxa"/>
          </w:tcPr>
          <w:p w:rsidR="00AF126F" w:rsidRPr="00095299" w:rsidRDefault="00AF126F" w:rsidP="00E36455">
            <w:pPr>
              <w:jc w:val="center"/>
            </w:pPr>
            <w:r w:rsidRPr="00095299">
              <w:t>α</w:t>
            </w:r>
            <w:r w:rsidRPr="00095299">
              <w:rPr>
                <w:vertAlign w:val="subscript"/>
              </w:rPr>
              <w:t>2</w:t>
            </w:r>
          </w:p>
        </w:tc>
        <w:tc>
          <w:tcPr>
            <w:tcW w:w="1323" w:type="dxa"/>
          </w:tcPr>
          <w:p w:rsidR="00AF126F" w:rsidRPr="00095299" w:rsidRDefault="00AF126F" w:rsidP="00E36455">
            <w:pPr>
              <w:jc w:val="center"/>
            </w:pPr>
            <w:r w:rsidRPr="00095299">
              <w:t>α</w:t>
            </w:r>
            <w:r w:rsidRPr="00095299">
              <w:rPr>
                <w:vertAlign w:val="subscript"/>
              </w:rPr>
              <w:t>4</w:t>
            </w:r>
          </w:p>
        </w:tc>
      </w:tr>
      <w:tr w:rsidR="00AF126F" w:rsidRPr="00095299" w:rsidTr="00AF126F">
        <w:trPr>
          <w:jc w:val="center"/>
        </w:trPr>
        <w:tc>
          <w:tcPr>
            <w:tcW w:w="959" w:type="dxa"/>
          </w:tcPr>
          <w:p w:rsidR="00AF126F" w:rsidRPr="00095299" w:rsidRDefault="00AF126F" w:rsidP="00E36455">
            <w:pPr>
              <w:jc w:val="both"/>
            </w:pPr>
            <w:r w:rsidRPr="00095299">
              <w:t>1263.3</w:t>
            </w:r>
          </w:p>
          <w:p w:rsidR="00AF126F" w:rsidRPr="00095299" w:rsidRDefault="00AF126F" w:rsidP="00E36455">
            <w:pPr>
              <w:jc w:val="both"/>
            </w:pPr>
          </w:p>
          <w:p w:rsidR="00AF126F" w:rsidRPr="00095299" w:rsidRDefault="00AF126F" w:rsidP="00E36455">
            <w:pPr>
              <w:jc w:val="both"/>
            </w:pPr>
            <w:r w:rsidRPr="00095299">
              <w:lastRenderedPageBreak/>
              <w:t>1266.1</w:t>
            </w:r>
          </w:p>
        </w:tc>
        <w:tc>
          <w:tcPr>
            <w:tcW w:w="1699" w:type="dxa"/>
          </w:tcPr>
          <w:p w:rsidR="00AF126F" w:rsidRPr="00095299" w:rsidRDefault="00AF126F" w:rsidP="00E36455">
            <w:pPr>
              <w:jc w:val="both"/>
              <w:rPr>
                <w:lang w:val="en-US"/>
              </w:rPr>
            </w:pPr>
            <w:r w:rsidRPr="00095299">
              <w:rPr>
                <w:vertAlign w:val="superscript"/>
                <w:lang w:val="en-US"/>
              </w:rPr>
              <w:lastRenderedPageBreak/>
              <w:t>31</w:t>
            </w:r>
            <w:r w:rsidRPr="00095299">
              <w:rPr>
                <w:lang w:val="en-US"/>
              </w:rPr>
              <w:t>P(n,d)</w:t>
            </w:r>
            <w:r w:rsidRPr="00095299">
              <w:rPr>
                <w:vertAlign w:val="superscript"/>
                <w:lang w:val="en-US"/>
              </w:rPr>
              <w:t>30</w:t>
            </w:r>
            <w:r w:rsidRPr="00095299">
              <w:rPr>
                <w:lang w:val="en-US"/>
              </w:rPr>
              <w:t>Si</w:t>
            </w:r>
          </w:p>
          <w:p w:rsidR="00AF126F" w:rsidRPr="00095299" w:rsidRDefault="00AF126F" w:rsidP="00E36455">
            <w:pPr>
              <w:jc w:val="both"/>
              <w:rPr>
                <w:lang w:val="en-US"/>
              </w:rPr>
            </w:pPr>
          </w:p>
          <w:p w:rsidR="00AF126F" w:rsidRPr="00095299" w:rsidRDefault="00AF126F" w:rsidP="00E36455">
            <w:pPr>
              <w:jc w:val="both"/>
              <w:rPr>
                <w:lang w:val="en-US"/>
              </w:rPr>
            </w:pPr>
            <w:r w:rsidRPr="00095299">
              <w:rPr>
                <w:vertAlign w:val="superscript"/>
                <w:lang w:val="en-US"/>
              </w:rPr>
              <w:lastRenderedPageBreak/>
              <w:t>31</w:t>
            </w:r>
            <w:r w:rsidRPr="00095299">
              <w:rPr>
                <w:lang w:val="en-US"/>
              </w:rPr>
              <w:t>P(n,n')</w:t>
            </w:r>
            <w:r w:rsidRPr="00095299">
              <w:rPr>
                <w:vertAlign w:val="superscript"/>
                <w:lang w:val="en-US"/>
              </w:rPr>
              <w:t>31</w:t>
            </w:r>
            <w:r w:rsidRPr="00095299">
              <w:rPr>
                <w:lang w:val="en-US"/>
              </w:rPr>
              <w:t>P</w:t>
            </w:r>
          </w:p>
        </w:tc>
        <w:tc>
          <w:tcPr>
            <w:tcW w:w="1278" w:type="dxa"/>
          </w:tcPr>
          <w:p w:rsidR="00AF126F" w:rsidRPr="00095299" w:rsidRDefault="00AF126F" w:rsidP="00E36455">
            <w:pPr>
              <w:jc w:val="center"/>
            </w:pPr>
            <w:r w:rsidRPr="00095299">
              <w:rPr>
                <w:position w:val="-10"/>
              </w:rPr>
              <w:object w:dxaOrig="800" w:dyaOrig="300">
                <v:shape id="_x0000_i1051" type="#_x0000_t75" style="width:56.35pt;height:21.3pt" o:ole="">
                  <v:imagedata r:id="rId24" o:title=""/>
                </v:shape>
                <o:OLEObject Type="Embed" ProgID="Equation.DSMT4" ShapeID="_x0000_i1051" DrawAspect="Content" ObjectID="_1745674686" r:id="rId60"/>
              </w:object>
            </w:r>
            <w:r w:rsidRPr="00095299">
              <w:rPr>
                <w:position w:val="-18"/>
              </w:rPr>
              <w:object w:dxaOrig="800" w:dyaOrig="480">
                <v:shape id="_x0000_i1052" type="#_x0000_t75" style="width:52.6pt;height:31.95pt" o:ole="">
                  <v:imagedata r:id="rId26" o:title=""/>
                </v:shape>
                <o:OLEObject Type="Embed" ProgID="Equation.DSMT4" ShapeID="_x0000_i1052" DrawAspect="Content" ObjectID="_1745674687" r:id="rId61"/>
              </w:object>
            </w:r>
          </w:p>
        </w:tc>
        <w:tc>
          <w:tcPr>
            <w:tcW w:w="1222" w:type="dxa"/>
          </w:tcPr>
          <w:p w:rsidR="00AF126F" w:rsidRPr="00095299" w:rsidRDefault="00AF126F" w:rsidP="00E36455">
            <w:pPr>
              <w:jc w:val="center"/>
            </w:pPr>
            <w:r w:rsidRPr="00095299">
              <w:rPr>
                <w:position w:val="-10"/>
              </w:rPr>
              <w:object w:dxaOrig="820" w:dyaOrig="300">
                <v:shape id="_x0000_i1053" type="#_x0000_t75" style="width:57.6pt;height:21.3pt" o:ole="">
                  <v:imagedata r:id="rId28" o:title=""/>
                </v:shape>
                <o:OLEObject Type="Embed" ProgID="Equation.DSMT4" ShapeID="_x0000_i1053" DrawAspect="Content" ObjectID="_1745674688" r:id="rId62"/>
              </w:object>
            </w:r>
            <w:r w:rsidRPr="00095299">
              <w:rPr>
                <w:position w:val="-18"/>
              </w:rPr>
              <w:object w:dxaOrig="460" w:dyaOrig="480">
                <v:shape id="_x0000_i1054" type="#_x0000_t75" style="width:30.05pt;height:31.95pt" o:ole="">
                  <v:imagedata r:id="rId30" o:title=""/>
                </v:shape>
                <o:OLEObject Type="Embed" ProgID="Equation.DSMT4" ShapeID="_x0000_i1054" DrawAspect="Content" ObjectID="_1745674689" r:id="rId63"/>
              </w:object>
            </w:r>
          </w:p>
        </w:tc>
        <w:tc>
          <w:tcPr>
            <w:tcW w:w="1370" w:type="dxa"/>
          </w:tcPr>
          <w:p w:rsidR="00AF126F" w:rsidRPr="00095299" w:rsidRDefault="00AF126F" w:rsidP="00E36455">
            <w:pPr>
              <w:jc w:val="both"/>
            </w:pPr>
            <w:r w:rsidRPr="00095299">
              <w:lastRenderedPageBreak/>
              <w:t>-0.31± 0.02</w:t>
            </w:r>
          </w:p>
        </w:tc>
        <w:tc>
          <w:tcPr>
            <w:tcW w:w="1323" w:type="dxa"/>
          </w:tcPr>
          <w:p w:rsidR="00AF126F" w:rsidRPr="00095299" w:rsidRDefault="00AF126F" w:rsidP="00E36455">
            <w:pPr>
              <w:jc w:val="both"/>
            </w:pPr>
            <w:r w:rsidRPr="00095299">
              <w:t>*</w:t>
            </w:r>
          </w:p>
        </w:tc>
      </w:tr>
      <w:tr w:rsidR="00AF126F" w:rsidRPr="00095299" w:rsidTr="00AF126F">
        <w:trPr>
          <w:jc w:val="center"/>
        </w:trPr>
        <w:tc>
          <w:tcPr>
            <w:tcW w:w="959" w:type="dxa"/>
          </w:tcPr>
          <w:p w:rsidR="00AF126F" w:rsidRPr="00095299" w:rsidRDefault="00AF126F" w:rsidP="00E36455">
            <w:pPr>
              <w:jc w:val="both"/>
            </w:pPr>
            <w:r w:rsidRPr="00095299">
              <w:lastRenderedPageBreak/>
              <w:t>2233.6</w:t>
            </w:r>
          </w:p>
          <w:p w:rsidR="00AF126F" w:rsidRPr="00095299" w:rsidRDefault="00AF126F" w:rsidP="00E36455">
            <w:pPr>
              <w:jc w:val="both"/>
            </w:pPr>
          </w:p>
          <w:p w:rsidR="00AF126F" w:rsidRPr="00095299" w:rsidRDefault="00AF126F" w:rsidP="00E36455">
            <w:pPr>
              <w:jc w:val="both"/>
            </w:pPr>
            <w:r w:rsidRPr="00095299">
              <w:t>2235.3</w:t>
            </w:r>
          </w:p>
          <w:p w:rsidR="00AF126F" w:rsidRPr="00095299" w:rsidRDefault="00AF126F" w:rsidP="00E36455">
            <w:pPr>
              <w:jc w:val="both"/>
            </w:pPr>
          </w:p>
          <w:p w:rsidR="00AF126F" w:rsidRPr="00095299" w:rsidRDefault="00AF126F" w:rsidP="00E36455">
            <w:pPr>
              <w:jc w:val="both"/>
            </w:pPr>
            <w:r w:rsidRPr="00095299">
              <w:t>2240.0</w:t>
            </w:r>
          </w:p>
        </w:tc>
        <w:tc>
          <w:tcPr>
            <w:tcW w:w="1699" w:type="dxa"/>
          </w:tcPr>
          <w:p w:rsidR="00AF126F" w:rsidRPr="00095299" w:rsidRDefault="00AF126F" w:rsidP="00E36455">
            <w:pPr>
              <w:jc w:val="both"/>
              <w:rPr>
                <w:lang w:val="en-US"/>
              </w:rPr>
            </w:pPr>
            <w:r w:rsidRPr="00095299">
              <w:rPr>
                <w:vertAlign w:val="superscript"/>
                <w:lang w:val="en-US"/>
              </w:rPr>
              <w:t>31</w:t>
            </w:r>
            <w:r w:rsidRPr="00095299">
              <w:rPr>
                <w:lang w:val="en-US"/>
              </w:rPr>
              <w:t>P(n,n')</w:t>
            </w:r>
            <w:r w:rsidRPr="00095299">
              <w:rPr>
                <w:vertAlign w:val="superscript"/>
                <w:lang w:val="en-US"/>
              </w:rPr>
              <w:t>31</w:t>
            </w:r>
            <w:r w:rsidRPr="00095299">
              <w:rPr>
                <w:lang w:val="en-US"/>
              </w:rPr>
              <w:t>P</w:t>
            </w:r>
          </w:p>
          <w:p w:rsidR="00AF126F" w:rsidRPr="00095299" w:rsidRDefault="00AF126F" w:rsidP="00E36455">
            <w:pPr>
              <w:jc w:val="both"/>
              <w:rPr>
                <w:lang w:val="en-US"/>
              </w:rPr>
            </w:pPr>
          </w:p>
          <w:p w:rsidR="00AF126F" w:rsidRPr="00095299" w:rsidRDefault="00AF126F" w:rsidP="00E36455">
            <w:pPr>
              <w:jc w:val="both"/>
              <w:rPr>
                <w:lang w:val="en-US"/>
              </w:rPr>
            </w:pPr>
            <w:r w:rsidRPr="00095299">
              <w:rPr>
                <w:vertAlign w:val="superscript"/>
                <w:lang w:val="en-US"/>
              </w:rPr>
              <w:t>31</w:t>
            </w:r>
            <w:r w:rsidRPr="00095299">
              <w:rPr>
                <w:lang w:val="en-US"/>
              </w:rPr>
              <w:t>P(n,d)</w:t>
            </w:r>
            <w:r w:rsidRPr="00095299">
              <w:rPr>
                <w:vertAlign w:val="superscript"/>
                <w:lang w:val="en-US"/>
              </w:rPr>
              <w:t>30</w:t>
            </w:r>
            <w:r w:rsidRPr="00095299">
              <w:rPr>
                <w:lang w:val="en-US"/>
              </w:rPr>
              <w:t>Si</w:t>
            </w:r>
          </w:p>
          <w:p w:rsidR="00AF126F" w:rsidRPr="00095299" w:rsidRDefault="00AF126F" w:rsidP="00E36455">
            <w:pPr>
              <w:jc w:val="both"/>
              <w:rPr>
                <w:lang w:val="en-US"/>
              </w:rPr>
            </w:pPr>
          </w:p>
          <w:p w:rsidR="00AF126F" w:rsidRPr="00095299" w:rsidRDefault="00AF126F" w:rsidP="00E36455">
            <w:pPr>
              <w:jc w:val="both"/>
              <w:rPr>
                <w:lang w:val="en-US"/>
              </w:rPr>
            </w:pPr>
            <w:r w:rsidRPr="00095299">
              <w:rPr>
                <w:vertAlign w:val="superscript"/>
                <w:lang w:val="en-US"/>
              </w:rPr>
              <w:t>31</w:t>
            </w:r>
            <w:r w:rsidRPr="00095299">
              <w:rPr>
                <w:lang w:val="en-US"/>
              </w:rPr>
              <w:t>P(n,n')</w:t>
            </w:r>
            <w:r w:rsidRPr="00095299">
              <w:rPr>
                <w:vertAlign w:val="superscript"/>
                <w:lang w:val="en-US"/>
              </w:rPr>
              <w:t>31</w:t>
            </w:r>
            <w:r w:rsidRPr="00095299">
              <w:rPr>
                <w:lang w:val="en-US"/>
              </w:rPr>
              <w:t>P</w:t>
            </w:r>
          </w:p>
        </w:tc>
        <w:tc>
          <w:tcPr>
            <w:tcW w:w="1278" w:type="dxa"/>
          </w:tcPr>
          <w:p w:rsidR="00AF126F" w:rsidRPr="00095299" w:rsidRDefault="00AF126F" w:rsidP="00E36455">
            <w:pPr>
              <w:jc w:val="both"/>
            </w:pPr>
            <w:r w:rsidRPr="00095299">
              <w:rPr>
                <w:position w:val="-18"/>
              </w:rPr>
              <w:object w:dxaOrig="820" w:dyaOrig="480">
                <v:shape id="_x0000_i1055" type="#_x0000_t75" style="width:53.85pt;height:31.95pt" o:ole="">
                  <v:imagedata r:id="rId46" o:title=""/>
                </v:shape>
                <o:OLEObject Type="Embed" ProgID="Equation.DSMT4" ShapeID="_x0000_i1055" DrawAspect="Content" ObjectID="_1745674690" r:id="rId64"/>
              </w:object>
            </w:r>
            <w:r w:rsidRPr="00095299">
              <w:rPr>
                <w:position w:val="-10"/>
              </w:rPr>
              <w:object w:dxaOrig="820" w:dyaOrig="300">
                <v:shape id="_x0000_i1056" type="#_x0000_t75" style="width:57.6pt;height:21.3pt" o:ole="">
                  <v:imagedata r:id="rId48" o:title=""/>
                </v:shape>
                <o:OLEObject Type="Embed" ProgID="Equation.DSMT4" ShapeID="_x0000_i1056" DrawAspect="Content" ObjectID="_1745674691" r:id="rId65"/>
              </w:object>
            </w:r>
            <w:r w:rsidRPr="00095299">
              <w:rPr>
                <w:position w:val="-18"/>
              </w:rPr>
              <w:object w:dxaOrig="820" w:dyaOrig="480">
                <v:shape id="_x0000_i1057" type="#_x0000_t75" style="width:53.85pt;height:31.95pt" o:ole="">
                  <v:imagedata r:id="rId50" o:title=""/>
                </v:shape>
                <o:OLEObject Type="Embed" ProgID="Equation.DSMT4" ShapeID="_x0000_i1057" DrawAspect="Content" ObjectID="_1745674692" r:id="rId66"/>
              </w:object>
            </w:r>
          </w:p>
        </w:tc>
        <w:tc>
          <w:tcPr>
            <w:tcW w:w="1222" w:type="dxa"/>
          </w:tcPr>
          <w:p w:rsidR="00AF126F" w:rsidRPr="00095299" w:rsidRDefault="00AF126F" w:rsidP="00E36455">
            <w:pPr>
              <w:jc w:val="both"/>
            </w:pPr>
            <w:r w:rsidRPr="00095299">
              <w:rPr>
                <w:position w:val="-18"/>
              </w:rPr>
              <w:object w:dxaOrig="460" w:dyaOrig="480">
                <v:shape id="_x0000_i1058" type="#_x0000_t75" style="width:30.05pt;height:31.95pt" o:ole="">
                  <v:imagedata r:id="rId30" o:title=""/>
                </v:shape>
                <o:OLEObject Type="Embed" ProgID="Equation.DSMT4" ShapeID="_x0000_i1058" DrawAspect="Content" ObjectID="_1745674693" r:id="rId67"/>
              </w:object>
            </w:r>
          </w:p>
          <w:p w:rsidR="00AF126F" w:rsidRPr="00095299" w:rsidRDefault="00AF126F" w:rsidP="00E36455">
            <w:pPr>
              <w:jc w:val="both"/>
            </w:pPr>
            <w:r w:rsidRPr="00095299">
              <w:rPr>
                <w:position w:val="-10"/>
              </w:rPr>
              <w:object w:dxaOrig="460" w:dyaOrig="300">
                <v:shape id="_x0000_i1059" type="#_x0000_t75" style="width:35.05pt;height:22.55pt" o:ole="">
                  <v:imagedata r:id="rId53" o:title=""/>
                </v:shape>
                <o:OLEObject Type="Embed" ProgID="Equation.DSMT4" ShapeID="_x0000_i1059" DrawAspect="Content" ObjectID="_1745674694" r:id="rId68"/>
              </w:object>
            </w:r>
          </w:p>
          <w:p w:rsidR="00AF126F" w:rsidRPr="00095299" w:rsidRDefault="00AF126F" w:rsidP="00E36455">
            <w:pPr>
              <w:jc w:val="both"/>
            </w:pPr>
            <w:r w:rsidRPr="00095299">
              <w:rPr>
                <w:position w:val="-18"/>
              </w:rPr>
              <w:object w:dxaOrig="800" w:dyaOrig="480">
                <v:shape id="_x0000_i1060" type="#_x0000_t75" style="width:52.6pt;height:31.95pt" o:ole="">
                  <v:imagedata r:id="rId26" o:title=""/>
                </v:shape>
                <o:OLEObject Type="Embed" ProgID="Equation.DSMT4" ShapeID="_x0000_i1060" DrawAspect="Content" ObjectID="_1745674695" r:id="rId69"/>
              </w:object>
            </w:r>
          </w:p>
        </w:tc>
        <w:tc>
          <w:tcPr>
            <w:tcW w:w="1370" w:type="dxa"/>
          </w:tcPr>
          <w:p w:rsidR="00AF126F" w:rsidRPr="00095299" w:rsidRDefault="00AF126F" w:rsidP="00E36455">
            <w:pPr>
              <w:jc w:val="both"/>
            </w:pPr>
            <w:r w:rsidRPr="00095299">
              <w:t>0.14 ± 0.02</w:t>
            </w:r>
          </w:p>
        </w:tc>
        <w:tc>
          <w:tcPr>
            <w:tcW w:w="1323" w:type="dxa"/>
          </w:tcPr>
          <w:p w:rsidR="00AF126F" w:rsidRPr="00095299" w:rsidRDefault="00AF126F" w:rsidP="00E36455">
            <w:pPr>
              <w:jc w:val="both"/>
            </w:pPr>
            <w:r w:rsidRPr="00095299">
              <w:t>0.07 ± 0.03</w:t>
            </w:r>
          </w:p>
        </w:tc>
      </w:tr>
    </w:tbl>
    <w:p w:rsidR="00AF126F" w:rsidRPr="00095299" w:rsidRDefault="00AF126F" w:rsidP="005713AD">
      <w:pPr>
        <w:spacing w:line="288" w:lineRule="auto"/>
        <w:ind w:firstLine="708"/>
        <w:jc w:val="both"/>
        <w:rPr>
          <w:i/>
        </w:rPr>
      </w:pPr>
      <w:r w:rsidRPr="00095299">
        <w:rPr>
          <w:i/>
        </w:rPr>
        <w:t xml:space="preserve">Таблица 2. </w:t>
      </w:r>
      <w:r w:rsidR="00E54B0E" w:rsidRPr="00095299">
        <w:rPr>
          <w:i/>
        </w:rPr>
        <w:t xml:space="preserve">Параметры угловой анизотропии для наиболее интенсивных </w:t>
      </w:r>
      <w:proofErr w:type="gramStart"/>
      <w:r w:rsidR="00E54B0E" w:rsidRPr="00095299">
        <w:rPr>
          <w:i/>
        </w:rPr>
        <w:t>γ-</w:t>
      </w:r>
      <w:proofErr w:type="gramEnd"/>
      <w:r w:rsidR="00E54B0E" w:rsidRPr="00095299">
        <w:rPr>
          <w:i/>
        </w:rPr>
        <w:t xml:space="preserve">переходов в ядрах-продуктах реакций </w:t>
      </w:r>
      <w:r w:rsidR="00E54B0E" w:rsidRPr="00095299">
        <w:rPr>
          <w:i/>
          <w:vertAlign w:val="superscript"/>
        </w:rPr>
        <w:t>31</w:t>
      </w:r>
      <w:r w:rsidR="00E54B0E" w:rsidRPr="00095299">
        <w:rPr>
          <w:i/>
          <w:lang w:val="en-US"/>
        </w:rPr>
        <w:t>P</w:t>
      </w:r>
      <w:r w:rsidR="00E54B0E" w:rsidRPr="00095299">
        <w:rPr>
          <w:i/>
        </w:rPr>
        <w:t>(</w:t>
      </w:r>
      <w:r w:rsidR="00E54B0E" w:rsidRPr="00095299">
        <w:rPr>
          <w:i/>
          <w:lang w:val="en-US"/>
        </w:rPr>
        <w:t>n</w:t>
      </w:r>
      <w:r w:rsidR="00E54B0E" w:rsidRPr="00095299">
        <w:rPr>
          <w:i/>
        </w:rPr>
        <w:t>,</w:t>
      </w:r>
      <w:r w:rsidR="00E54B0E" w:rsidRPr="00095299">
        <w:rPr>
          <w:i/>
          <w:lang w:val="en-US"/>
        </w:rPr>
        <w:t>xγ</w:t>
      </w:r>
      <w:r w:rsidR="00E54B0E" w:rsidRPr="00095299">
        <w:rPr>
          <w:i/>
        </w:rPr>
        <w:t xml:space="preserve">). </w:t>
      </w:r>
    </w:p>
    <w:p w:rsidR="00E54B0E" w:rsidRPr="00095299" w:rsidRDefault="00E54B0E" w:rsidP="005713AD">
      <w:pPr>
        <w:spacing w:line="288" w:lineRule="auto"/>
        <w:ind w:firstLine="708"/>
        <w:jc w:val="both"/>
        <w:rPr>
          <w:iCs/>
        </w:rPr>
      </w:pPr>
      <w:r w:rsidRPr="00095299">
        <w:rPr>
          <w:iCs/>
        </w:rPr>
        <w:t>Несмотря на значительный объем проделанной работы и большое количество выполненных как нами, так и другими научными коллективами, исследований свойств γ-излучения, имеющихся данных по сечениям рождения характеристических</w:t>
      </w:r>
      <w:r w:rsidRPr="00095299">
        <w:t xml:space="preserve"> </w:t>
      </w:r>
      <w:bookmarkStart w:id="2" w:name="_Hlk131689437"/>
      <w:r w:rsidRPr="00095299">
        <w:rPr>
          <w:iCs/>
        </w:rPr>
        <w:t xml:space="preserve">γ-квантов </w:t>
      </w:r>
      <w:bookmarkEnd w:id="2"/>
      <w:r w:rsidRPr="00095299">
        <w:rPr>
          <w:iCs/>
        </w:rPr>
        <w:t xml:space="preserve">недостаточно для </w:t>
      </w:r>
      <w:r w:rsidR="00AC2EC9" w:rsidRPr="00095299">
        <w:rPr>
          <w:iCs/>
        </w:rPr>
        <w:t>создания перспективной методики элементного анализа на быстрых нейтрон</w:t>
      </w:r>
      <w:r w:rsidR="002035CA" w:rsidRPr="00095299">
        <w:rPr>
          <w:iCs/>
        </w:rPr>
        <w:t>ах</w:t>
      </w:r>
      <w:r w:rsidR="00AC2EC9" w:rsidRPr="00095299">
        <w:rPr>
          <w:iCs/>
        </w:rPr>
        <w:t xml:space="preserve">. В 2022 г. коллективом коллаборации </w:t>
      </w:r>
      <w:r w:rsidR="00AC2EC9" w:rsidRPr="00095299">
        <w:rPr>
          <w:iCs/>
          <w:lang w:val="en-US"/>
        </w:rPr>
        <w:t>TANGRA</w:t>
      </w:r>
      <w:r w:rsidR="00AC2EC9" w:rsidRPr="00095299">
        <w:rPr>
          <w:iCs/>
        </w:rPr>
        <w:t xml:space="preserve"> был сформирован </w:t>
      </w:r>
      <w:r w:rsidR="00751D6A" w:rsidRPr="00095299">
        <w:rPr>
          <w:iCs/>
        </w:rPr>
        <w:t>проект, целью которого является построение базы данных сечений излучения γ-квантов в нейтрон-ядерных реакциях</w:t>
      </w:r>
      <w:r w:rsidR="002035CA" w:rsidRPr="00095299">
        <w:rPr>
          <w:iCs/>
        </w:rPr>
        <w:t xml:space="preserve"> для последующего применения в фундаментальных и прикладных исследованиях. Планируемые исследования получили положительные отзывы экспертов РНФ, проект был поддержан Фондом (грант № 23-12-00239)</w:t>
      </w:r>
    </w:p>
    <w:p w:rsidR="008B4CC6" w:rsidRPr="00095299" w:rsidRDefault="008B4CC6">
      <w:pPr>
        <w:spacing w:line="288" w:lineRule="auto"/>
        <w:ind w:firstLine="708"/>
        <w:jc w:val="both"/>
      </w:pPr>
    </w:p>
    <w:p w:rsidR="008B4CC6" w:rsidRPr="00095299" w:rsidRDefault="00977964">
      <w:pPr>
        <w:numPr>
          <w:ilvl w:val="0"/>
          <w:numId w:val="2"/>
        </w:numPr>
        <w:spacing w:line="288" w:lineRule="auto"/>
        <w:jc w:val="both"/>
        <w:rPr>
          <w:i/>
          <w:lang w:val="en-US"/>
        </w:rPr>
      </w:pPr>
      <w:r w:rsidRPr="00095299">
        <w:rPr>
          <w:i/>
          <w:lang w:val="en-US"/>
        </w:rPr>
        <w:t>Simakov S. P., Pavlik A., Vonach H. et al. Status of Experimental and Evaluated Discrete</w:t>
      </w:r>
      <w:r w:rsidR="00AC2EC9" w:rsidRPr="00095299">
        <w:rPr>
          <w:i/>
          <w:lang w:val="en-US"/>
        </w:rPr>
        <w:t xml:space="preserve"> </w:t>
      </w:r>
      <w:r w:rsidRPr="00095299">
        <w:rPr>
          <w:i/>
          <w:lang w:val="en-US"/>
        </w:rPr>
        <w:t>Gamma-Ray Production at En=14.5MeV/ International</w:t>
      </w:r>
      <w:r w:rsidR="00D334BA" w:rsidRPr="00095299">
        <w:rPr>
          <w:i/>
          <w:lang w:val="en-US"/>
        </w:rPr>
        <w:t xml:space="preserve"> </w:t>
      </w:r>
      <w:r w:rsidRPr="00095299">
        <w:rPr>
          <w:i/>
          <w:lang w:val="en-US"/>
        </w:rPr>
        <w:t>Atomic Energy Agency, Vienna, Austria. 1998.</w:t>
      </w:r>
    </w:p>
    <w:p w:rsidR="008B4CC6" w:rsidRPr="00095299" w:rsidRDefault="008B4CC6">
      <w:pPr>
        <w:spacing w:line="288" w:lineRule="auto"/>
        <w:jc w:val="both"/>
      </w:pPr>
    </w:p>
    <w:p w:rsidR="008B4CC6" w:rsidRPr="00095299" w:rsidRDefault="00977964">
      <w:pPr>
        <w:numPr>
          <w:ilvl w:val="0"/>
          <w:numId w:val="3"/>
        </w:numPr>
        <w:spacing w:line="288" w:lineRule="auto"/>
        <w:jc w:val="both"/>
        <w:rPr>
          <w:b/>
        </w:rPr>
      </w:pPr>
      <w:r w:rsidRPr="00095299">
        <w:rPr>
          <w:b/>
          <w:i/>
        </w:rPr>
        <w:t>Определение концентрации углерода в почве с использованием метода меченых нейтронов</w:t>
      </w:r>
    </w:p>
    <w:p w:rsidR="008B4CC6" w:rsidRPr="00095299" w:rsidRDefault="008B4CC6">
      <w:pPr>
        <w:spacing w:line="288" w:lineRule="auto"/>
        <w:jc w:val="both"/>
      </w:pPr>
    </w:p>
    <w:p w:rsidR="00D334BA" w:rsidRPr="00095299" w:rsidRDefault="00D334BA" w:rsidP="00D334BA">
      <w:pPr>
        <w:spacing w:line="288" w:lineRule="auto"/>
        <w:ind w:firstLine="709"/>
        <w:jc w:val="both"/>
        <w:rPr>
          <w:bCs/>
          <w:iCs/>
        </w:rPr>
      </w:pPr>
      <w:r w:rsidRPr="00095299">
        <w:rPr>
          <w:bCs/>
          <w:iCs/>
        </w:rPr>
        <w:t>Почвы являются одним из наиболее значимых резервуаров углерода и других биогенных элементов, а отслеживание их содержания, внутрипочвенной миграции и пространственного распределения является перспективным инструментом для мониторинга состояния окружающей среды.</w:t>
      </w:r>
    </w:p>
    <w:p w:rsidR="00D334BA" w:rsidRPr="00095299" w:rsidRDefault="00D334BA" w:rsidP="00D334BA">
      <w:pPr>
        <w:spacing w:line="288" w:lineRule="auto"/>
        <w:ind w:firstLine="709"/>
        <w:jc w:val="both"/>
        <w:rPr>
          <w:bCs/>
          <w:iCs/>
        </w:rPr>
      </w:pPr>
      <w:r w:rsidRPr="00095299">
        <w:rPr>
          <w:bCs/>
          <w:iCs/>
        </w:rPr>
        <w:t>Потребность в увеличении охвата мониторинга одновременно с повышением его точности и детализации в описании вариабельности запасов углерода в почвах формирует запрос на развитие инструментальной базы, обеспечивающей сокращение объема пробоподготовки, создание полевых/мобильных версий приборов/лабораторий, автоматизацию анализа.</w:t>
      </w:r>
    </w:p>
    <w:p w:rsidR="008B4CC6" w:rsidRPr="00095299" w:rsidRDefault="00D334BA" w:rsidP="00D334BA">
      <w:pPr>
        <w:spacing w:line="288" w:lineRule="auto"/>
        <w:ind w:firstLine="709"/>
        <w:jc w:val="both"/>
      </w:pPr>
      <w:r w:rsidRPr="00095299">
        <w:rPr>
          <w:bCs/>
          <w:iCs/>
        </w:rPr>
        <w:t xml:space="preserve">Основанный на неупругом рассеянии нейтронов метод меченых нейтронов (ММН), наряду с методами инфракрасной спектроскопии и спектроскопией лазерного пробоя, является одним из перспективных проксимальных методов, обеспечивающим неинвазивный объемный анализ почвы. </w:t>
      </w:r>
      <w:r w:rsidR="00977964" w:rsidRPr="00095299">
        <w:t>Для тестирования возможностей метода, в частности, для определения пределов чувствительности и точности метода были проведены тестовые измерения c прототипом установки для определения элементного состава почвы АГП-С. В его состав входили портативный нейтронный генератор ИНГ-27 со встроенным 9-</w:t>
      </w:r>
      <w:r w:rsidR="00977964" w:rsidRPr="00095299">
        <w:lastRenderedPageBreak/>
        <w:t>пиксельным α-детектором, система из 6 γ-детекторов на основе кристаллов BGO, система сбора данных, блок питания детекторов и нейтронного генератора.</w:t>
      </w:r>
    </w:p>
    <w:p w:rsidR="008B4CC6" w:rsidRPr="00095299" w:rsidRDefault="00977964">
      <w:pPr>
        <w:spacing w:line="288" w:lineRule="auto"/>
        <w:ind w:firstLine="709"/>
        <w:jc w:val="both"/>
      </w:pPr>
      <w:r w:rsidRPr="00095299">
        <w:rPr>
          <w:noProof/>
        </w:rPr>
        <w:drawing>
          <wp:inline distT="0" distB="0" distL="0" distR="0">
            <wp:extent cx="4667250" cy="3571875"/>
            <wp:effectExtent l="0" t="0" r="0" b="0"/>
            <wp:docPr id="1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
                    <pic:cNvPicPr>
                      <a:picLocks noChangeAspect="1" noChangeArrowheads="1"/>
                    </pic:cNvPicPr>
                  </pic:nvPicPr>
                  <pic:blipFill>
                    <a:blip r:embed="rId70" cstate="print"/>
                    <a:stretch>
                      <a:fillRect/>
                    </a:stretch>
                  </pic:blipFill>
                  <pic:spPr bwMode="auto">
                    <a:xfrm>
                      <a:off x="0" y="0"/>
                      <a:ext cx="4667250" cy="3571875"/>
                    </a:xfrm>
                    <a:prstGeom prst="rect">
                      <a:avLst/>
                    </a:prstGeom>
                  </pic:spPr>
                </pic:pic>
              </a:graphicData>
            </a:graphic>
          </wp:inline>
        </w:drawing>
      </w:r>
    </w:p>
    <w:p w:rsidR="008B4CC6" w:rsidRPr="00095299" w:rsidRDefault="00977964">
      <w:pPr>
        <w:pStyle w:val="ad"/>
        <w:spacing w:after="120" w:line="276" w:lineRule="auto"/>
        <w:ind w:firstLine="709"/>
        <w:jc w:val="both"/>
        <w:rPr>
          <w:bCs/>
          <w:i/>
          <w:iCs/>
        </w:rPr>
      </w:pPr>
      <w:r w:rsidRPr="00095299">
        <w:rPr>
          <w:bCs/>
          <w:i/>
          <w:iCs/>
        </w:rPr>
        <w:t>Рис. 8 Результаты измерений градуировочных проб. По оси абсци</w:t>
      </w:r>
      <w:r w:rsidRPr="00095299">
        <w:rPr>
          <w:bCs/>
          <w:i/>
          <w:iCs/>
          <w:lang w:val="en-US"/>
        </w:rPr>
        <w:t>cc</w:t>
      </w:r>
      <w:r w:rsidRPr="00095299">
        <w:rPr>
          <w:bCs/>
          <w:i/>
          <w:iCs/>
        </w:rPr>
        <w:t xml:space="preserve"> отложены результаты измерений концентрации углерода установкой АГП-С, по оси ординат – расчетные значения. Красной линией показана градуировочная характеристика. Размер маркера больше значения ошибки измерения.</w:t>
      </w:r>
    </w:p>
    <w:p w:rsidR="008B4CC6" w:rsidRPr="00095299" w:rsidRDefault="00977964">
      <w:pPr>
        <w:spacing w:line="288" w:lineRule="auto"/>
        <w:ind w:firstLine="709"/>
        <w:jc w:val="both"/>
      </w:pPr>
      <w:r w:rsidRPr="00095299">
        <w:t>Проводились измерения проб, составленных из силикатного песка, имитирующего почву, и сахарного песка, имитирующего углерод в почве, в различных пропорциях. Масса каждой пробы составляла 30 кг, содержание сахарного песка было подобрано таким образом, чтобы массовая доля углерода в пробе менялась от 0 до 10%. Измерения проводились в режиме 3х30 мин. В качестве результата бралось среднее по результатам обработки каждого из трех измерений. Таким образом, была получена градуировочная кривая, в определенном смысле характеризующая точность и чувствительность метода.</w:t>
      </w:r>
    </w:p>
    <w:p w:rsidR="008B4CC6" w:rsidRPr="00095299" w:rsidRDefault="00977964">
      <w:pPr>
        <w:spacing w:line="288" w:lineRule="auto"/>
        <w:ind w:firstLine="709"/>
        <w:jc w:val="both"/>
      </w:pPr>
      <w:r w:rsidRPr="00095299">
        <w:t>На Рис. 8 показаны результаты измерений градуировочных проб, а также градуировочная зависимость (красная линия). Полученные результаты хорошо аппроксимировались простой линейной функцией со следующими параметрами:</w:t>
      </w:r>
    </w:p>
    <w:p w:rsidR="008B4CC6" w:rsidRPr="00095299" w:rsidRDefault="008B4CC6">
      <w:pPr>
        <w:spacing w:line="288" w:lineRule="auto"/>
        <w:ind w:firstLine="709"/>
        <w:jc w:val="both"/>
      </w:pPr>
    </w:p>
    <w:p w:rsidR="008B4CC6" w:rsidRPr="00095299" w:rsidRDefault="00977964">
      <w:pPr>
        <w:spacing w:line="288" w:lineRule="auto"/>
        <w:ind w:left="1415" w:firstLine="709"/>
      </w:pPr>
      <w:r w:rsidRPr="00095299">
        <w:t>Y = (1,03±0,03) × C</w:t>
      </w:r>
      <w:r w:rsidRPr="00095299">
        <w:rPr>
          <w:vertAlign w:val="subscript"/>
        </w:rPr>
        <w:t>raw</w:t>
      </w:r>
      <w:r w:rsidRPr="00095299">
        <w:t xml:space="preserve"> – (0,31±0,12)</w:t>
      </w:r>
      <w:r w:rsidRPr="00095299">
        <w:tab/>
      </w:r>
      <w:r w:rsidRPr="00095299">
        <w:tab/>
      </w:r>
      <w:r w:rsidRPr="00095299">
        <w:tab/>
      </w:r>
      <w:r w:rsidRPr="00095299">
        <w:tab/>
        <w:t xml:space="preserve">          (3)</w:t>
      </w:r>
    </w:p>
    <w:p w:rsidR="008B4CC6" w:rsidRPr="00095299" w:rsidRDefault="008B4CC6">
      <w:pPr>
        <w:spacing w:line="288" w:lineRule="auto"/>
        <w:ind w:firstLine="709"/>
        <w:jc w:val="both"/>
      </w:pPr>
    </w:p>
    <w:p w:rsidR="008B4CC6" w:rsidRPr="00095299" w:rsidRDefault="00977964">
      <w:pPr>
        <w:spacing w:line="288" w:lineRule="auto"/>
        <w:ind w:firstLine="709"/>
        <w:jc w:val="both"/>
      </w:pPr>
      <w:r w:rsidRPr="00095299">
        <w:t>где C</w:t>
      </w:r>
      <w:r w:rsidRPr="00095299">
        <w:rPr>
          <w:vertAlign w:val="subscript"/>
        </w:rPr>
        <w:t>raw</w:t>
      </w:r>
      <w:r w:rsidRPr="00095299">
        <w:t xml:space="preserve"> – результаты измерений установки АГП-С, Y – расчетные значения массовой концентрации углерода.</w:t>
      </w:r>
    </w:p>
    <w:p w:rsidR="008B4CC6" w:rsidRPr="00095299" w:rsidRDefault="00977964">
      <w:pPr>
        <w:pStyle w:val="11"/>
        <w:spacing w:line="288" w:lineRule="auto"/>
        <w:ind w:firstLine="709"/>
        <w:rPr>
          <w:szCs w:val="24"/>
        </w:rPr>
      </w:pPr>
      <w:r w:rsidRPr="00095299">
        <w:rPr>
          <w:szCs w:val="24"/>
        </w:rPr>
        <w:t xml:space="preserve">Разброс градуировочных данных (сходимость с расчетными значениями) характеризуется </w:t>
      </w:r>
      <w:r w:rsidRPr="00095299">
        <w:rPr>
          <w:bCs/>
          <w:szCs w:val="24"/>
        </w:rPr>
        <w:t>среднеквадратичным отклонением (СКО):</w:t>
      </w:r>
    </w:p>
    <w:tbl>
      <w:tblPr>
        <w:tblW w:w="9555" w:type="dxa"/>
        <w:tblLayout w:type="fixed"/>
        <w:tblLook w:val="04A0"/>
      </w:tblPr>
      <w:tblGrid>
        <w:gridCol w:w="5529"/>
        <w:gridCol w:w="4026"/>
      </w:tblGrid>
      <w:tr w:rsidR="008B4CC6" w:rsidRPr="00095299">
        <w:tc>
          <w:tcPr>
            <w:tcW w:w="5528" w:type="dxa"/>
            <w:vAlign w:val="center"/>
          </w:tcPr>
          <w:p w:rsidR="008B4CC6" w:rsidRPr="00095299" w:rsidRDefault="00CB783F">
            <w:pPr>
              <w:pStyle w:val="11"/>
              <w:spacing w:line="288" w:lineRule="auto"/>
              <w:jc w:val="right"/>
              <w:rPr>
                <w:i/>
                <w:szCs w:val="24"/>
                <w:lang w:val="en-US"/>
              </w:rPr>
            </w:pPr>
            <m:oMathPara>
              <m:oMathParaPr>
                <m:jc m:val="right"/>
              </m:oMathParaPr>
              <m:oMath>
                <m:sSub>
                  <m:sSubPr>
                    <m:ctrlPr>
                      <w:rPr>
                        <w:rFonts w:ascii="Cambria Math" w:hAnsi="Cambria Math"/>
                        <w:szCs w:val="24"/>
                      </w:rPr>
                    </m:ctrlPr>
                  </m:sSubPr>
                  <m:e>
                    <m:r>
                      <w:rPr>
                        <w:rFonts w:ascii="Cambria Math" w:hAnsi="Cambria Math"/>
                        <w:szCs w:val="24"/>
                      </w:rPr>
                      <m:t>σ</m:t>
                    </m:r>
                  </m:e>
                  <m:sub>
                    <m:r>
                      <w:rPr>
                        <w:rFonts w:ascii="Cambria Math" w:hAnsi="Cambria Math"/>
                        <w:szCs w:val="24"/>
                      </w:rPr>
                      <m:t>r</m:t>
                    </m:r>
                  </m:sub>
                </m:sSub>
                <m:r>
                  <w:rPr>
                    <w:rFonts w:ascii="Cambria Math" w:hAnsi="Cambria Math"/>
                    <w:szCs w:val="24"/>
                  </w:rPr>
                  <m:t>=</m:t>
                </m:r>
                <m:rad>
                  <m:radPr>
                    <m:degHide m:val="on"/>
                    <m:ctrlPr>
                      <w:rPr>
                        <w:rFonts w:ascii="Cambria Math" w:hAnsi="Cambria Math"/>
                        <w:szCs w:val="24"/>
                      </w:rPr>
                    </m:ctrlPr>
                  </m:radPr>
                  <m:deg/>
                  <m:e>
                    <m:f>
                      <m:fPr>
                        <m:ctrlPr>
                          <w:rPr>
                            <w:rFonts w:ascii="Cambria Math" w:hAnsi="Cambria Math"/>
                            <w:szCs w:val="24"/>
                          </w:rPr>
                        </m:ctrlPr>
                      </m:fPr>
                      <m:num>
                        <m:nary>
                          <m:naryPr>
                            <m:chr m:val="∑"/>
                            <m:supHide m:val="on"/>
                            <m:ctrlPr>
                              <w:rPr>
                                <w:rFonts w:ascii="Cambria Math" w:hAnsi="Cambria Math"/>
                                <w:szCs w:val="24"/>
                              </w:rPr>
                            </m:ctrlPr>
                          </m:naryPr>
                          <m:sub>
                            <m:r>
                              <w:rPr>
                                <w:rFonts w:ascii="Cambria Math" w:hAnsi="Cambria Math"/>
                                <w:szCs w:val="24"/>
                              </w:rPr>
                              <m:t>i</m:t>
                            </m:r>
                          </m:sub>
                          <m:sup/>
                          <m:e>
                            <m:sSup>
                              <m:sSupPr>
                                <m:ctrlPr>
                                  <w:rPr>
                                    <w:rFonts w:ascii="Cambria Math" w:hAnsi="Cambria Math"/>
                                    <w:szCs w:val="24"/>
                                  </w:rPr>
                                </m:ctrlPr>
                              </m:sSupPr>
                              <m:e>
                                <m:d>
                                  <m:dPr>
                                    <m:ctrlPr>
                                      <w:rPr>
                                        <w:rFonts w:ascii="Cambria Math" w:hAnsi="Cambria Math"/>
                                        <w:szCs w:val="24"/>
                                      </w:rPr>
                                    </m:ctrlPr>
                                  </m:dPr>
                                  <m:e>
                                    <m:sSub>
                                      <m:sSubPr>
                                        <m:ctrlPr>
                                          <w:rPr>
                                            <w:rFonts w:ascii="Cambria Math" w:hAnsi="Cambria Math"/>
                                            <w:szCs w:val="24"/>
                                          </w:rPr>
                                        </m:ctrlPr>
                                      </m:sSubPr>
                                      <m:e>
                                        <m:r>
                                          <w:rPr>
                                            <w:rFonts w:ascii="Cambria Math" w:hAnsi="Cambria Math"/>
                                            <w:szCs w:val="24"/>
                                          </w:rPr>
                                          <m:t>X</m:t>
                                        </m:r>
                                      </m:e>
                                      <m:sub>
                                        <m:r>
                                          <w:rPr>
                                            <w:rFonts w:ascii="Cambria Math" w:hAnsi="Cambria Math"/>
                                            <w:szCs w:val="24"/>
                                          </w:rPr>
                                          <m:t>i</m:t>
                                        </m:r>
                                      </m:sub>
                                    </m:sSub>
                                    <m:r>
                                      <w:rPr>
                                        <w:rFonts w:ascii="Cambria Math" w:hAnsi="Cambria Math"/>
                                        <w:szCs w:val="24"/>
                                      </w:rPr>
                                      <m:t>-</m:t>
                                    </m:r>
                                    <m:sSub>
                                      <m:sSubPr>
                                        <m:ctrlPr>
                                          <w:rPr>
                                            <w:rFonts w:ascii="Cambria Math" w:hAnsi="Cambria Math"/>
                                            <w:szCs w:val="24"/>
                                          </w:rPr>
                                        </m:ctrlPr>
                                      </m:sSubPr>
                                      <m:e>
                                        <m:r>
                                          <w:rPr>
                                            <w:rFonts w:ascii="Cambria Math" w:hAnsi="Cambria Math"/>
                                            <w:szCs w:val="24"/>
                                          </w:rPr>
                                          <m:t>Y</m:t>
                                        </m:r>
                                      </m:e>
                                      <m:sub>
                                        <m:r>
                                          <w:rPr>
                                            <w:rFonts w:ascii="Cambria Math" w:hAnsi="Cambria Math"/>
                                            <w:szCs w:val="24"/>
                                          </w:rPr>
                                          <m:t>i</m:t>
                                        </m:r>
                                      </m:sub>
                                    </m:sSub>
                                  </m:e>
                                </m:d>
                              </m:e>
                              <m:sup>
                                <m:r>
                                  <w:rPr>
                                    <w:rFonts w:ascii="Cambria Math" w:hAnsi="Cambria Math"/>
                                    <w:szCs w:val="24"/>
                                  </w:rPr>
                                  <m:t>2</m:t>
                                </m:r>
                              </m:sup>
                            </m:sSup>
                          </m:e>
                        </m:nary>
                      </m:num>
                      <m:den>
                        <m:r>
                          <w:rPr>
                            <w:rFonts w:ascii="Cambria Math" w:hAnsi="Cambria Math"/>
                            <w:szCs w:val="24"/>
                          </w:rPr>
                          <m:t>n</m:t>
                        </m:r>
                      </m:den>
                    </m:f>
                  </m:e>
                </m:rad>
                <m:r>
                  <w:rPr>
                    <w:rFonts w:ascii="Cambria Math" w:hAnsi="Cambria Math"/>
                    <w:szCs w:val="24"/>
                  </w:rPr>
                  <m:t>=0,2</m:t>
                </m:r>
                <m:r>
                  <m:rPr>
                    <m:lit/>
                    <m:nor/>
                  </m:rPr>
                  <w:rPr>
                    <w:szCs w:val="24"/>
                  </w:rPr>
                  <m:t>%</m:t>
                </m:r>
              </m:oMath>
            </m:oMathPara>
          </w:p>
        </w:tc>
        <w:tc>
          <w:tcPr>
            <w:tcW w:w="4026" w:type="dxa"/>
            <w:vAlign w:val="center"/>
          </w:tcPr>
          <w:p w:rsidR="008B4CC6" w:rsidRPr="00095299" w:rsidRDefault="00977964">
            <w:pPr>
              <w:pStyle w:val="11"/>
              <w:spacing w:line="288" w:lineRule="auto"/>
              <w:jc w:val="right"/>
              <w:rPr>
                <w:szCs w:val="24"/>
              </w:rPr>
            </w:pPr>
            <w:r w:rsidRPr="00095299">
              <w:rPr>
                <w:szCs w:val="24"/>
              </w:rPr>
              <w:t>(4)</w:t>
            </w:r>
          </w:p>
        </w:tc>
      </w:tr>
    </w:tbl>
    <w:p w:rsidR="008B4CC6" w:rsidRPr="00095299" w:rsidRDefault="00977964">
      <w:pPr>
        <w:spacing w:line="288" w:lineRule="auto"/>
        <w:ind w:firstLine="709"/>
        <w:jc w:val="both"/>
      </w:pPr>
      <w:r w:rsidRPr="00095299">
        <w:lastRenderedPageBreak/>
        <w:t xml:space="preserve">где n – число градуировочных проб, </w:t>
      </w:r>
      <w:r w:rsidRPr="00095299">
        <w:rPr>
          <w:lang w:val="en-US"/>
        </w:rPr>
        <w:t>X</w:t>
      </w:r>
      <w:r w:rsidRPr="00095299">
        <w:t xml:space="preserve"> – значение массовой концентрации элемента, измеренное АГП-С для </w:t>
      </w:r>
      <w:r w:rsidRPr="00095299">
        <w:rPr>
          <w:lang w:val="en-US"/>
        </w:rPr>
        <w:t>i</w:t>
      </w:r>
      <w:r w:rsidRPr="00095299">
        <w:t xml:space="preserve">-й пробы, </w:t>
      </w:r>
      <w:r w:rsidRPr="00095299">
        <w:rPr>
          <w:lang w:val="en-US"/>
        </w:rPr>
        <w:t>Y</w:t>
      </w:r>
      <w:r w:rsidRPr="00095299">
        <w:t xml:space="preserve"> – значение расчетной массовой концентрации элемента для </w:t>
      </w:r>
      <w:r w:rsidRPr="00095299">
        <w:rPr>
          <w:lang w:val="en-US"/>
        </w:rPr>
        <w:t>i</w:t>
      </w:r>
      <w:r w:rsidRPr="00095299">
        <w:t xml:space="preserve">-й пробы. </w:t>
      </w:r>
    </w:p>
    <w:p w:rsidR="008B4CC6" w:rsidRPr="00095299" w:rsidRDefault="00977964">
      <w:pPr>
        <w:spacing w:line="288" w:lineRule="auto"/>
        <w:ind w:firstLine="709"/>
        <w:jc w:val="both"/>
        <w:rPr>
          <w:bCs/>
        </w:rPr>
      </w:pPr>
      <w:r w:rsidRPr="00095299">
        <w:rPr>
          <w:bCs/>
        </w:rPr>
        <w:t>Для определения возможностей аппаратуры была определена точность измерений в  смысле повторяемости</w:t>
      </w:r>
      <w:r w:rsidR="002F290F" w:rsidRPr="00095299">
        <w:rPr>
          <w:bCs/>
        </w:rPr>
        <w:t>. А</w:t>
      </w:r>
      <w:r w:rsidRPr="00095299">
        <w:rPr>
          <w:bCs/>
        </w:rPr>
        <w:t>бсолютная погрешность повторных измерений</w:t>
      </w:r>
      <w:r w:rsidR="00F7015E" w:rsidRPr="00095299">
        <w:rPr>
          <w:bCs/>
        </w:rPr>
        <w:t xml:space="preserve"> </w:t>
      </w:r>
      <w:r w:rsidRPr="00095299">
        <w:rPr>
          <w:bCs/>
        </w:rPr>
        <w:t>массовой концентрации углерода в почве для уровней концентрации 1-3% составила в среднем 0,14%, кремния - 0,46%, кислорода – 0,55%. Сходимость с расчетными значениями составила σ</w:t>
      </w:r>
      <w:r w:rsidRPr="00095299">
        <w:rPr>
          <w:bCs/>
          <w:vertAlign w:val="subscript"/>
        </w:rPr>
        <w:t>r</w:t>
      </w:r>
      <w:r w:rsidRPr="00095299">
        <w:rPr>
          <w:rFonts w:eastAsia="Symbol"/>
          <w:bCs/>
        </w:rPr>
        <w:t></w:t>
      </w:r>
      <w:r w:rsidRPr="00095299">
        <w:rPr>
          <w:bCs/>
        </w:rPr>
        <w:t>0,2%.</w:t>
      </w:r>
      <w:r w:rsidR="00F7015E" w:rsidRPr="00095299">
        <w:rPr>
          <w:bCs/>
        </w:rPr>
        <w:t xml:space="preserve"> </w:t>
      </w:r>
    </w:p>
    <w:p w:rsidR="00F7015E" w:rsidRPr="00095299" w:rsidRDefault="00F7015E">
      <w:pPr>
        <w:spacing w:line="288" w:lineRule="auto"/>
        <w:ind w:firstLine="709"/>
        <w:jc w:val="both"/>
        <w:rPr>
          <w:bCs/>
        </w:rPr>
      </w:pPr>
      <w:r w:rsidRPr="00095299">
        <w:rPr>
          <w:bCs/>
        </w:rPr>
        <w:t>Для проверки возможности определения распределения углерода по профилю почвы нами было выполнено моделирование экспериментальной установки методом Монте-Карло.</w:t>
      </w:r>
      <w:r w:rsidR="00751D6A" w:rsidRPr="00095299">
        <w:rPr>
          <w:bCs/>
        </w:rPr>
        <w:t xml:space="preserve"> Общий вид установки представлен на рисунке 5, </w:t>
      </w:r>
      <w:r w:rsidR="00751D6A" w:rsidRPr="00095299">
        <w:rPr>
          <w:bCs/>
          <w:i/>
          <w:iCs/>
        </w:rPr>
        <w:t>а)</w:t>
      </w:r>
      <w:r w:rsidR="00751D6A" w:rsidRPr="00095299">
        <w:rPr>
          <w:bCs/>
        </w:rPr>
        <w:t xml:space="preserve">, а модельный временной спектр α-γ совпадений, соответствующий реакциям неупругого рассеяния нейтронов на </w:t>
      </w:r>
      <w:r w:rsidR="00751D6A" w:rsidRPr="00095299">
        <w:rPr>
          <w:bCs/>
          <w:vertAlign w:val="superscript"/>
        </w:rPr>
        <w:t>12</w:t>
      </w:r>
      <w:r w:rsidR="00751D6A" w:rsidRPr="00095299">
        <w:rPr>
          <w:bCs/>
        </w:rPr>
        <w:t xml:space="preserve">С, произошедшим на разных глубинах – на рисунке 5, </w:t>
      </w:r>
      <w:r w:rsidR="00751D6A" w:rsidRPr="00095299">
        <w:rPr>
          <w:bCs/>
          <w:i/>
          <w:iCs/>
        </w:rPr>
        <w:t>б)</w:t>
      </w:r>
      <w:r w:rsidR="00751D6A" w:rsidRPr="00095299">
        <w:rPr>
          <w:bCs/>
        </w:rPr>
        <w:t xml:space="preserve">. Разложение суммарного временного спектра на соответствующие компоненты позволяет определить концентрации </w:t>
      </w:r>
      <w:r w:rsidR="002035CA" w:rsidRPr="00095299">
        <w:rPr>
          <w:bCs/>
        </w:rPr>
        <w:t xml:space="preserve">углерода на различных глубинах, что продемонстрировано на рисунке 6 для случаев с постоянным (а) и изменяющимся (б) содержанием углерода. </w:t>
      </w:r>
    </w:p>
    <w:p w:rsidR="00F7015E" w:rsidRPr="00095299" w:rsidRDefault="00CB783F">
      <w:pPr>
        <w:spacing w:line="288" w:lineRule="auto"/>
        <w:ind w:firstLine="709"/>
        <w:jc w:val="both"/>
        <w:rPr>
          <w:bCs/>
        </w:rPr>
      </w:pPr>
      <w:r>
        <w:rPr>
          <w:bCs/>
          <w:noProof/>
        </w:rPr>
        <w:pict>
          <v:shapetype id="_x0000_t202" coordsize="21600,21600" o:spt="202" path="m,l,21600r21600,l21600,xe">
            <v:stroke joinstyle="miter"/>
            <v:path gradientshapeok="t" o:connecttype="rect"/>
          </v:shapetype>
          <v:shape id="Надпись 2" o:spid="_x0000_s1027" type="#_x0000_t202" style="position:absolute;left:0;text-align:left;margin-left:253.75pt;margin-top:.65pt;width:28.8pt;height:2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" filled="f" stroked="f">
            <v:textbox>
              <w:txbxContent>
                <w:p w:rsidR="00E36455" w:rsidRPr="00F7015E" w:rsidRDefault="00E36455">
                  <w:pPr>
                    <w:rPr>
                      <w:i/>
                      <w:iCs/>
                    </w:rPr>
                  </w:pPr>
                  <w:r w:rsidRPr="00F7015E">
                    <w:rPr>
                      <w:i/>
                      <w:iCs/>
                    </w:rPr>
                    <w:t>а)</w:t>
                  </w:r>
                </w:p>
              </w:txbxContent>
            </v:textbox>
          </v:shape>
        </w:pict>
      </w:r>
      <w:r>
        <w:rPr>
          <w:bCs/>
          <w:noProof/>
        </w:rPr>
        <w:pict>
          <v:shape id="_x0000_s1028" type="#_x0000_t202" style="position:absolute;left:0;text-align:left;margin-left:466.05pt;margin-top:.75pt;width:28.8pt;height:26.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" filled="f" stroked="f">
            <v:textbox>
              <w:txbxContent>
                <w:p w:rsidR="00E36455" w:rsidRPr="00F7015E" w:rsidRDefault="00E36455" w:rsidP="00F7015E">
                  <w:pPr>
                    <w:rPr>
                      <w:i/>
                      <w:iCs/>
                    </w:rPr>
                  </w:pPr>
                  <w:r>
                    <w:rPr>
                      <w:i/>
                      <w:iCs/>
                    </w:rPr>
                    <w:t>б</w:t>
                  </w:r>
                  <w:r w:rsidRPr="00F7015E">
                    <w:rPr>
                      <w:i/>
                      <w:iCs/>
                    </w:rPr>
                    <w:t>)</w:t>
                  </w:r>
                </w:p>
              </w:txbxContent>
            </v:textbox>
          </v:shape>
        </w:pict>
      </w:r>
      <w:r w:rsidR="00F7015E" w:rsidRPr="00095299">
        <w:rPr>
          <w:noProof/>
        </w:rPr>
        <w:drawing>
          <wp:inline distT="0" distB="0" distL="0" distR="0">
            <wp:extent cx="6120130" cy="3819525"/>
            <wp:effectExtent l="0" t="0" r="0" b="9525"/>
            <wp:docPr id="12" name="Рисунок 11" descr="Setup_spec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Setup_spectra.png"/>
                    <pic:cNvPicPr>
                      <a:picLocks noChangeAspect="1"/>
                    </pic:cNvPicPr>
                  </pic:nvPicPr>
                  <pic:blipFill>
                    <a:blip r:embed="rId71" cstate="print"/>
                    <a:stretch>
                      <a:fillRect/>
                    </a:stretch>
                  </pic:blipFill>
                  <pic:spPr>
                    <a:xfrm>
                      <a:off x="0" y="0"/>
                      <a:ext cx="6120130" cy="3819525"/>
                    </a:xfrm>
                    <a:prstGeom prst="rect">
                      <a:avLst/>
                    </a:prstGeom>
                  </pic:spPr>
                </pic:pic>
              </a:graphicData>
            </a:graphic>
          </wp:inline>
        </w:drawing>
      </w:r>
    </w:p>
    <w:p w:rsidR="008B4CC6" w:rsidRPr="00095299" w:rsidRDefault="00F7015E">
      <w:pPr>
        <w:spacing w:line="360" w:lineRule="auto"/>
        <w:ind w:firstLine="709"/>
        <w:jc w:val="both"/>
        <w:rPr>
          <w:bCs/>
        </w:rPr>
      </w:pPr>
      <w:r w:rsidRPr="00095299">
        <w:rPr>
          <w:bCs/>
        </w:rPr>
        <w:t>Рис. 5. Общий вид модели установки (а)</w:t>
      </w:r>
      <w:r w:rsidR="00751D6A" w:rsidRPr="00095299">
        <w:rPr>
          <w:bCs/>
        </w:rPr>
        <w:t>, компоненты временного спектра, соответствующие реакциям на разных глубинах (б).</w:t>
      </w:r>
    </w:p>
    <w:p w:rsidR="002035CA" w:rsidRPr="00095299" w:rsidRDefault="00095299">
      <w:pPr>
        <w:spacing w:line="360" w:lineRule="auto"/>
        <w:ind w:firstLine="709"/>
        <w:jc w:val="both"/>
        <w:rPr>
          <w:bCs/>
        </w:rPr>
      </w:pPr>
      <w:r>
        <w:rPr>
          <w:bCs/>
          <w:noProof/>
        </w:rPr>
        <w:lastRenderedPageBreak/>
        <w:drawing>
          <wp:anchor distT="0" distB="0" distL="114300" distR="114300" simplePos="0" relativeHeight="251662336" behindDoc="0" locked="0" layoutInCell="1" allowOverlap="1">
            <wp:simplePos x="0" y="0"/>
            <wp:positionH relativeFrom="column">
              <wp:posOffset>813545</wp:posOffset>
            </wp:positionH>
            <wp:positionV relativeFrom="paragraph">
              <wp:posOffset>89562</wp:posOffset>
            </wp:positionV>
            <wp:extent cx="363600" cy="33480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600" cy="334800"/>
                    </a:xfrm>
                    <a:prstGeom prst="rect">
                      <a:avLst/>
                    </a:prstGeom>
                    <a:noFill/>
                  </pic:spPr>
                </pic:pic>
              </a:graphicData>
            </a:graphic>
          </wp:anchor>
        </w:drawing>
      </w:r>
      <w:r w:rsidR="00CB783F">
        <w:rPr>
          <w:bCs/>
          <w:noProof/>
        </w:rPr>
        <w:pict>
          <v:shape id="_x0000_s1029" type="#_x0000_t202" style="position:absolute;left:0;text-align:left;margin-left:276.9pt;margin-top:5.2pt;width:28.8pt;height:26.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" filled="f" stroked="f">
            <v:textbox>
              <w:txbxContent>
                <w:p w:rsidR="00E36455" w:rsidRPr="00F7015E" w:rsidRDefault="00E36455" w:rsidP="00095299">
                  <w:pPr>
                    <w:rPr>
                      <w:i/>
                      <w:iCs/>
                    </w:rPr>
                  </w:pPr>
                  <w:r>
                    <w:rPr>
                      <w:i/>
                      <w:iCs/>
                    </w:rPr>
                    <w:t>б</w:t>
                  </w:r>
                  <w:r w:rsidRPr="00F7015E">
                    <w:rPr>
                      <w:i/>
                      <w:iCs/>
                    </w:rPr>
                    <w:t>)</w:t>
                  </w:r>
                </w:p>
              </w:txbxContent>
            </v:textbox>
          </v:shape>
        </w:pict>
      </w:r>
      <w:r w:rsidR="002035CA" w:rsidRPr="00095299">
        <w:rPr>
          <w:bCs/>
          <w:noProof/>
        </w:rPr>
        <w:drawing>
          <wp:inline distT="0" distB="0" distL="0" distR="0">
            <wp:extent cx="5690993" cy="2003728"/>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9108" cy="2020669"/>
                    </a:xfrm>
                    <a:prstGeom prst="rect">
                      <a:avLst/>
                    </a:prstGeom>
                    <a:noFill/>
                  </pic:spPr>
                </pic:pic>
              </a:graphicData>
            </a:graphic>
          </wp:inline>
        </w:drawing>
      </w:r>
    </w:p>
    <w:p w:rsidR="00751D6A" w:rsidRPr="00095299" w:rsidRDefault="002035CA">
      <w:pPr>
        <w:spacing w:line="360" w:lineRule="auto"/>
        <w:ind w:firstLine="709"/>
        <w:jc w:val="both"/>
        <w:rPr>
          <w:bCs/>
          <w:i/>
          <w:iCs/>
        </w:rPr>
      </w:pPr>
      <w:r w:rsidRPr="00095299">
        <w:rPr>
          <w:bCs/>
          <w:i/>
          <w:iCs/>
        </w:rPr>
        <w:t xml:space="preserve">Рис. 6. Разложение суммарного временного </w:t>
      </w:r>
      <w:r w:rsidR="00D7798B" w:rsidRPr="00095299">
        <w:rPr>
          <w:bCs/>
          <w:i/>
          <w:iCs/>
        </w:rPr>
        <w:t>спектра на компоненты, формируемые реакциями на разных глубинах для случаев с постоянной (а) и переменной (б) концентрациями углерода.</w:t>
      </w:r>
    </w:p>
    <w:p w:rsidR="00D7798B" w:rsidRPr="00095299" w:rsidRDefault="00D7798B">
      <w:pPr>
        <w:spacing w:line="360" w:lineRule="auto"/>
        <w:ind w:firstLine="709"/>
        <w:jc w:val="both"/>
        <w:rPr>
          <w:bCs/>
        </w:rPr>
      </w:pPr>
      <w:r w:rsidRPr="00095299">
        <w:rPr>
          <w:bCs/>
        </w:rPr>
        <w:t>Полученные нами результаты доложены на конференции «Ядро-2022», накопленный коллективом опыт пригодился при составлении заявки на грант РНФ</w:t>
      </w:r>
      <w:r w:rsidRPr="00095299">
        <w:t xml:space="preserve"> №</w:t>
      </w:r>
      <w:r w:rsidRPr="00095299">
        <w:rPr>
          <w:bCs/>
        </w:rPr>
        <w:t>23-62-10027, получившей высокие оценки экспертного совета.</w:t>
      </w:r>
    </w:p>
    <w:p w:rsidR="00D7798B" w:rsidRPr="00095299" w:rsidRDefault="00095299" w:rsidP="00095299">
      <w:pPr>
        <w:pStyle w:val="af8"/>
        <w:numPr>
          <w:ilvl w:val="0"/>
          <w:numId w:val="3"/>
        </w:numPr>
        <w:spacing w:line="360" w:lineRule="auto"/>
        <w:jc w:val="both"/>
        <w:rPr>
          <w:rFonts w:ascii="Times New Roman" w:hAnsi="Times New Roman"/>
          <w:b/>
        </w:rPr>
      </w:pPr>
      <w:r w:rsidRPr="00095299">
        <w:rPr>
          <w:rFonts w:ascii="Times New Roman" w:hAnsi="Times New Roman"/>
          <w:b/>
        </w:rPr>
        <w:t>Развитие библиотеки TalysLib</w:t>
      </w:r>
    </w:p>
    <w:p w:rsidR="00095299" w:rsidRPr="00095299" w:rsidRDefault="00095299" w:rsidP="00095299">
      <w:pPr>
        <w:spacing w:line="360" w:lineRule="auto"/>
        <w:ind w:firstLine="706"/>
        <w:jc w:val="both"/>
        <w:rPr>
          <w:bCs/>
        </w:rPr>
      </w:pPr>
      <w:r w:rsidRPr="00095299">
        <w:rPr>
          <w:bCs/>
        </w:rPr>
        <w:t>Поиск и использование экспериментальных и оцененных ядерных данных является неотъемлемой частью работы физика-ядерщика. Для облегчения и ускорения этой деятельности достаточно давно уже были созданы базы как экспериментальных (EXFOR), так и оцененных (ENDF, BROND, ROSFOND и др) данных, содержащие большую часть доступных к настоящему моменту сведений о характеристиках ядерных реакций. Эти базы не лишены недостатков:</w:t>
      </w:r>
    </w:p>
    <w:p w:rsidR="00095299" w:rsidRPr="00095299" w:rsidRDefault="00095299" w:rsidP="00095299">
      <w:pPr>
        <w:spacing w:line="360" w:lineRule="auto"/>
        <w:ind w:left="706"/>
        <w:jc w:val="both"/>
        <w:rPr>
          <w:bCs/>
        </w:rPr>
      </w:pPr>
      <w:r w:rsidRPr="00095299">
        <w:rPr>
          <w:bCs/>
        </w:rPr>
        <w:t>1) Устаревшие форматы представления данных затрудняют их считывание и интерпретацию с использованием современных языков программирования. Преодолению этой проблемы уделяется достаточно большое внимание: создаются базы данных, содержащие необходимую информацию в табулированном (C4, EXFORTABLES) или форматированном (JSON) виде. Таким образом частично устраняется один из недостатков существующих форматов файлов – трудность считывания. В то же время, проблема интерпретации этих данных сохраняется, главным образом, из-за разнообразия способов записи данных одного и того же типа. Решение этих проблем, с одной стороны, существенно сократит трудозатраты научных работников на поиск и использование экспериментальных и оцененных данных, а с другой – открывает возможность выполнения масштабного анализа экспериментальной информации, накопленной на протяжении более восьмидесяти лет.</w:t>
      </w:r>
    </w:p>
    <w:p w:rsidR="00095299" w:rsidRPr="00095299" w:rsidRDefault="00095299" w:rsidP="00095299">
      <w:pPr>
        <w:spacing w:line="360" w:lineRule="auto"/>
        <w:ind w:left="706"/>
        <w:jc w:val="both"/>
        <w:rPr>
          <w:bCs/>
        </w:rPr>
      </w:pPr>
      <w:r w:rsidRPr="00095299">
        <w:rPr>
          <w:bCs/>
        </w:rPr>
        <w:lastRenderedPageBreak/>
        <w:t>2) Информация, содержащаяся в табулированных файлах, не всегда корректно интерпретирована программой-конвертером</w:t>
      </w:r>
    </w:p>
    <w:p w:rsidR="00095299" w:rsidRPr="00095299" w:rsidRDefault="00095299" w:rsidP="00095299">
      <w:pPr>
        <w:spacing w:line="360" w:lineRule="auto"/>
        <w:ind w:left="706"/>
        <w:jc w:val="both"/>
        <w:rPr>
          <w:bCs/>
        </w:rPr>
      </w:pPr>
      <w:r w:rsidRPr="00095299">
        <w:rPr>
          <w:bCs/>
        </w:rPr>
        <w:t>3) Сведения об источниках данных неполны. Для большого количества записей в базе EXFOR (NSR) присутствует только библиографическая ссылка, при этом отсутствует информация о цифровом идентификаторе (DOI) работы, из которой взяты данные</w:t>
      </w:r>
    </w:p>
    <w:p w:rsidR="00095299" w:rsidRDefault="00095299" w:rsidP="00095299">
      <w:pPr>
        <w:spacing w:line="360" w:lineRule="auto"/>
        <w:ind w:left="706"/>
        <w:jc w:val="both"/>
        <w:rPr>
          <w:bCs/>
        </w:rPr>
      </w:pPr>
      <w:r w:rsidRPr="00095299">
        <w:rPr>
          <w:bCs/>
        </w:rPr>
        <w:t>4) Существующий веб-интерфейс доступа к базе оцененных данных [https://www-nds.iaea.org/exfor/endf.htm] нельзя назвать достаточно удобным и функциональным: ситуация, когда исследователям не удалось получить интересующие их данные не является редкостью</w:t>
      </w:r>
      <w:r>
        <w:rPr>
          <w:bCs/>
        </w:rPr>
        <w:t xml:space="preserve">. </w:t>
      </w:r>
    </w:p>
    <w:p w:rsidR="00095299" w:rsidRPr="00095299" w:rsidRDefault="00095299" w:rsidP="00095299">
      <w:pPr>
        <w:spacing w:line="360" w:lineRule="auto"/>
        <w:ind w:left="706"/>
        <w:jc w:val="both"/>
        <w:rPr>
          <w:bCs/>
        </w:rPr>
      </w:pPr>
      <w:r>
        <w:rPr>
          <w:bCs/>
        </w:rPr>
        <w:tab/>
      </w:r>
      <w:r>
        <w:rPr>
          <w:bCs/>
        </w:rPr>
        <w:tab/>
      </w:r>
      <w:r w:rsidRPr="00095299">
        <w:rPr>
          <w:bCs/>
        </w:rPr>
        <w:t>Для облегчения написания программ, использующих информацию из результатов расчетов и баз данных TALYS была создана библиотека TalysLib, выполняющая следующие операции:</w:t>
      </w:r>
    </w:p>
    <w:p w:rsidR="00095299" w:rsidRPr="00095299" w:rsidRDefault="00095299" w:rsidP="00095299">
      <w:pPr>
        <w:pStyle w:val="af8"/>
        <w:numPr>
          <w:ilvl w:val="0"/>
          <w:numId w:val="3"/>
        </w:numPr>
        <w:spacing w:line="360" w:lineRule="auto"/>
        <w:jc w:val="both"/>
        <w:rPr>
          <w:rFonts w:ascii="Times New Roman" w:hAnsi="Times New Roman"/>
          <w:bCs/>
          <w:sz w:val="24"/>
          <w:szCs w:val="24"/>
        </w:rPr>
      </w:pPr>
      <w:r w:rsidRPr="00095299">
        <w:rPr>
          <w:rFonts w:ascii="Times New Roman" w:hAnsi="Times New Roman"/>
          <w:bCs/>
          <w:sz w:val="24"/>
          <w:szCs w:val="24"/>
        </w:rPr>
        <w:t>Генерация входных файлов TALYS,</w:t>
      </w:r>
    </w:p>
    <w:p w:rsidR="00095299" w:rsidRPr="00095299" w:rsidRDefault="00095299" w:rsidP="00095299">
      <w:pPr>
        <w:pStyle w:val="af8"/>
        <w:numPr>
          <w:ilvl w:val="0"/>
          <w:numId w:val="3"/>
        </w:numPr>
        <w:spacing w:line="360" w:lineRule="auto"/>
        <w:jc w:val="both"/>
        <w:rPr>
          <w:rFonts w:ascii="Times New Roman" w:hAnsi="Times New Roman"/>
          <w:bCs/>
          <w:sz w:val="24"/>
          <w:szCs w:val="24"/>
        </w:rPr>
      </w:pPr>
      <w:r w:rsidRPr="00095299">
        <w:rPr>
          <w:rFonts w:ascii="Times New Roman" w:hAnsi="Times New Roman"/>
          <w:bCs/>
          <w:sz w:val="24"/>
          <w:szCs w:val="24"/>
        </w:rPr>
        <w:t>Считывание данных о структуре ядра из базы данных TALYS,</w:t>
      </w:r>
    </w:p>
    <w:p w:rsidR="00095299" w:rsidRPr="00095299" w:rsidRDefault="00095299" w:rsidP="00095299">
      <w:pPr>
        <w:pStyle w:val="af8"/>
        <w:numPr>
          <w:ilvl w:val="0"/>
          <w:numId w:val="3"/>
        </w:numPr>
        <w:spacing w:line="360" w:lineRule="auto"/>
        <w:jc w:val="both"/>
        <w:rPr>
          <w:rFonts w:ascii="Times New Roman" w:hAnsi="Times New Roman"/>
          <w:bCs/>
          <w:sz w:val="24"/>
          <w:szCs w:val="24"/>
        </w:rPr>
      </w:pPr>
      <w:r w:rsidRPr="00095299">
        <w:rPr>
          <w:rFonts w:ascii="Times New Roman" w:hAnsi="Times New Roman"/>
          <w:bCs/>
          <w:sz w:val="24"/>
          <w:szCs w:val="24"/>
        </w:rPr>
        <w:t>Преобразование данных к удобному для использования в программе</w:t>
      </w:r>
    </w:p>
    <w:p w:rsidR="00095299" w:rsidRPr="00095299" w:rsidRDefault="00095299" w:rsidP="00095299">
      <w:pPr>
        <w:pStyle w:val="af8"/>
        <w:numPr>
          <w:ilvl w:val="0"/>
          <w:numId w:val="3"/>
        </w:numPr>
        <w:spacing w:line="360" w:lineRule="auto"/>
        <w:jc w:val="both"/>
        <w:rPr>
          <w:rFonts w:ascii="Times New Roman" w:hAnsi="Times New Roman"/>
          <w:bCs/>
          <w:sz w:val="24"/>
          <w:szCs w:val="24"/>
        </w:rPr>
      </w:pPr>
      <w:r w:rsidRPr="00095299">
        <w:rPr>
          <w:rFonts w:ascii="Times New Roman" w:hAnsi="Times New Roman"/>
          <w:bCs/>
          <w:sz w:val="24"/>
          <w:szCs w:val="24"/>
        </w:rPr>
        <w:t>виду,</w:t>
      </w:r>
    </w:p>
    <w:p w:rsidR="00095299" w:rsidRPr="00095299" w:rsidRDefault="00095299" w:rsidP="00095299">
      <w:pPr>
        <w:pStyle w:val="af8"/>
        <w:numPr>
          <w:ilvl w:val="0"/>
          <w:numId w:val="3"/>
        </w:numPr>
        <w:spacing w:line="360" w:lineRule="auto"/>
        <w:jc w:val="both"/>
        <w:rPr>
          <w:rFonts w:ascii="Times New Roman" w:hAnsi="Times New Roman"/>
          <w:bCs/>
          <w:sz w:val="24"/>
          <w:szCs w:val="24"/>
        </w:rPr>
      </w:pPr>
      <w:r w:rsidRPr="00095299">
        <w:rPr>
          <w:rFonts w:ascii="Times New Roman" w:hAnsi="Times New Roman"/>
          <w:bCs/>
          <w:sz w:val="24"/>
          <w:szCs w:val="24"/>
        </w:rPr>
        <w:t>Запуск TALYS с заданными параметрами,</w:t>
      </w:r>
    </w:p>
    <w:p w:rsidR="00095299" w:rsidRPr="00095299" w:rsidRDefault="00095299" w:rsidP="00095299">
      <w:pPr>
        <w:pStyle w:val="af8"/>
        <w:numPr>
          <w:ilvl w:val="0"/>
          <w:numId w:val="3"/>
        </w:numPr>
        <w:spacing w:line="360" w:lineRule="auto"/>
        <w:jc w:val="both"/>
        <w:rPr>
          <w:rFonts w:ascii="Times New Roman" w:hAnsi="Times New Roman"/>
          <w:bCs/>
          <w:sz w:val="24"/>
          <w:szCs w:val="24"/>
        </w:rPr>
      </w:pPr>
      <w:r w:rsidRPr="00095299">
        <w:rPr>
          <w:rFonts w:ascii="Times New Roman" w:hAnsi="Times New Roman"/>
          <w:bCs/>
          <w:sz w:val="24"/>
          <w:szCs w:val="24"/>
        </w:rPr>
        <w:t>Подбор параметров модели с помощью минимизатора MINUIT,</w:t>
      </w:r>
    </w:p>
    <w:p w:rsidR="00095299" w:rsidRPr="00095299" w:rsidRDefault="00095299" w:rsidP="00095299">
      <w:pPr>
        <w:pStyle w:val="af8"/>
        <w:numPr>
          <w:ilvl w:val="0"/>
          <w:numId w:val="3"/>
        </w:numPr>
        <w:spacing w:line="360" w:lineRule="auto"/>
        <w:jc w:val="both"/>
        <w:rPr>
          <w:rFonts w:ascii="Times New Roman" w:hAnsi="Times New Roman"/>
          <w:bCs/>
          <w:sz w:val="24"/>
          <w:szCs w:val="24"/>
        </w:rPr>
      </w:pPr>
      <w:r w:rsidRPr="00095299">
        <w:rPr>
          <w:rFonts w:ascii="Times New Roman" w:hAnsi="Times New Roman"/>
          <w:bCs/>
          <w:sz w:val="24"/>
          <w:szCs w:val="24"/>
        </w:rPr>
        <w:t>Визуализация и сохранение данных с помощью программной среды ROOT.</w:t>
      </w:r>
    </w:p>
    <w:p w:rsidR="00095299" w:rsidRDefault="00095299" w:rsidP="00095299">
      <w:pPr>
        <w:spacing w:line="360" w:lineRule="auto"/>
        <w:ind w:firstLine="708"/>
        <w:jc w:val="both"/>
        <w:rPr>
          <w:bCs/>
        </w:rPr>
      </w:pPr>
      <w:r w:rsidRPr="00095299">
        <w:rPr>
          <w:bCs/>
        </w:rPr>
        <w:t xml:space="preserve">Изначально TalysLib создавалась для автоматизированной расшифровки и аппроксимации γ-спектров, получаемых при исследовании нейтрон-ядерных реакций. Обычно для решения этих задач используются данные из ENSDF, но у данного подхода есть недостатки, связанные, во-первых, с достаточно сложной структурой файлов ENSDF, а, во-вторых, с невозможностью оценки выходов </w:t>
      </w:r>
      <w:bookmarkStart w:id="3" w:name="_Hlk131692986"/>
      <w:r w:rsidRPr="00095299">
        <w:rPr>
          <w:bCs/>
        </w:rPr>
        <w:t>γ-</w:t>
      </w:r>
      <w:bookmarkEnd w:id="3"/>
      <w:r w:rsidRPr="00095299">
        <w:rPr>
          <w:bCs/>
        </w:rPr>
        <w:t>линий непосредственно из информации, представленной в ENSDF, что может привести к ошибкам в идентификации фотопиков.</w:t>
      </w:r>
      <w:r w:rsidR="00142E8A" w:rsidRPr="00142E8A">
        <w:rPr>
          <w:bCs/>
        </w:rPr>
        <w:t xml:space="preserve"> </w:t>
      </w:r>
      <w:r w:rsidR="00142E8A">
        <w:rPr>
          <w:bCs/>
        </w:rPr>
        <w:t xml:space="preserve">Пример расшифровки </w:t>
      </w:r>
      <w:r w:rsidR="00142E8A" w:rsidRPr="00142E8A">
        <w:rPr>
          <w:bCs/>
        </w:rPr>
        <w:t>γ-</w:t>
      </w:r>
      <w:r w:rsidR="00142E8A">
        <w:rPr>
          <w:bCs/>
        </w:rPr>
        <w:t>спектра показан на рисунке 7.</w:t>
      </w:r>
    </w:p>
    <w:p w:rsidR="00142E8A" w:rsidRPr="006C68C6" w:rsidRDefault="00142E8A" w:rsidP="00142E8A">
      <w:pPr>
        <w:spacing w:line="360" w:lineRule="auto"/>
        <w:ind w:firstLine="708"/>
        <w:jc w:val="both"/>
        <w:rPr>
          <w:bCs/>
        </w:rPr>
      </w:pPr>
      <w:r w:rsidRPr="00142E8A">
        <w:rPr>
          <w:bCs/>
        </w:rPr>
        <w:t>Другой областью применения TalysLib является подбор параметров моделей в TALYS для улучшения согласия результатов расчетов и экспериментальных</w:t>
      </w:r>
      <w:r>
        <w:rPr>
          <w:bCs/>
        </w:rPr>
        <w:t xml:space="preserve"> </w:t>
      </w:r>
      <w:r w:rsidRPr="00142E8A">
        <w:rPr>
          <w:bCs/>
        </w:rPr>
        <w:t>данных. Для выполнения этой процедуры требуется проведение большого количества вычислений, которые необходимы для расчета градиентов минимизируемой функции</w:t>
      </w:r>
      <w:r>
        <w:rPr>
          <w:bCs/>
        </w:rPr>
        <w:t xml:space="preserve">, поэтому для ускорения расчетов библиотека способна запускать несколько копий </w:t>
      </w:r>
      <w:r>
        <w:rPr>
          <w:bCs/>
          <w:lang w:val="en-US"/>
        </w:rPr>
        <w:t>TALYS</w:t>
      </w:r>
      <w:r w:rsidRPr="00142E8A">
        <w:rPr>
          <w:bCs/>
        </w:rPr>
        <w:t xml:space="preserve"> </w:t>
      </w:r>
      <w:r>
        <w:rPr>
          <w:bCs/>
        </w:rPr>
        <w:t>одновременно.</w:t>
      </w:r>
      <w:r w:rsidRPr="00142E8A">
        <w:rPr>
          <w:bCs/>
        </w:rPr>
        <w:t xml:space="preserve"> Структура TalysLib позволяет выполнять подбор практически любого числового параметра модели к любому набору экспериментальных данных.</w:t>
      </w:r>
      <w:r>
        <w:rPr>
          <w:bCs/>
        </w:rPr>
        <w:t xml:space="preserve"> </w:t>
      </w:r>
      <w:r w:rsidR="006C68C6">
        <w:rPr>
          <w:bCs/>
        </w:rPr>
        <w:t xml:space="preserve">Пример оптимизации параметров оптического потенциала с помощью </w:t>
      </w:r>
      <w:r w:rsidR="006C68C6">
        <w:rPr>
          <w:bCs/>
          <w:lang w:val="en-US"/>
        </w:rPr>
        <w:t>TalysLib</w:t>
      </w:r>
      <w:r w:rsidR="006C68C6" w:rsidRPr="006C68C6">
        <w:rPr>
          <w:bCs/>
        </w:rPr>
        <w:t xml:space="preserve"> </w:t>
      </w:r>
      <w:r w:rsidR="006C68C6">
        <w:rPr>
          <w:bCs/>
        </w:rPr>
        <w:t xml:space="preserve">приведен на рисунке 8. Особенностью </w:t>
      </w:r>
      <w:r w:rsidR="006C68C6">
        <w:rPr>
          <w:bCs/>
        </w:rPr>
        <w:lastRenderedPageBreak/>
        <w:t xml:space="preserve">выполненной работы является включение измеренных в эксперименте </w:t>
      </w:r>
      <w:r w:rsidR="006C68C6">
        <w:rPr>
          <w:bCs/>
          <w:lang w:val="en-US"/>
        </w:rPr>
        <w:t>TANGRA</w:t>
      </w:r>
      <w:r w:rsidR="006C68C6" w:rsidRPr="006C68C6">
        <w:rPr>
          <w:bCs/>
        </w:rPr>
        <w:t xml:space="preserve"> </w:t>
      </w:r>
      <w:r w:rsidR="006C68C6">
        <w:rPr>
          <w:bCs/>
        </w:rPr>
        <w:t xml:space="preserve">выходов </w:t>
      </w:r>
      <w:r w:rsidR="006C68C6" w:rsidRPr="006C68C6">
        <w:rPr>
          <w:bCs/>
        </w:rPr>
        <w:t>γ-</w:t>
      </w:r>
      <w:r w:rsidR="006C68C6">
        <w:rPr>
          <w:bCs/>
        </w:rPr>
        <w:t>квантов в набор опорных данных.</w:t>
      </w:r>
    </w:p>
    <w:p w:rsidR="00095299" w:rsidRDefault="00095299" w:rsidP="00095299">
      <w:pPr>
        <w:spacing w:line="360" w:lineRule="auto"/>
        <w:ind w:firstLine="708"/>
        <w:jc w:val="both"/>
        <w:rPr>
          <w:bCs/>
        </w:rPr>
      </w:pPr>
      <w:r>
        <w:rPr>
          <w:bCs/>
          <w:noProof/>
        </w:rPr>
        <w:drawing>
          <wp:inline distT="0" distB="0" distL="0" distR="0">
            <wp:extent cx="4975142" cy="3309879"/>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986414" cy="3317378"/>
                    </a:xfrm>
                    <a:prstGeom prst="rect">
                      <a:avLst/>
                    </a:prstGeom>
                  </pic:spPr>
                </pic:pic>
              </a:graphicData>
            </a:graphic>
          </wp:inline>
        </w:drawing>
      </w:r>
    </w:p>
    <w:p w:rsidR="00142E8A" w:rsidRPr="00142E8A" w:rsidRDefault="00142E8A" w:rsidP="00142E8A">
      <w:pPr>
        <w:ind w:firstLine="706"/>
        <w:jc w:val="both"/>
        <w:rPr>
          <w:bCs/>
          <w:i/>
          <w:iCs/>
        </w:rPr>
      </w:pPr>
      <w:r w:rsidRPr="00142E8A">
        <w:rPr>
          <w:bCs/>
          <w:i/>
          <w:iCs/>
        </w:rPr>
        <w:t>Рис. 7. Пример расшифровки спектра γ-лучей, полученного в эксперименте</w:t>
      </w:r>
    </w:p>
    <w:p w:rsidR="00142E8A" w:rsidRPr="00142E8A" w:rsidRDefault="00142E8A" w:rsidP="00142E8A">
      <w:pPr>
        <w:ind w:firstLine="706"/>
        <w:jc w:val="both"/>
        <w:rPr>
          <w:bCs/>
          <w:i/>
          <w:iCs/>
        </w:rPr>
      </w:pPr>
      <w:r w:rsidRPr="00142E8A">
        <w:rPr>
          <w:bCs/>
          <w:i/>
          <w:iCs/>
        </w:rPr>
        <w:t>с железом, с помощью TalysLib. Красным выделены γ-переходы, ранее не наблю-</w:t>
      </w:r>
    </w:p>
    <w:p w:rsidR="00095299" w:rsidRDefault="00142E8A" w:rsidP="00142E8A">
      <w:pPr>
        <w:ind w:firstLine="706"/>
        <w:jc w:val="both"/>
        <w:rPr>
          <w:bCs/>
          <w:i/>
          <w:iCs/>
        </w:rPr>
      </w:pPr>
      <w:proofErr w:type="gramStart"/>
      <w:r w:rsidRPr="00142E8A">
        <w:rPr>
          <w:bCs/>
          <w:i/>
          <w:iCs/>
        </w:rPr>
        <w:t>давшиеся</w:t>
      </w:r>
      <w:proofErr w:type="gramEnd"/>
      <w:r w:rsidRPr="00142E8A">
        <w:rPr>
          <w:bCs/>
          <w:i/>
          <w:iCs/>
        </w:rPr>
        <w:t xml:space="preserve"> в реакциях (n,xγ).</w:t>
      </w:r>
    </w:p>
    <w:p w:rsidR="00142E8A" w:rsidRDefault="00142E8A" w:rsidP="00142E8A">
      <w:pPr>
        <w:ind w:firstLine="706"/>
        <w:jc w:val="both"/>
        <w:rPr>
          <w:bCs/>
        </w:rPr>
      </w:pPr>
      <w:r>
        <w:rPr>
          <w:bCs/>
          <w:noProof/>
        </w:rPr>
        <w:drawing>
          <wp:inline distT="0" distB="0" distL="0" distR="0">
            <wp:extent cx="5508117" cy="29260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13758" cy="2929077"/>
                    </a:xfrm>
                    <a:prstGeom prst="rect">
                      <a:avLst/>
                    </a:prstGeom>
                  </pic:spPr>
                </pic:pic>
              </a:graphicData>
            </a:graphic>
          </wp:inline>
        </w:drawing>
      </w:r>
    </w:p>
    <w:p w:rsidR="00142E8A" w:rsidRPr="006C68C6" w:rsidRDefault="00142E8A" w:rsidP="00142E8A">
      <w:pPr>
        <w:ind w:left="706"/>
        <w:jc w:val="both"/>
        <w:rPr>
          <w:bCs/>
          <w:i/>
          <w:iCs/>
        </w:rPr>
      </w:pPr>
      <w:r w:rsidRPr="006C68C6">
        <w:rPr>
          <w:bCs/>
          <w:i/>
          <w:iCs/>
        </w:rPr>
        <w:t>Рис. 8. Пример оптимизации параметров оптического потенциала</w:t>
      </w:r>
      <w:r w:rsidR="006C68C6" w:rsidRPr="006C68C6">
        <w:rPr>
          <w:bCs/>
          <w:i/>
          <w:iCs/>
        </w:rPr>
        <w:t xml:space="preserve"> для упругого а) и неупругого с возбуждением первого состояния б) рассеяния нейтронов энергии 14 МэВ на ядрах 56</w:t>
      </w:r>
      <w:r w:rsidR="006C68C6" w:rsidRPr="006C68C6">
        <w:rPr>
          <w:bCs/>
          <w:i/>
          <w:iCs/>
          <w:lang w:val="en-US"/>
        </w:rPr>
        <w:t>Fe</w:t>
      </w:r>
      <w:r w:rsidRPr="006C68C6">
        <w:rPr>
          <w:bCs/>
          <w:i/>
          <w:iCs/>
        </w:rPr>
        <w:t xml:space="preserve"> с помощью </w:t>
      </w:r>
      <w:r w:rsidRPr="006C68C6">
        <w:rPr>
          <w:bCs/>
          <w:i/>
          <w:iCs/>
          <w:lang w:val="en-US"/>
        </w:rPr>
        <w:t>TalysLib</w:t>
      </w:r>
      <w:r w:rsidR="006C68C6" w:rsidRPr="006C68C6">
        <w:rPr>
          <w:bCs/>
          <w:i/>
          <w:iCs/>
        </w:rPr>
        <w:t>.</w:t>
      </w:r>
      <w:r w:rsidRPr="006C68C6">
        <w:rPr>
          <w:bCs/>
          <w:i/>
          <w:iCs/>
        </w:rPr>
        <w:t xml:space="preserve"> </w:t>
      </w:r>
      <w:r w:rsidR="006C68C6" w:rsidRPr="006C68C6">
        <w:rPr>
          <w:bCs/>
          <w:i/>
          <w:iCs/>
        </w:rPr>
        <w:t>Кривые разных цветов соответствуют применению</w:t>
      </w:r>
      <w:r w:rsidRPr="006C68C6">
        <w:rPr>
          <w:bCs/>
          <w:i/>
          <w:iCs/>
        </w:rPr>
        <w:t xml:space="preserve"> различных подходов к описанию природы </w:t>
      </w:r>
      <w:r w:rsidR="006C68C6" w:rsidRPr="006C68C6">
        <w:rPr>
          <w:bCs/>
          <w:i/>
          <w:iCs/>
        </w:rPr>
        <w:t>первого возбужденного состояния.</w:t>
      </w:r>
    </w:p>
    <w:p w:rsidR="006C68C6" w:rsidRDefault="006C68C6" w:rsidP="00142E8A">
      <w:pPr>
        <w:ind w:left="706"/>
        <w:jc w:val="both"/>
        <w:rPr>
          <w:bCs/>
        </w:rPr>
      </w:pPr>
    </w:p>
    <w:p w:rsidR="006C68C6" w:rsidRDefault="006C68C6" w:rsidP="00142E8A">
      <w:pPr>
        <w:ind w:left="706"/>
        <w:jc w:val="both"/>
        <w:rPr>
          <w:bCs/>
        </w:rPr>
      </w:pPr>
      <w:r>
        <w:rPr>
          <w:bCs/>
        </w:rPr>
        <w:t xml:space="preserve">В </w:t>
      </w:r>
      <w:r>
        <w:rPr>
          <w:bCs/>
          <w:lang w:val="en-US"/>
        </w:rPr>
        <w:t>TalysLib</w:t>
      </w:r>
      <w:r w:rsidRPr="006C68C6">
        <w:rPr>
          <w:bCs/>
        </w:rPr>
        <w:t xml:space="preserve"> </w:t>
      </w:r>
      <w:r>
        <w:rPr>
          <w:bCs/>
        </w:rPr>
        <w:t xml:space="preserve">частично реализован функционал, позволяющий запрашивать экспериментальные данные из базы </w:t>
      </w:r>
      <w:r>
        <w:rPr>
          <w:bCs/>
          <w:lang w:val="en-US"/>
        </w:rPr>
        <w:t>EXFOR</w:t>
      </w:r>
      <w:r w:rsidRPr="006C68C6">
        <w:rPr>
          <w:bCs/>
        </w:rPr>
        <w:t xml:space="preserve"> (</w:t>
      </w:r>
      <w:r>
        <w:rPr>
          <w:bCs/>
        </w:rPr>
        <w:t xml:space="preserve">в формате </w:t>
      </w:r>
      <w:r>
        <w:rPr>
          <w:bCs/>
          <w:lang w:val="en-US"/>
        </w:rPr>
        <w:t>C</w:t>
      </w:r>
      <w:r w:rsidRPr="006C68C6">
        <w:rPr>
          <w:bCs/>
        </w:rPr>
        <w:t xml:space="preserve">4) </w:t>
      </w:r>
      <w:r>
        <w:rPr>
          <w:bCs/>
        </w:rPr>
        <w:t xml:space="preserve">и оцененные данные в </w:t>
      </w:r>
      <w:r>
        <w:rPr>
          <w:bCs/>
          <w:lang w:val="en-US"/>
        </w:rPr>
        <w:t>ENDF</w:t>
      </w:r>
      <w:r w:rsidRPr="006C68C6">
        <w:rPr>
          <w:bCs/>
        </w:rPr>
        <w:t xml:space="preserve">-6 </w:t>
      </w:r>
      <w:r>
        <w:rPr>
          <w:bCs/>
        </w:rPr>
        <w:t xml:space="preserve">совместимом формате. </w:t>
      </w:r>
      <w:r w:rsidR="00877331">
        <w:rPr>
          <w:bCs/>
        </w:rPr>
        <w:t xml:space="preserve">Пример выдачи набора экспериментальных данных </w:t>
      </w:r>
      <w:r w:rsidR="00877331">
        <w:rPr>
          <w:bCs/>
        </w:rPr>
        <w:lastRenderedPageBreak/>
        <w:t xml:space="preserve">для углового распределения неупруго рассеянных на 12С нейтронов приведен на рисунке 9. </w:t>
      </w:r>
    </w:p>
    <w:p w:rsidR="00877331" w:rsidRPr="006C68C6" w:rsidRDefault="00877331" w:rsidP="00142E8A">
      <w:pPr>
        <w:ind w:left="706"/>
        <w:jc w:val="both"/>
        <w:rPr>
          <w:bCs/>
        </w:rPr>
      </w:pPr>
      <w:r>
        <w:rPr>
          <w:bCs/>
          <w:noProof/>
        </w:rPr>
        <w:drawing>
          <wp:inline distT="0" distB="0" distL="0" distR="0">
            <wp:extent cx="5581815" cy="3921402"/>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89072" cy="3926500"/>
                    </a:xfrm>
                    <a:prstGeom prst="rect">
                      <a:avLst/>
                    </a:prstGeom>
                  </pic:spPr>
                </pic:pic>
              </a:graphicData>
            </a:graphic>
          </wp:inline>
        </w:drawing>
      </w:r>
    </w:p>
    <w:p w:rsidR="006C68C6" w:rsidRPr="00877331" w:rsidRDefault="00877331" w:rsidP="00142E8A">
      <w:pPr>
        <w:ind w:left="706"/>
        <w:jc w:val="both"/>
        <w:rPr>
          <w:bCs/>
          <w:i/>
          <w:iCs/>
        </w:rPr>
      </w:pPr>
      <w:r w:rsidRPr="00877331">
        <w:rPr>
          <w:bCs/>
          <w:i/>
          <w:iCs/>
        </w:rPr>
        <w:t xml:space="preserve">Рис. 9. Набор экспериментальных данных по неупругому рассеянию нейтронов на 12С с начальными энергиями 13-15 МэВ, собранный с помощью </w:t>
      </w:r>
      <w:r w:rsidRPr="00877331">
        <w:rPr>
          <w:bCs/>
          <w:i/>
          <w:iCs/>
          <w:lang w:val="en-US"/>
        </w:rPr>
        <w:t>TalysLib</w:t>
      </w:r>
      <w:r w:rsidRPr="00877331">
        <w:rPr>
          <w:bCs/>
          <w:i/>
          <w:iCs/>
        </w:rPr>
        <w:t xml:space="preserve"> в сравнении с результатами расчета в </w:t>
      </w:r>
      <w:r w:rsidRPr="00877331">
        <w:rPr>
          <w:bCs/>
          <w:i/>
          <w:iCs/>
          <w:lang w:val="en-US"/>
        </w:rPr>
        <w:t>TALYS</w:t>
      </w:r>
      <w:r w:rsidRPr="00877331">
        <w:rPr>
          <w:bCs/>
          <w:i/>
          <w:iCs/>
        </w:rPr>
        <w:t xml:space="preserve"> и оцененным угловым распределением </w:t>
      </w:r>
      <w:r w:rsidRPr="00877331">
        <w:rPr>
          <w:bCs/>
          <w:i/>
          <w:iCs/>
          <w:lang w:val="en-US"/>
        </w:rPr>
        <w:t>ENDF</w:t>
      </w:r>
      <w:r w:rsidRPr="00877331">
        <w:rPr>
          <w:bCs/>
          <w:i/>
          <w:iCs/>
        </w:rPr>
        <w:t>-</w:t>
      </w:r>
      <w:r w:rsidRPr="00877331">
        <w:rPr>
          <w:bCs/>
          <w:i/>
          <w:iCs/>
          <w:lang w:val="en-US"/>
        </w:rPr>
        <w:t>B</w:t>
      </w:r>
      <w:r w:rsidRPr="00877331">
        <w:rPr>
          <w:bCs/>
          <w:i/>
          <w:iCs/>
        </w:rPr>
        <w:t xml:space="preserve"> </w:t>
      </w:r>
      <w:r w:rsidRPr="00877331">
        <w:rPr>
          <w:bCs/>
          <w:i/>
          <w:iCs/>
          <w:lang w:val="en-US"/>
        </w:rPr>
        <w:t>VIII</w:t>
      </w:r>
      <w:r w:rsidRPr="00877331">
        <w:rPr>
          <w:bCs/>
          <w:i/>
          <w:iCs/>
        </w:rPr>
        <w:t>.</w:t>
      </w:r>
    </w:p>
    <w:p w:rsidR="00877331" w:rsidRDefault="00877331" w:rsidP="00877331">
      <w:pPr>
        <w:jc w:val="both"/>
        <w:rPr>
          <w:bCs/>
        </w:rPr>
      </w:pPr>
    </w:p>
    <w:p w:rsidR="00877331" w:rsidRDefault="00877331" w:rsidP="00877331">
      <w:pPr>
        <w:ind w:firstLine="706"/>
        <w:jc w:val="both"/>
        <w:rPr>
          <w:bCs/>
        </w:rPr>
      </w:pPr>
      <w:r>
        <w:rPr>
          <w:bCs/>
        </w:rPr>
        <w:t xml:space="preserve">Наши наработки по </w:t>
      </w:r>
      <w:r>
        <w:rPr>
          <w:bCs/>
          <w:lang w:val="en-US"/>
        </w:rPr>
        <w:t>TalysLib</w:t>
      </w:r>
      <w:r w:rsidRPr="00877331">
        <w:rPr>
          <w:bCs/>
        </w:rPr>
        <w:t xml:space="preserve"> </w:t>
      </w:r>
      <w:r>
        <w:rPr>
          <w:bCs/>
        </w:rPr>
        <w:t>доложены на конференциях «Алушта-2022», «Ядро-2022», «</w:t>
      </w:r>
      <w:r w:rsidRPr="00877331">
        <w:rPr>
          <w:bCs/>
        </w:rPr>
        <w:t>Концентрированные потоки энергии в космической технике, электронике, экологии и медицине</w:t>
      </w:r>
      <w:r>
        <w:rPr>
          <w:bCs/>
        </w:rPr>
        <w:t>». Подана заявка на грант РНФ №</w:t>
      </w:r>
      <w:r w:rsidRPr="00877331">
        <w:rPr>
          <w:bCs/>
        </w:rPr>
        <w:t>23-72-01111</w:t>
      </w:r>
      <w:r>
        <w:rPr>
          <w:bCs/>
        </w:rPr>
        <w:t xml:space="preserve"> «</w:t>
      </w:r>
      <w:r w:rsidR="00B92737" w:rsidRPr="00B92737">
        <w:rPr>
          <w:bCs/>
        </w:rPr>
        <w:t>Разработка информационной системы TalysLib для осуществления простого и быстрого доступа к ядерным данным</w:t>
      </w:r>
      <w:r>
        <w:rPr>
          <w:bCs/>
        </w:rPr>
        <w:t>»</w:t>
      </w:r>
      <w:r w:rsidR="00B92737">
        <w:rPr>
          <w:bCs/>
        </w:rPr>
        <w:t>.</w:t>
      </w:r>
    </w:p>
    <w:p w:rsidR="00B92737" w:rsidRPr="00877331" w:rsidRDefault="00B92737" w:rsidP="00877331">
      <w:pPr>
        <w:ind w:firstLine="706"/>
        <w:jc w:val="both"/>
        <w:rPr>
          <w:bCs/>
        </w:rPr>
      </w:pPr>
    </w:p>
    <w:p w:rsidR="008B4CC6" w:rsidRPr="00095299" w:rsidRDefault="00977964" w:rsidP="00095299">
      <w:pPr>
        <w:ind w:firstLine="706"/>
        <w:jc w:val="both"/>
        <w:rPr>
          <w:rFonts w:eastAsia="Calibri"/>
          <w:b/>
          <w:u w:val="single"/>
          <w:lang w:eastAsia="en-US"/>
        </w:rPr>
      </w:pPr>
      <w:r w:rsidRPr="00095299">
        <w:rPr>
          <w:rFonts w:eastAsia="Calibri"/>
          <w:b/>
          <w:u w:val="single"/>
          <w:lang w:eastAsia="en-US"/>
        </w:rPr>
        <w:t>Публикации</w:t>
      </w:r>
    </w:p>
    <w:p w:rsidR="008B4CC6" w:rsidRPr="00095299" w:rsidRDefault="008B4CC6">
      <w:pPr>
        <w:spacing w:line="360" w:lineRule="auto"/>
        <w:ind w:firstLine="709"/>
        <w:jc w:val="both"/>
        <w:rPr>
          <w:bCs/>
        </w:rPr>
      </w:pPr>
    </w:p>
    <w:p w:rsidR="008B4CC6" w:rsidRDefault="00B92737">
      <w:pPr>
        <w:spacing w:line="360" w:lineRule="auto"/>
        <w:ind w:firstLine="709"/>
        <w:jc w:val="both"/>
        <w:rPr>
          <w:bCs/>
        </w:rPr>
      </w:pPr>
      <w:r>
        <w:rPr>
          <w:bCs/>
        </w:rPr>
        <w:t xml:space="preserve">1. </w:t>
      </w:r>
      <w:r w:rsidRPr="00B92737">
        <w:rPr>
          <w:bCs/>
        </w:rPr>
        <w:t>Н. Ю. Милованов, И. Д. Дашков, Н. А. Федоров</w:t>
      </w:r>
      <w:r>
        <w:rPr>
          <w:bCs/>
        </w:rPr>
        <w:t xml:space="preserve"> и др. УЗФФ,</w:t>
      </w:r>
      <w:r w:rsidRPr="00B92737">
        <w:rPr>
          <w:bCs/>
        </w:rPr>
        <w:t xml:space="preserve"> 4 (2022)</w:t>
      </w:r>
      <w:r>
        <w:rPr>
          <w:bCs/>
        </w:rPr>
        <w:t xml:space="preserve"> </w:t>
      </w:r>
      <w:r w:rsidRPr="00B92737">
        <w:rPr>
          <w:bCs/>
        </w:rPr>
        <w:t xml:space="preserve"> 2240301</w:t>
      </w:r>
    </w:p>
    <w:p w:rsidR="00B92737" w:rsidRDefault="00B92737" w:rsidP="00B92737">
      <w:pPr>
        <w:spacing w:line="360" w:lineRule="auto"/>
        <w:ind w:left="706" w:firstLine="3"/>
        <w:jc w:val="both"/>
        <w:rPr>
          <w:bCs/>
        </w:rPr>
      </w:pPr>
      <w:r>
        <w:rPr>
          <w:bCs/>
        </w:rPr>
        <w:t xml:space="preserve">2. </w:t>
      </w:r>
      <w:r w:rsidRPr="00B92737">
        <w:rPr>
          <w:bCs/>
        </w:rPr>
        <w:t>И. Д. Дашков, Н. А. Федоров, Д. Н. Грозданов</w:t>
      </w:r>
      <w:r>
        <w:rPr>
          <w:bCs/>
        </w:rPr>
        <w:t xml:space="preserve"> и др. Изв. РАН, Сер. Физ. 86 (2022) 1081</w:t>
      </w:r>
    </w:p>
    <w:p w:rsidR="00B92737" w:rsidRPr="00E36455" w:rsidRDefault="00B92737" w:rsidP="00B92737">
      <w:pPr>
        <w:spacing w:line="360" w:lineRule="auto"/>
        <w:ind w:left="706" w:firstLine="3"/>
        <w:jc w:val="both"/>
        <w:rPr>
          <w:bCs/>
        </w:rPr>
      </w:pPr>
      <w:r w:rsidRPr="00E36455">
        <w:rPr>
          <w:bCs/>
        </w:rPr>
        <w:t xml:space="preserve">3. </w:t>
      </w:r>
      <w:r w:rsidRPr="00B92737">
        <w:rPr>
          <w:bCs/>
          <w:lang w:val="en-US"/>
        </w:rPr>
        <w:t>Aleksakhin</w:t>
      </w:r>
      <w:r w:rsidRPr="00E36455">
        <w:rPr>
          <w:bCs/>
        </w:rPr>
        <w:t xml:space="preserve"> </w:t>
      </w:r>
      <w:r w:rsidRPr="00B92737">
        <w:rPr>
          <w:bCs/>
          <w:lang w:val="en-US"/>
        </w:rPr>
        <w:t>V</w:t>
      </w:r>
      <w:r w:rsidRPr="00E36455">
        <w:rPr>
          <w:bCs/>
        </w:rPr>
        <w:t xml:space="preserve">. </w:t>
      </w:r>
      <w:r w:rsidRPr="00B92737">
        <w:rPr>
          <w:bCs/>
          <w:lang w:val="en-US"/>
        </w:rPr>
        <w:t>Yu</w:t>
      </w:r>
      <w:r w:rsidRPr="00E36455">
        <w:rPr>
          <w:bCs/>
        </w:rPr>
        <w:t xml:space="preserve">., </w:t>
      </w:r>
      <w:r w:rsidRPr="00B92737">
        <w:rPr>
          <w:bCs/>
          <w:lang w:val="en-US"/>
        </w:rPr>
        <w:t>Razinkov</w:t>
      </w:r>
      <w:r w:rsidRPr="00E36455">
        <w:rPr>
          <w:bCs/>
        </w:rPr>
        <w:t xml:space="preserve"> </w:t>
      </w:r>
      <w:r w:rsidRPr="00B92737">
        <w:rPr>
          <w:bCs/>
          <w:lang w:val="en-US"/>
        </w:rPr>
        <w:t>E</w:t>
      </w:r>
      <w:r w:rsidRPr="00E36455">
        <w:rPr>
          <w:bCs/>
        </w:rPr>
        <w:t xml:space="preserve">. </w:t>
      </w:r>
      <w:r w:rsidRPr="00B92737">
        <w:rPr>
          <w:bCs/>
          <w:lang w:val="en-US"/>
        </w:rPr>
        <w:t>A</w:t>
      </w:r>
      <w:r w:rsidRPr="00E36455">
        <w:rPr>
          <w:bCs/>
        </w:rPr>
        <w:t xml:space="preserve">., </w:t>
      </w:r>
      <w:r w:rsidRPr="00B92737">
        <w:rPr>
          <w:bCs/>
          <w:lang w:val="en-US"/>
        </w:rPr>
        <w:t>Rogov</w:t>
      </w:r>
      <w:r w:rsidRPr="00E36455">
        <w:rPr>
          <w:bCs/>
        </w:rPr>
        <w:t xml:space="preserve"> </w:t>
      </w:r>
      <w:r w:rsidRPr="00B92737">
        <w:rPr>
          <w:bCs/>
          <w:lang w:val="en-US"/>
        </w:rPr>
        <w:t>Yu</w:t>
      </w:r>
      <w:r w:rsidRPr="00E36455">
        <w:rPr>
          <w:bCs/>
        </w:rPr>
        <w:t xml:space="preserve">. </w:t>
      </w:r>
      <w:r w:rsidRPr="00B92737">
        <w:rPr>
          <w:bCs/>
          <w:lang w:val="en-US"/>
        </w:rPr>
        <w:t>N</w:t>
      </w:r>
      <w:r w:rsidRPr="00E36455">
        <w:rPr>
          <w:bCs/>
        </w:rPr>
        <w:t xml:space="preserve">. </w:t>
      </w:r>
      <w:r>
        <w:rPr>
          <w:bCs/>
          <w:lang w:val="en-US"/>
        </w:rPr>
        <w:t>et</w:t>
      </w:r>
      <w:r w:rsidRPr="00E36455">
        <w:rPr>
          <w:bCs/>
        </w:rPr>
        <w:t xml:space="preserve"> </w:t>
      </w:r>
      <w:r>
        <w:rPr>
          <w:bCs/>
          <w:lang w:val="en-US"/>
        </w:rPr>
        <w:t>al</w:t>
      </w:r>
      <w:r w:rsidRPr="00E36455">
        <w:rPr>
          <w:bCs/>
        </w:rPr>
        <w:t xml:space="preserve">., </w:t>
      </w:r>
      <w:r w:rsidRPr="00B92737">
        <w:rPr>
          <w:bCs/>
          <w:lang w:val="en-US"/>
        </w:rPr>
        <w:t>P</w:t>
      </w:r>
      <w:r>
        <w:rPr>
          <w:bCs/>
          <w:lang w:val="en-US"/>
        </w:rPr>
        <w:t>EPAN</w:t>
      </w:r>
      <w:r w:rsidRPr="00E36455">
        <w:rPr>
          <w:bCs/>
        </w:rPr>
        <w:t xml:space="preserve"> </w:t>
      </w:r>
      <w:r w:rsidRPr="00B92737">
        <w:rPr>
          <w:bCs/>
          <w:lang w:val="en-US"/>
        </w:rPr>
        <w:t>Letters</w:t>
      </w:r>
      <w:r w:rsidRPr="00E36455">
        <w:rPr>
          <w:bCs/>
        </w:rPr>
        <w:t>, 19(6), 699–705.</w:t>
      </w:r>
    </w:p>
    <w:p w:rsidR="008B4CC6" w:rsidRPr="00095299" w:rsidRDefault="00977964">
      <w:pPr>
        <w:ind w:firstLine="706"/>
        <w:jc w:val="both"/>
        <w:rPr>
          <w:rFonts w:eastAsia="Calibri"/>
          <w:b/>
          <w:u w:val="single"/>
          <w:lang w:eastAsia="en-US"/>
        </w:rPr>
      </w:pPr>
      <w:r w:rsidRPr="00095299">
        <w:rPr>
          <w:rFonts w:eastAsia="Calibri"/>
          <w:b/>
          <w:u w:val="single"/>
          <w:lang w:eastAsia="en-US"/>
        </w:rPr>
        <w:t>Премии ЛНФ</w:t>
      </w:r>
    </w:p>
    <w:p w:rsidR="008B4CC6" w:rsidRPr="00095299" w:rsidRDefault="008B4CC6">
      <w:pPr>
        <w:spacing w:line="360" w:lineRule="auto"/>
        <w:jc w:val="both"/>
        <w:rPr>
          <w:bCs/>
        </w:rPr>
      </w:pPr>
    </w:p>
    <w:p w:rsidR="00B92737" w:rsidRPr="00B92737" w:rsidRDefault="00B92737" w:rsidP="00B92737">
      <w:pPr>
        <w:spacing w:line="360" w:lineRule="auto"/>
        <w:ind w:firstLine="709"/>
        <w:jc w:val="both"/>
        <w:rPr>
          <w:bCs/>
        </w:rPr>
      </w:pPr>
      <w:r w:rsidRPr="00B92737">
        <w:rPr>
          <w:bCs/>
        </w:rPr>
        <w:t>III место: Цикл работ «Измерение углового распределения нейтронов с энергией 14.1 МэВ, рассеянных на ядрах углерода».</w:t>
      </w:r>
    </w:p>
    <w:p w:rsidR="008B4CC6" w:rsidRPr="00095299" w:rsidRDefault="00B92737" w:rsidP="00B92737">
      <w:pPr>
        <w:spacing w:line="360" w:lineRule="auto"/>
        <w:ind w:firstLine="709"/>
        <w:jc w:val="both"/>
        <w:rPr>
          <w:bCs/>
        </w:rPr>
      </w:pPr>
      <w:r w:rsidRPr="00B92737">
        <w:rPr>
          <w:bCs/>
        </w:rPr>
        <w:t>Авторы от ЛНФ: И.Д. Дашков, Н.А.Федоров, Д.Н. Грозданов, Ю.Н. Копач, Т.Ю. Третьякова, В.Р.Ской</w:t>
      </w:r>
    </w:p>
    <w:p w:rsidR="008B4CC6" w:rsidRPr="00095299" w:rsidRDefault="00977964">
      <w:pPr>
        <w:ind w:firstLine="706"/>
        <w:jc w:val="both"/>
        <w:rPr>
          <w:rFonts w:eastAsia="Calibri"/>
          <w:b/>
          <w:u w:val="single"/>
          <w:lang w:eastAsia="en-US"/>
        </w:rPr>
      </w:pPr>
      <w:r w:rsidRPr="00095299">
        <w:rPr>
          <w:rFonts w:eastAsia="Calibri"/>
          <w:b/>
          <w:u w:val="single"/>
          <w:lang w:eastAsia="en-US"/>
        </w:rPr>
        <w:t>Диссертации</w:t>
      </w:r>
    </w:p>
    <w:p w:rsidR="008B4CC6" w:rsidRPr="00095299" w:rsidRDefault="008B4CC6">
      <w:pPr>
        <w:ind w:firstLine="706"/>
        <w:jc w:val="both"/>
        <w:rPr>
          <w:bCs/>
        </w:rPr>
      </w:pPr>
    </w:p>
    <w:p w:rsidR="008B4CC6" w:rsidRDefault="00B92737" w:rsidP="00B92737">
      <w:pPr>
        <w:spacing w:line="360" w:lineRule="auto"/>
        <w:ind w:firstLine="709"/>
        <w:jc w:val="both"/>
        <w:rPr>
          <w:bCs/>
        </w:rPr>
      </w:pPr>
      <w:r>
        <w:rPr>
          <w:bCs/>
        </w:rPr>
        <w:t>Д.Н. Грозданов</w:t>
      </w:r>
      <w:r w:rsidR="00977964" w:rsidRPr="00095299">
        <w:rPr>
          <w:bCs/>
        </w:rPr>
        <w:t>, «</w:t>
      </w:r>
      <w:r w:rsidRPr="00B92737">
        <w:rPr>
          <w:bCs/>
        </w:rPr>
        <w:t xml:space="preserve">Развитие и </w:t>
      </w:r>
      <w:r>
        <w:rPr>
          <w:bCs/>
        </w:rPr>
        <w:t xml:space="preserve">использование </w:t>
      </w:r>
      <w:r w:rsidRPr="00B92737">
        <w:rPr>
          <w:bCs/>
        </w:rPr>
        <w:t xml:space="preserve">метода </w:t>
      </w:r>
      <w:r>
        <w:rPr>
          <w:bCs/>
        </w:rPr>
        <w:t>меченых нейтронов</w:t>
      </w:r>
      <w:r w:rsidRPr="00B92737">
        <w:rPr>
          <w:bCs/>
        </w:rPr>
        <w:t xml:space="preserve"> с</w:t>
      </w:r>
      <w:r>
        <w:rPr>
          <w:bCs/>
        </w:rPr>
        <w:t xml:space="preserve"> энергией</w:t>
      </w:r>
      <w:r w:rsidRPr="00B92737">
        <w:rPr>
          <w:bCs/>
        </w:rPr>
        <w:t xml:space="preserve"> 14</w:t>
      </w:r>
      <w:r>
        <w:rPr>
          <w:bCs/>
        </w:rPr>
        <w:t xml:space="preserve"> МэВ</w:t>
      </w:r>
      <w:r w:rsidRPr="00B92737">
        <w:rPr>
          <w:bCs/>
        </w:rPr>
        <w:t xml:space="preserve">, </w:t>
      </w:r>
      <w:r>
        <w:rPr>
          <w:bCs/>
        </w:rPr>
        <w:t xml:space="preserve">для исследования ядерных </w:t>
      </w:r>
      <w:r w:rsidRPr="00B92737">
        <w:rPr>
          <w:bCs/>
        </w:rPr>
        <w:t>реакци</w:t>
      </w:r>
      <w:r>
        <w:rPr>
          <w:bCs/>
        </w:rPr>
        <w:t>й</w:t>
      </w:r>
      <w:r w:rsidRPr="00B92737">
        <w:rPr>
          <w:bCs/>
        </w:rPr>
        <w:t xml:space="preserve"> и</w:t>
      </w:r>
      <w:r>
        <w:rPr>
          <w:bCs/>
        </w:rPr>
        <w:t xml:space="preserve"> </w:t>
      </w:r>
      <w:r w:rsidRPr="00B92737">
        <w:rPr>
          <w:bCs/>
        </w:rPr>
        <w:t>определ</w:t>
      </w:r>
      <w:r>
        <w:rPr>
          <w:bCs/>
        </w:rPr>
        <w:t>ения</w:t>
      </w:r>
      <w:r w:rsidRPr="00B92737">
        <w:rPr>
          <w:bCs/>
        </w:rPr>
        <w:t xml:space="preserve"> на </w:t>
      </w:r>
      <w:r>
        <w:rPr>
          <w:bCs/>
        </w:rPr>
        <w:t>э</w:t>
      </w:r>
      <w:r w:rsidRPr="00B92737">
        <w:rPr>
          <w:bCs/>
        </w:rPr>
        <w:t>лементн</w:t>
      </w:r>
      <w:r>
        <w:rPr>
          <w:bCs/>
        </w:rPr>
        <w:t>ой</w:t>
      </w:r>
      <w:r w:rsidRPr="00B92737">
        <w:rPr>
          <w:bCs/>
        </w:rPr>
        <w:t xml:space="preserve"> структур</w:t>
      </w:r>
      <w:r>
        <w:rPr>
          <w:bCs/>
        </w:rPr>
        <w:t>ы</w:t>
      </w:r>
      <w:r w:rsidRPr="00B92737">
        <w:rPr>
          <w:bCs/>
        </w:rPr>
        <w:t xml:space="preserve"> на веществ</w:t>
      </w:r>
      <w:r>
        <w:rPr>
          <w:bCs/>
        </w:rPr>
        <w:t>,</w:t>
      </w:r>
      <w:r w:rsidRPr="00B92737">
        <w:rPr>
          <w:bCs/>
        </w:rPr>
        <w:t xml:space="preserve"> с</w:t>
      </w:r>
      <w:r>
        <w:rPr>
          <w:bCs/>
        </w:rPr>
        <w:t>о</w:t>
      </w:r>
      <w:r w:rsidRPr="00B92737">
        <w:rPr>
          <w:bCs/>
        </w:rPr>
        <w:t>д</w:t>
      </w:r>
      <w:r>
        <w:rPr>
          <w:bCs/>
        </w:rPr>
        <w:t>е</w:t>
      </w:r>
      <w:r w:rsidRPr="00B92737">
        <w:rPr>
          <w:bCs/>
        </w:rPr>
        <w:t>ржащи</w:t>
      </w:r>
      <w:r>
        <w:rPr>
          <w:bCs/>
        </w:rPr>
        <w:t>х у</w:t>
      </w:r>
      <w:r w:rsidRPr="00B92737">
        <w:rPr>
          <w:bCs/>
        </w:rPr>
        <w:t xml:space="preserve">глерод, </w:t>
      </w:r>
      <w:r>
        <w:rPr>
          <w:bCs/>
        </w:rPr>
        <w:t>к</w:t>
      </w:r>
      <w:r w:rsidRPr="00B92737">
        <w:rPr>
          <w:bCs/>
        </w:rPr>
        <w:t xml:space="preserve">ислород или </w:t>
      </w:r>
      <w:r>
        <w:rPr>
          <w:bCs/>
        </w:rPr>
        <w:t>х</w:t>
      </w:r>
      <w:r w:rsidRPr="00B92737">
        <w:rPr>
          <w:bCs/>
        </w:rPr>
        <w:t>ром</w:t>
      </w:r>
      <w:r w:rsidR="00977964" w:rsidRPr="00095299">
        <w:rPr>
          <w:bCs/>
        </w:rPr>
        <w:t>». Диссертация на соискание учёной степени к.ф-м.н.</w:t>
      </w:r>
    </w:p>
    <w:p w:rsidR="00977964" w:rsidRPr="00977964" w:rsidRDefault="00977964" w:rsidP="00B92737">
      <w:pPr>
        <w:spacing w:line="360" w:lineRule="auto"/>
        <w:ind w:firstLine="709"/>
        <w:jc w:val="both"/>
        <w:rPr>
          <w:b/>
        </w:rPr>
      </w:pPr>
      <w:r w:rsidRPr="00977964">
        <w:rPr>
          <w:b/>
        </w:rPr>
        <w:t>Заявки на гранты РНФ</w:t>
      </w:r>
    </w:p>
    <w:p w:rsidR="00977964"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22-62-00035 «Разработка методики определения содержания углерода и других элементов в почве с помощью метода меченых нейтронов.»</w:t>
      </w:r>
    </w:p>
    <w:p w:rsidR="00977964"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23-42-00086 «Разработка методики позиционно-чувствительного нейтрон-гамма элементного анализа и метода построения нейтронных изображений с разделением по энергии налетающих нейтронов.»</w:t>
      </w:r>
    </w:p>
    <w:p w:rsidR="00977964" w:rsidRPr="00977964" w:rsidRDefault="00977964" w:rsidP="00977964">
      <w:pPr>
        <w:pStyle w:val="af8"/>
        <w:numPr>
          <w:ilvl w:val="0"/>
          <w:numId w:val="6"/>
        </w:numPr>
        <w:spacing w:line="360" w:lineRule="auto"/>
        <w:jc w:val="both"/>
        <w:rPr>
          <w:rFonts w:ascii="Times New Roman" w:hAnsi="Times New Roman"/>
          <w:b/>
        </w:rPr>
      </w:pPr>
      <w:r w:rsidRPr="00977964">
        <w:rPr>
          <w:rFonts w:ascii="Times New Roman" w:hAnsi="Times New Roman"/>
          <w:b/>
        </w:rPr>
        <w:t>23-12-00239 «Разработка методики позиционно-чувствительного нейтрон-гамма элементного анализа.» -- поддержана.</w:t>
      </w:r>
    </w:p>
    <w:p w:rsidR="008B4CC6"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23-62-10027 «Разработка методики и создание прототипа мобильной установки для определения содержания углерода в почве с помощью метода меченых нейтронов.»</w:t>
      </w:r>
    </w:p>
    <w:p w:rsidR="00977964" w:rsidRP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23-22-00362 «Исследование возможности применения нейтронного источника на базе ускорителя ЭГ-5 для целей элементного анализа.»</w:t>
      </w:r>
    </w:p>
    <w:p w:rsidR="00977964" w:rsidRDefault="00977964" w:rsidP="00977964">
      <w:pPr>
        <w:pStyle w:val="af8"/>
        <w:numPr>
          <w:ilvl w:val="0"/>
          <w:numId w:val="6"/>
        </w:numPr>
        <w:spacing w:line="360" w:lineRule="auto"/>
        <w:jc w:val="both"/>
        <w:rPr>
          <w:rFonts w:ascii="Times New Roman" w:hAnsi="Times New Roman"/>
          <w:bCs/>
        </w:rPr>
      </w:pPr>
      <w:r w:rsidRPr="00977964">
        <w:rPr>
          <w:rFonts w:ascii="Times New Roman" w:hAnsi="Times New Roman"/>
          <w:bCs/>
        </w:rPr>
        <w:t>23-72-01111 «Разработка информационной системы TalysLib для осуществления простого и быстрого доступа к ядерным данным»</w:t>
      </w:r>
    </w:p>
    <w:p w:rsidR="00E36455" w:rsidRDefault="00E36455" w:rsidP="00E36455">
      <w:pPr>
        <w:ind w:left="709"/>
        <w:rPr>
          <w:lang w:eastAsia="ar-SA"/>
        </w:rPr>
      </w:pPr>
    </w:p>
    <w:p w:rsidR="00E36455" w:rsidRDefault="00E36455" w:rsidP="00E36455">
      <w:pPr>
        <w:ind w:left="709"/>
        <w:rPr>
          <w:lang w:eastAsia="ar-SA"/>
        </w:rPr>
      </w:pPr>
    </w:p>
    <w:p w:rsidR="00E36455" w:rsidRPr="00E36455" w:rsidRDefault="00E36455" w:rsidP="00E36455">
      <w:pPr>
        <w:ind w:left="709"/>
      </w:pPr>
      <w:r>
        <w:rPr>
          <w:lang w:eastAsia="ar-SA"/>
        </w:rPr>
        <w:t>Руководитель проекта</w:t>
      </w:r>
      <w:r w:rsidRPr="00E36455">
        <w:rPr>
          <w:lang w:eastAsia="ar-SA"/>
        </w:rPr>
        <w:tab/>
      </w:r>
      <w:r w:rsidRPr="00E36455">
        <w:rPr>
          <w:lang w:eastAsia="ar-SA"/>
        </w:rPr>
        <w:tab/>
      </w:r>
      <w:r w:rsidRPr="00E36455">
        <w:rPr>
          <w:lang w:eastAsia="ar-SA"/>
        </w:rPr>
        <w:tab/>
      </w:r>
      <w:r w:rsidRPr="00E36455">
        <w:rPr>
          <w:lang w:eastAsia="ar-SA"/>
        </w:rPr>
        <w:tab/>
      </w:r>
      <w:r w:rsidRPr="00E36455">
        <w:rPr>
          <w:lang w:eastAsia="ar-SA"/>
        </w:rPr>
        <w:tab/>
      </w:r>
      <w:r w:rsidRPr="00E36455">
        <w:rPr>
          <w:lang w:eastAsia="ar-SA"/>
        </w:rPr>
        <w:tab/>
      </w:r>
      <w:r>
        <w:rPr>
          <w:rFonts w:eastAsia="Calibri"/>
        </w:rPr>
        <w:tab/>
      </w:r>
      <w:r w:rsidRPr="00E36455">
        <w:rPr>
          <w:rFonts w:eastAsia="Calibri"/>
        </w:rPr>
        <w:t>/</w:t>
      </w:r>
      <w:r>
        <w:rPr>
          <w:rFonts w:eastAsia="Calibri"/>
        </w:rPr>
        <w:t>Копач Ю.Н.</w:t>
      </w:r>
      <w:r w:rsidRPr="00E36455">
        <w:rPr>
          <w:rFonts w:eastAsia="Calibri"/>
        </w:rPr>
        <w:t xml:space="preserve"> /</w:t>
      </w:r>
    </w:p>
    <w:p w:rsidR="00E36455" w:rsidRPr="00E36455" w:rsidRDefault="00E36455" w:rsidP="00E36455">
      <w:pPr>
        <w:spacing w:line="360" w:lineRule="auto"/>
        <w:jc w:val="both"/>
        <w:rPr>
          <w:bCs/>
        </w:rPr>
      </w:pPr>
    </w:p>
    <w:sectPr w:rsidR="00E36455" w:rsidRPr="00E36455" w:rsidSect="00CB783F">
      <w:headerReference w:type="even" r:id="rId77"/>
      <w:headerReference w:type="default" r:id="rId78"/>
      <w:footerReference w:type="even" r:id="rId79"/>
      <w:footerReference w:type="default" r:id="rId80"/>
      <w:pgSz w:w="11906" w:h="16838"/>
      <w:pgMar w:top="1135" w:right="1134" w:bottom="1418" w:left="1134" w:header="567" w:footer="567" w:gutter="0"/>
      <w:cols w:space="720"/>
      <w:formProt w:val="0"/>
      <w:titlePg/>
      <w:docGrid w:linePitch="2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455" w:rsidRDefault="00E36455">
      <w:r>
        <w:separator/>
      </w:r>
    </w:p>
  </w:endnote>
  <w:endnote w:type="continuationSeparator" w:id="0">
    <w:p w:rsidR="00E36455" w:rsidRDefault="00E364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Liberation Sans">
    <w:altName w:val="Arial"/>
    <w:charset w:val="01"/>
    <w:family w:val="swiss"/>
    <w:pitch w:val="default"/>
    <w:sig w:usb0="00000000" w:usb1="00000000" w:usb2="00000000" w:usb3="00000000" w:csb0="00000000" w:csb1="00000000"/>
  </w:font>
  <w:font w:name="Noto Sans CJK SC">
    <w:panose1 w:val="00000000000000000000"/>
    <w:charset w:val="00"/>
    <w:family w:val="roman"/>
    <w:notTrueType/>
    <w:pitch w:val="default"/>
    <w:sig w:usb0="00000000" w:usb1="00000000" w:usb2="00000000" w:usb3="00000000" w:csb0="00000000" w:csb1="00000000"/>
  </w:font>
  <w:font w:name="Lohit Devanagari">
    <w:altName w:val="Cambria"/>
    <w:panose1 w:val="00000000000000000000"/>
    <w:charset w:val="00"/>
    <w:family w:val="roman"/>
    <w:notTrueType/>
    <w:pitch w:val="default"/>
    <w:sig w:usb0="00000000" w:usb1="00000000" w:usb2="00000000" w:usb3="00000000" w:csb0="00000000" w:csb1="00000000"/>
  </w:font>
  <w:font w:name="Times">
    <w:altName w:val="Times New Roman"/>
    <w:panose1 w:val="02020603050405020304"/>
    <w:charset w:val="01"/>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Liberation Serif">
    <w:altName w:val="Times New Roman"/>
    <w:charset w:val="01"/>
    <w:family w:val="roman"/>
    <w:pitch w:val="variable"/>
    <w:sig w:usb0="00000000" w:usb1="00000000" w:usb2="00000000" w:usb3="00000000" w:csb0="00000000" w:csb1="00000000"/>
  </w:font>
  <w:font w:name="Droid Sans Fallback">
    <w:charset w:val="01"/>
    <w:family w:val="auto"/>
    <w:pitch w:val="variable"/>
    <w:sig w:usb0="00000000" w:usb1="00000000" w:usb2="00000000" w:usb3="00000000" w:csb0="00000000" w:csb1="00000000"/>
  </w:font>
  <w:font w:name="FreeSans">
    <w:altName w:val="Cambria"/>
    <w:panose1 w:val="00000000000000000000"/>
    <w:charset w:val="00"/>
    <w:family w:val="roman"/>
    <w:notTrueType/>
    <w:pitch w:val="default"/>
    <w:sig w:usb0="00000000" w:usb1="00000000" w:usb2="00000000" w:usb3="00000000" w:csb0="00000000" w:csb1="00000000"/>
  </w:font>
  <w:font w:name="DejaVu Sans Mono">
    <w:altName w:val="MS Mincho"/>
    <w:charset w:val="80"/>
    <w:family w:val="modern"/>
    <w:pitch w:val="default"/>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55" w:rsidRDefault="00E36455">
    <w:pPr>
      <w:pStyle w:val="af2"/>
      <w:ind w:right="360"/>
    </w:pPr>
    <w:r>
      <w:rPr>
        <w:noProof/>
      </w:rPr>
      <w:pict>
        <v:rect id="Frame4" o:spid="_x0000_s2050" style="position:absolute;margin-left:-88.9pt;margin-top:.05pt;width:1.15pt;height:1.15pt;z-index:-50331647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" o:allowincell="f" filled="f" stroked="f" strokeweight="0">
          <v:textbox style="mso-fit-shape-to-text:t" inset="0,0,0,0">
            <w:txbxContent>
              <w:p w:rsidR="00E36455" w:rsidRDefault="00E36455">
                <w:pPr>
                  <w:pStyle w:val="af2"/>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0</w:t>
                </w:r>
                <w:r>
                  <w:rPr>
                    <w:rStyle w:val="a3"/>
                    <w:color w:val="000000"/>
                  </w:rPr>
                  <w:fldChar w:fldCharType="end"/>
                </w:r>
              </w:p>
            </w:txbxContent>
          </v:textbox>
          <w10:wrap type="square"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55" w:rsidRDefault="00E36455">
    <w:pPr>
      <w:pStyle w:val="af2"/>
      <w:ind w:right="360"/>
    </w:pPr>
    <w:r>
      <w:rPr>
        <w:noProof/>
      </w:rPr>
      <w:pict>
        <v:rect id="Frame5" o:spid="_x0000_s2049" style="position:absolute;margin-left:-67.1pt;margin-top:.05pt;width:12.05pt;height:13.7pt;z-index:-50331643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" o:allowincell="f" filled="f" stroked="f" strokeweight="0">
          <v:textbox style="mso-fit-shape-to-text:t" inset="0,0,0,0">
            <w:txbxContent>
              <w:p w:rsidR="00E36455" w:rsidRDefault="00E36455">
                <w:pPr>
                  <w:pStyle w:val="af2"/>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sidR="00DC4F00">
                  <w:rPr>
                    <w:rStyle w:val="a3"/>
                    <w:noProof/>
                    <w:color w:val="000000"/>
                  </w:rPr>
                  <w:t>15</w:t>
                </w:r>
                <w:r>
                  <w:rPr>
                    <w:rStyle w:val="a3"/>
                    <w:color w:val="000000"/>
                  </w:rPr>
                  <w:fldChar w:fldCharType="end"/>
                </w:r>
              </w:p>
            </w:txbxContent>
          </v:textbox>
          <w10:wrap type="square"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455" w:rsidRDefault="00E36455">
      <w:r>
        <w:separator/>
      </w:r>
    </w:p>
  </w:footnote>
  <w:footnote w:type="continuationSeparator" w:id="0">
    <w:p w:rsidR="00E36455" w:rsidRDefault="00E364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55" w:rsidRDefault="00E36455">
    <w:pPr>
      <w:pStyle w:val="af3"/>
      <w:ind w:right="360"/>
    </w:pPr>
    <w:r>
      <w:rPr>
        <w:noProof/>
      </w:rPr>
      <w:pict>
        <v:rect id="Frame2" o:spid="_x0000_s2052" style="position:absolute;margin-left:-88.9pt;margin-top:.05pt;width:1.15pt;height:1.15pt;z-index:-50331647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rsidR="00E36455" w:rsidRDefault="00E36455">
                <w:pPr>
                  <w:pStyle w:val="af3"/>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Pr>
                    <w:rStyle w:val="a3"/>
                    <w:color w:val="000000"/>
                  </w:rPr>
                  <w:t>0</w:t>
                </w:r>
                <w:r>
                  <w:rPr>
                    <w:rStyle w:val="a3"/>
                    <w:color w:val="000000"/>
                  </w:rPr>
                  <w:fldChar w:fldCharType="end"/>
                </w:r>
              </w:p>
            </w:txbxContent>
          </v:textbox>
          <w10:wrap type="square" anchorx="margin"/>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455" w:rsidRDefault="00E36455">
    <w:pPr>
      <w:pStyle w:val="af3"/>
      <w:ind w:right="360"/>
    </w:pPr>
    <w:r>
      <w:rPr>
        <w:noProof/>
      </w:rPr>
      <w:pict>
        <v:rect id="Frame3" o:spid="_x0000_s2051" style="position:absolute;margin-left:-67.1pt;margin-top:.05pt;width:12.05pt;height:13.7pt;z-index:-50331645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" o:allowincell="f" filled="f" stroked="f" strokeweight="0">
          <v:textbox style="mso-fit-shape-to-text:t" inset="0,0,0,0">
            <w:txbxContent>
              <w:p w:rsidR="00E36455" w:rsidRDefault="00E36455">
                <w:pPr>
                  <w:pStyle w:val="af3"/>
                  <w:rPr>
                    <w:rStyle w:val="a3"/>
                  </w:rPr>
                </w:pPr>
                <w:r>
                  <w:rPr>
                    <w:rStyle w:val="a3"/>
                    <w:color w:val="000000"/>
                  </w:rPr>
                  <w:fldChar w:fldCharType="begin"/>
                </w:r>
                <w:r>
                  <w:rPr>
                    <w:rStyle w:val="a3"/>
                    <w:color w:val="000000"/>
                  </w:rPr>
                  <w:instrText xml:space="preserve"> PAGE </w:instrText>
                </w:r>
                <w:r>
                  <w:rPr>
                    <w:rStyle w:val="a3"/>
                    <w:color w:val="000000"/>
                  </w:rPr>
                  <w:fldChar w:fldCharType="separate"/>
                </w:r>
                <w:r w:rsidR="00DC4F00">
                  <w:rPr>
                    <w:rStyle w:val="a3"/>
                    <w:noProof/>
                    <w:color w:val="000000"/>
                  </w:rPr>
                  <w:t>15</w:t>
                </w:r>
                <w:r>
                  <w:rPr>
                    <w:rStyle w:val="a3"/>
                    <w:color w:val="000000"/>
                  </w:rPr>
                  <w:fldChar w:fldCharType="end"/>
                </w:r>
              </w:p>
            </w:txbxContent>
          </v:textbox>
          <w10:wrap type="square" anchorx="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05A54"/>
    <w:multiLevelType w:val="multilevel"/>
    <w:tmpl w:val="3B7EB2B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30E61914"/>
    <w:multiLevelType w:val="multilevel"/>
    <w:tmpl w:val="89E0CE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4CB691C"/>
    <w:multiLevelType w:val="multilevel"/>
    <w:tmpl w:val="54D023C6"/>
    <w:lvl w:ilvl="0">
      <w:start w:val="1"/>
      <w:numFmt w:val="decimal"/>
      <w:pStyle w:val="SPIEreferencelisting"/>
      <w:lvlText w:val="%1."/>
      <w:lvlJc w:val="left"/>
      <w:pPr>
        <w:tabs>
          <w:tab w:val="num" w:pos="360"/>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651D53B0"/>
    <w:multiLevelType w:val="multilevel"/>
    <w:tmpl w:val="A71C5CA2"/>
    <w:lvl w:ilvl="0">
      <w:start w:val="2"/>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
    <w:nsid w:val="6DFF181F"/>
    <w:multiLevelType w:val="multilevel"/>
    <w:tmpl w:val="1276B5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7BD024BC"/>
    <w:multiLevelType w:val="hybridMultilevel"/>
    <w:tmpl w:val="68DE8262"/>
    <w:lvl w:ilvl="0" w:tplc="BD3A05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defaultTabStop w:val="708"/>
  <w:autoHyphenation/>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B4CC6"/>
    <w:rsid w:val="00060D0B"/>
    <w:rsid w:val="00095299"/>
    <w:rsid w:val="00142E8A"/>
    <w:rsid w:val="002035CA"/>
    <w:rsid w:val="002F290F"/>
    <w:rsid w:val="005713AD"/>
    <w:rsid w:val="0068013A"/>
    <w:rsid w:val="006C68C6"/>
    <w:rsid w:val="00751D6A"/>
    <w:rsid w:val="00877331"/>
    <w:rsid w:val="008B4CC6"/>
    <w:rsid w:val="0097247B"/>
    <w:rsid w:val="00977964"/>
    <w:rsid w:val="00AC2EC9"/>
    <w:rsid w:val="00AF126F"/>
    <w:rsid w:val="00B92737"/>
    <w:rsid w:val="00CB783F"/>
    <w:rsid w:val="00D334BA"/>
    <w:rsid w:val="00D7798B"/>
    <w:rsid w:val="00DC4F00"/>
    <w:rsid w:val="00E36455"/>
    <w:rsid w:val="00E54B0E"/>
    <w:rsid w:val="00F701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867"/>
    <w:rPr>
      <w:sz w:val="24"/>
      <w:szCs w:val="24"/>
    </w:rPr>
  </w:style>
  <w:style w:type="paragraph" w:styleId="1">
    <w:name w:val="heading 1"/>
    <w:basedOn w:val="a"/>
    <w:next w:val="a"/>
    <w:qFormat/>
    <w:rsid w:val="005D0E4D"/>
    <w:pPr>
      <w:keepNext/>
      <w:spacing w:before="240" w:after="60"/>
      <w:outlineLvl w:val="0"/>
    </w:pPr>
    <w:rPr>
      <w:rFonts w:ascii="Arial" w:hAnsi="Arial" w:cs="Arial"/>
      <w:b/>
      <w:bCs/>
      <w:kern w:val="2"/>
      <w:sz w:val="32"/>
      <w:szCs w:val="32"/>
    </w:rPr>
  </w:style>
  <w:style w:type="paragraph" w:styleId="2">
    <w:name w:val="heading 2"/>
    <w:basedOn w:val="a"/>
    <w:next w:val="a"/>
    <w:link w:val="20"/>
    <w:qFormat/>
    <w:rsid w:val="0048581B"/>
    <w:pPr>
      <w:keepNext/>
      <w:spacing w:before="240" w:after="60"/>
      <w:outlineLvl w:val="1"/>
    </w:pPr>
    <w:rPr>
      <w:rFonts w:ascii="Cambria" w:hAnsi="Cambria"/>
      <w:b/>
      <w:bCs/>
      <w:i/>
      <w:iCs/>
      <w:sz w:val="28"/>
      <w:szCs w:val="28"/>
      <w:lang w:eastAsia="ja-JP"/>
    </w:rPr>
  </w:style>
  <w:style w:type="paragraph" w:styleId="3">
    <w:name w:val="heading 3"/>
    <w:basedOn w:val="a"/>
    <w:next w:val="a"/>
    <w:qFormat/>
    <w:rsid w:val="00210930"/>
    <w:pPr>
      <w:keepNext/>
      <w:widowControl w:val="0"/>
      <w:ind w:left="720" w:firstLine="720"/>
      <w:jc w:val="both"/>
      <w:outlineLvl w:val="2"/>
    </w:pPr>
    <w:rPr>
      <w:rFonts w:eastAsia="Batang"/>
      <w:b/>
      <w:sz w:val="22"/>
      <w:szCs w:val="20"/>
      <w:lang w:val="en-US"/>
    </w:rPr>
  </w:style>
  <w:style w:type="paragraph" w:styleId="4">
    <w:name w:val="heading 4"/>
    <w:basedOn w:val="a"/>
    <w:next w:val="a"/>
    <w:link w:val="40"/>
    <w:semiHidden/>
    <w:unhideWhenUsed/>
    <w:qFormat/>
    <w:rsid w:val="00140D76"/>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qFormat/>
    <w:rsid w:val="00CB783F"/>
  </w:style>
  <w:style w:type="character" w:customStyle="1" w:styleId="apple-style-span">
    <w:name w:val="apple-style-span"/>
    <w:qFormat/>
    <w:rsid w:val="00DB57E9"/>
  </w:style>
  <w:style w:type="character" w:styleId="a4">
    <w:name w:val="Strong"/>
    <w:uiPriority w:val="22"/>
    <w:qFormat/>
    <w:rsid w:val="00785F87"/>
    <w:rPr>
      <w:b/>
      <w:bCs/>
    </w:rPr>
  </w:style>
  <w:style w:type="character" w:styleId="a5">
    <w:name w:val="Hyperlink"/>
    <w:rsid w:val="00B73B02"/>
    <w:rPr>
      <w:color w:val="0000FF"/>
      <w:u w:val="single"/>
    </w:rPr>
  </w:style>
  <w:style w:type="character" w:customStyle="1" w:styleId="a6">
    <w:name w:val="Название объекта Знак"/>
    <w:link w:val="a7"/>
    <w:uiPriority w:val="35"/>
    <w:qFormat/>
    <w:rsid w:val="00C129C0"/>
    <w:rPr>
      <w:rFonts w:eastAsia="Calibri"/>
      <w:bCs/>
      <w:i/>
      <w:sz w:val="24"/>
      <w:szCs w:val="18"/>
    </w:rPr>
  </w:style>
  <w:style w:type="character" w:customStyle="1" w:styleId="a8">
    <w:name w:val="Текст сноски Знак"/>
    <w:link w:val="a9"/>
    <w:qFormat/>
    <w:rsid w:val="005E3B98"/>
    <w:rPr>
      <w:lang w:val="en-US" w:eastAsia="en-US"/>
    </w:rPr>
  </w:style>
  <w:style w:type="character" w:customStyle="1" w:styleId="FootnoteCharacters">
    <w:name w:val="Footnote Characters"/>
    <w:qFormat/>
    <w:rsid w:val="005E3B98"/>
    <w:rPr>
      <w:vertAlign w:val="superscript"/>
    </w:rPr>
  </w:style>
  <w:style w:type="character" w:customStyle="1" w:styleId="FootnoteAnchor">
    <w:name w:val="Footnote Anchor"/>
    <w:rsid w:val="00CB783F"/>
    <w:rPr>
      <w:vertAlign w:val="superscript"/>
    </w:rPr>
  </w:style>
  <w:style w:type="character" w:customStyle="1" w:styleId="20">
    <w:name w:val="Заголовок 2 Знак"/>
    <w:link w:val="2"/>
    <w:qFormat/>
    <w:rsid w:val="0048581B"/>
    <w:rPr>
      <w:rFonts w:ascii="Cambria" w:hAnsi="Cambria"/>
      <w:b/>
      <w:bCs/>
      <w:i/>
      <w:iCs/>
      <w:sz w:val="28"/>
      <w:szCs w:val="28"/>
      <w:lang w:eastAsia="ja-JP"/>
    </w:rPr>
  </w:style>
  <w:style w:type="character" w:customStyle="1" w:styleId="aa">
    <w:name w:val="Текст выноски Знак"/>
    <w:link w:val="ab"/>
    <w:qFormat/>
    <w:rsid w:val="00691C75"/>
    <w:rPr>
      <w:rFonts w:ascii="Tahoma" w:hAnsi="Tahoma" w:cs="Tahoma"/>
      <w:sz w:val="16"/>
      <w:szCs w:val="16"/>
    </w:rPr>
  </w:style>
  <w:style w:type="character" w:customStyle="1" w:styleId="ac">
    <w:name w:val="Основной текст Знак"/>
    <w:link w:val="ad"/>
    <w:qFormat/>
    <w:rsid w:val="0001602E"/>
    <w:rPr>
      <w:sz w:val="24"/>
      <w:szCs w:val="24"/>
      <w:lang w:eastAsia="ja-JP"/>
    </w:rPr>
  </w:style>
  <w:style w:type="character" w:customStyle="1" w:styleId="hit">
    <w:name w:val="hit"/>
    <w:qFormat/>
    <w:rsid w:val="00411539"/>
  </w:style>
  <w:style w:type="character" w:customStyle="1" w:styleId="40">
    <w:name w:val="Заголовок 4 Знак"/>
    <w:link w:val="4"/>
    <w:semiHidden/>
    <w:qFormat/>
    <w:rsid w:val="00140D76"/>
    <w:rPr>
      <w:rFonts w:ascii="Calibri" w:eastAsia="Times New Roman" w:hAnsi="Calibri" w:cs="Times New Roman"/>
      <w:b/>
      <w:bCs/>
      <w:sz w:val="28"/>
      <w:szCs w:val="28"/>
    </w:rPr>
  </w:style>
  <w:style w:type="character" w:styleId="ae">
    <w:name w:val="FollowedHyperlink"/>
    <w:rsid w:val="00B40429"/>
    <w:rPr>
      <w:color w:val="954F72"/>
      <w:u w:val="single"/>
    </w:rPr>
  </w:style>
  <w:style w:type="character" w:customStyle="1" w:styleId="af">
    <w:name w:val="Текст Знак"/>
    <w:link w:val="af0"/>
    <w:qFormat/>
    <w:rsid w:val="00D06C2B"/>
    <w:rPr>
      <w:rFonts w:ascii="Courier New" w:hAnsi="Courier New" w:cs="Courier New"/>
    </w:rPr>
  </w:style>
  <w:style w:type="paragraph" w:customStyle="1" w:styleId="Heading">
    <w:name w:val="Heading"/>
    <w:basedOn w:val="a"/>
    <w:next w:val="ad"/>
    <w:qFormat/>
    <w:rsid w:val="00CB783F"/>
    <w:pPr>
      <w:keepNext/>
      <w:spacing w:before="240" w:after="120"/>
    </w:pPr>
    <w:rPr>
      <w:rFonts w:ascii="Liberation Sans" w:eastAsia="Noto Sans CJK SC" w:hAnsi="Liberation Sans" w:cs="Lohit Devanagari"/>
      <w:sz w:val="28"/>
      <w:szCs w:val="28"/>
    </w:rPr>
  </w:style>
  <w:style w:type="paragraph" w:styleId="ad">
    <w:name w:val="Body Text"/>
    <w:basedOn w:val="a"/>
    <w:link w:val="ac"/>
    <w:rsid w:val="00CB783F"/>
    <w:rPr>
      <w:lang w:eastAsia="ja-JP"/>
    </w:rPr>
  </w:style>
  <w:style w:type="paragraph" w:styleId="af1">
    <w:name w:val="List"/>
    <w:basedOn w:val="ad"/>
    <w:rsid w:val="00CB783F"/>
    <w:rPr>
      <w:rFonts w:cs="Lohit Devanagari"/>
    </w:rPr>
  </w:style>
  <w:style w:type="paragraph" w:styleId="a7">
    <w:name w:val="caption"/>
    <w:basedOn w:val="a"/>
    <w:next w:val="a"/>
    <w:link w:val="a6"/>
    <w:uiPriority w:val="35"/>
    <w:qFormat/>
    <w:rsid w:val="00C129C0"/>
    <w:pPr>
      <w:jc w:val="both"/>
    </w:pPr>
    <w:rPr>
      <w:rFonts w:eastAsia="Calibri"/>
      <w:bCs/>
      <w:i/>
      <w:szCs w:val="18"/>
    </w:rPr>
  </w:style>
  <w:style w:type="paragraph" w:customStyle="1" w:styleId="Index">
    <w:name w:val="Index"/>
    <w:basedOn w:val="a"/>
    <w:qFormat/>
    <w:rsid w:val="00CB783F"/>
    <w:pPr>
      <w:suppressLineNumbers/>
    </w:pPr>
    <w:rPr>
      <w:rFonts w:cs="Lohit Devanagari"/>
    </w:rPr>
  </w:style>
  <w:style w:type="paragraph" w:customStyle="1" w:styleId="HeaderandFooter">
    <w:name w:val="Header and Footer"/>
    <w:basedOn w:val="a"/>
    <w:qFormat/>
    <w:rsid w:val="00CB783F"/>
  </w:style>
  <w:style w:type="paragraph" w:styleId="af2">
    <w:name w:val="footer"/>
    <w:basedOn w:val="a"/>
    <w:rsid w:val="00CB783F"/>
    <w:pPr>
      <w:tabs>
        <w:tab w:val="center" w:pos="4677"/>
        <w:tab w:val="right" w:pos="9355"/>
      </w:tabs>
    </w:pPr>
    <w:rPr>
      <w:rFonts w:eastAsia="Batang"/>
    </w:rPr>
  </w:style>
  <w:style w:type="paragraph" w:styleId="21">
    <w:name w:val="Body Text 2"/>
    <w:basedOn w:val="a"/>
    <w:qFormat/>
    <w:rsid w:val="00CB783F"/>
    <w:pPr>
      <w:jc w:val="both"/>
    </w:pPr>
    <w:rPr>
      <w:lang w:val="en-US"/>
    </w:rPr>
  </w:style>
  <w:style w:type="paragraph" w:styleId="af3">
    <w:name w:val="header"/>
    <w:basedOn w:val="a"/>
    <w:rsid w:val="001A1722"/>
    <w:pPr>
      <w:tabs>
        <w:tab w:val="center" w:pos="4677"/>
        <w:tab w:val="right" w:pos="9355"/>
      </w:tabs>
    </w:pPr>
  </w:style>
  <w:style w:type="paragraph" w:styleId="af4">
    <w:name w:val="Normal (Web)"/>
    <w:basedOn w:val="a"/>
    <w:uiPriority w:val="99"/>
    <w:unhideWhenUsed/>
    <w:qFormat/>
    <w:rsid w:val="00D52D01"/>
    <w:pPr>
      <w:spacing w:beforeAutospacing="1" w:afterAutospacing="1"/>
    </w:pPr>
    <w:rPr>
      <w:rFonts w:ascii="Times" w:hAnsi="Times"/>
      <w:sz w:val="20"/>
      <w:szCs w:val="20"/>
    </w:rPr>
  </w:style>
  <w:style w:type="paragraph" w:customStyle="1" w:styleId="SPIEreferencelisting">
    <w:name w:val="SPIE reference listing"/>
    <w:basedOn w:val="a"/>
    <w:qFormat/>
    <w:rsid w:val="00DD5A8B"/>
    <w:pPr>
      <w:numPr>
        <w:numId w:val="1"/>
      </w:numPr>
      <w:jc w:val="both"/>
    </w:pPr>
    <w:rPr>
      <w:sz w:val="20"/>
      <w:szCs w:val="20"/>
      <w:lang w:val="en-US" w:eastAsia="en-US"/>
    </w:rPr>
  </w:style>
  <w:style w:type="paragraph" w:styleId="a9">
    <w:name w:val="footnote text"/>
    <w:basedOn w:val="a"/>
    <w:link w:val="a8"/>
    <w:rsid w:val="005E3B98"/>
    <w:rPr>
      <w:sz w:val="20"/>
      <w:szCs w:val="20"/>
      <w:lang w:val="en-US" w:eastAsia="en-US"/>
    </w:rPr>
  </w:style>
  <w:style w:type="paragraph" w:customStyle="1" w:styleId="10">
    <w:name w:val="Абзац списка1"/>
    <w:basedOn w:val="a"/>
    <w:qFormat/>
    <w:rsid w:val="0048581B"/>
    <w:pPr>
      <w:ind w:left="720"/>
    </w:pPr>
    <w:rPr>
      <w:lang w:eastAsia="ar-SA"/>
    </w:rPr>
  </w:style>
  <w:style w:type="paragraph" w:styleId="ab">
    <w:name w:val="Balloon Text"/>
    <w:basedOn w:val="a"/>
    <w:link w:val="aa"/>
    <w:qFormat/>
    <w:rsid w:val="00691C75"/>
    <w:rPr>
      <w:rFonts w:ascii="Tahoma" w:hAnsi="Tahoma"/>
      <w:sz w:val="16"/>
      <w:szCs w:val="16"/>
    </w:rPr>
  </w:style>
  <w:style w:type="paragraph" w:customStyle="1" w:styleId="1-21">
    <w:name w:val="Средняя сетка 1 - Акцент 21"/>
    <w:basedOn w:val="a"/>
    <w:uiPriority w:val="34"/>
    <w:qFormat/>
    <w:rsid w:val="00173812"/>
    <w:pPr>
      <w:ind w:left="708"/>
    </w:pPr>
  </w:style>
  <w:style w:type="paragraph" w:styleId="af5">
    <w:name w:val="annotation text"/>
    <w:basedOn w:val="a"/>
    <w:qFormat/>
    <w:rsid w:val="007B66B5"/>
    <w:pPr>
      <w:spacing w:beforeAutospacing="1" w:afterAutospacing="1"/>
    </w:pPr>
    <w:rPr>
      <w:rFonts w:eastAsia="MS Mincho"/>
      <w:lang w:eastAsia="ja-JP"/>
    </w:rPr>
  </w:style>
  <w:style w:type="paragraph" w:styleId="af0">
    <w:name w:val="Plain Text"/>
    <w:basedOn w:val="a"/>
    <w:link w:val="af"/>
    <w:qFormat/>
    <w:rsid w:val="00D06C2B"/>
    <w:pPr>
      <w:jc w:val="both"/>
    </w:pPr>
    <w:rPr>
      <w:rFonts w:ascii="Courier New" w:hAnsi="Courier New"/>
      <w:sz w:val="20"/>
      <w:szCs w:val="20"/>
    </w:rPr>
  </w:style>
  <w:style w:type="paragraph" w:customStyle="1" w:styleId="TableContents">
    <w:name w:val="Table Contents"/>
    <w:basedOn w:val="a"/>
    <w:qFormat/>
    <w:rsid w:val="003D1938"/>
    <w:pPr>
      <w:widowControl w:val="0"/>
      <w:suppressLineNumbers/>
      <w:textAlignment w:val="baseline"/>
    </w:pPr>
    <w:rPr>
      <w:rFonts w:ascii="Liberation Serif" w:eastAsia="Droid Sans Fallback" w:hAnsi="Liberation Serif" w:cs="FreeSans"/>
      <w:kern w:val="2"/>
      <w:lang w:val="en-US" w:eastAsia="zh-CN" w:bidi="hi-IN"/>
    </w:rPr>
  </w:style>
  <w:style w:type="paragraph" w:customStyle="1" w:styleId="af6">
    <w:name w:val="Содержимое таблицы"/>
    <w:basedOn w:val="a"/>
    <w:qFormat/>
    <w:rsid w:val="00E153F2"/>
    <w:pPr>
      <w:suppressLineNumbers/>
    </w:pPr>
    <w:rPr>
      <w:lang w:eastAsia="ar-SA"/>
    </w:rPr>
  </w:style>
  <w:style w:type="paragraph" w:customStyle="1" w:styleId="af7">
    <w:name w:val="Текст в заданном формате"/>
    <w:basedOn w:val="a"/>
    <w:qFormat/>
    <w:rsid w:val="00E153F2"/>
    <w:rPr>
      <w:rFonts w:ascii="DejaVu Sans Mono" w:eastAsia="Droid Sans Fallback" w:hAnsi="DejaVu Sans Mono" w:cs="DejaVu Sans Mono"/>
      <w:sz w:val="20"/>
      <w:szCs w:val="20"/>
      <w:lang w:eastAsia="ar-SA"/>
    </w:rPr>
  </w:style>
  <w:style w:type="paragraph" w:styleId="af8">
    <w:name w:val="List Paragraph"/>
    <w:basedOn w:val="a"/>
    <w:qFormat/>
    <w:rsid w:val="00E153F2"/>
    <w:pPr>
      <w:spacing w:after="200" w:line="276" w:lineRule="auto"/>
      <w:ind w:left="720"/>
      <w:contextualSpacing/>
    </w:pPr>
    <w:rPr>
      <w:rFonts w:ascii="Calibri" w:eastAsia="Calibri" w:hAnsi="Calibri"/>
      <w:sz w:val="22"/>
      <w:szCs w:val="22"/>
      <w:lang w:eastAsia="en-US"/>
    </w:rPr>
  </w:style>
  <w:style w:type="paragraph" w:customStyle="1" w:styleId="11">
    <w:name w:val="Обычный1"/>
    <w:qFormat/>
    <w:rsid w:val="001729A0"/>
    <w:pPr>
      <w:widowControl w:val="0"/>
      <w:spacing w:line="100" w:lineRule="atLeast"/>
      <w:textAlignment w:val="baseline"/>
    </w:pPr>
    <w:rPr>
      <w:kern w:val="2"/>
      <w:sz w:val="24"/>
      <w:lang w:eastAsia="ar-SA"/>
    </w:rPr>
  </w:style>
  <w:style w:type="paragraph" w:customStyle="1" w:styleId="FrameContents">
    <w:name w:val="Frame Contents"/>
    <w:basedOn w:val="a"/>
    <w:qFormat/>
    <w:rsid w:val="00CB783F"/>
  </w:style>
  <w:style w:type="table" w:styleId="af9">
    <w:name w:val="Table Grid"/>
    <w:basedOn w:val="a1"/>
    <w:uiPriority w:val="59"/>
    <w:rsid w:val="00C30C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7.wmf"/><Relationship Id="rId42" Type="http://schemas.openxmlformats.org/officeDocument/2006/relationships/image" Target="media/image20.wmf"/><Relationship Id="rId47" Type="http://schemas.openxmlformats.org/officeDocument/2006/relationships/oleObject" Target="embeddings/oleObject19.bin"/><Relationship Id="rId50" Type="http://schemas.openxmlformats.org/officeDocument/2006/relationships/image" Target="media/image24.wmf"/><Relationship Id="rId55" Type="http://schemas.openxmlformats.org/officeDocument/2006/relationships/oleObject" Target="embeddings/oleObject24.bin"/><Relationship Id="rId63" Type="http://schemas.openxmlformats.org/officeDocument/2006/relationships/oleObject" Target="embeddings/oleObject30.bin"/><Relationship Id="rId68" Type="http://schemas.openxmlformats.org/officeDocument/2006/relationships/oleObject" Target="embeddings/oleObject35.bin"/><Relationship Id="rId76" Type="http://schemas.openxmlformats.org/officeDocument/2006/relationships/image" Target="media/image34.png"/><Relationship Id="rId7" Type="http://schemas.openxmlformats.org/officeDocument/2006/relationships/image" Target="media/image1.jpeg"/><Relationship Id="rId71"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image" Target="media/image25.wmf"/><Relationship Id="rId58" Type="http://schemas.openxmlformats.org/officeDocument/2006/relationships/oleObject" Target="embeddings/oleObject26.bin"/><Relationship Id="rId66" Type="http://schemas.openxmlformats.org/officeDocument/2006/relationships/oleObject" Target="embeddings/oleObject33.bin"/><Relationship Id="rId74" Type="http://schemas.openxmlformats.org/officeDocument/2006/relationships/image" Target="media/image32.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oleObject" Target="embeddings/oleObject28.bin"/><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oleObject" Target="embeddings/oleObject22.bin"/><Relationship Id="rId60" Type="http://schemas.openxmlformats.org/officeDocument/2006/relationships/oleObject" Target="embeddings/oleObject27.bin"/><Relationship Id="rId65" Type="http://schemas.openxmlformats.org/officeDocument/2006/relationships/oleObject" Target="embeddings/oleObject32.bin"/><Relationship Id="rId73" Type="http://schemas.openxmlformats.org/officeDocument/2006/relationships/image" Target="media/image31.png"/><Relationship Id="rId78" Type="http://schemas.openxmlformats.org/officeDocument/2006/relationships/header" Target="head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23.wmf"/><Relationship Id="rId56" Type="http://schemas.openxmlformats.org/officeDocument/2006/relationships/image" Target="media/image26.wmf"/><Relationship Id="rId64" Type="http://schemas.openxmlformats.org/officeDocument/2006/relationships/oleObject" Target="embeddings/oleObject31.bin"/><Relationship Id="rId69" Type="http://schemas.openxmlformats.org/officeDocument/2006/relationships/oleObject" Target="embeddings/oleObject36.bin"/><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oleObject" Target="embeddings/oleObject21.bin"/><Relationship Id="rId72" Type="http://schemas.openxmlformats.org/officeDocument/2006/relationships/image" Target="media/image30.pn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wmf"/><Relationship Id="rId46" Type="http://schemas.openxmlformats.org/officeDocument/2006/relationships/image" Target="media/image22.wmf"/><Relationship Id="rId59" Type="http://schemas.openxmlformats.org/officeDocument/2006/relationships/image" Target="media/image27.png"/><Relationship Id="rId67" Type="http://schemas.openxmlformats.org/officeDocument/2006/relationships/oleObject" Target="embeddings/oleObject34.bin"/><Relationship Id="rId20" Type="http://schemas.openxmlformats.org/officeDocument/2006/relationships/image" Target="media/image10.wmf"/><Relationship Id="rId41" Type="http://schemas.openxmlformats.org/officeDocument/2006/relationships/oleObject" Target="embeddings/oleObject16.bin"/><Relationship Id="rId54" Type="http://schemas.openxmlformats.org/officeDocument/2006/relationships/oleObject" Target="embeddings/oleObject23.bin"/><Relationship Id="rId62" Type="http://schemas.openxmlformats.org/officeDocument/2006/relationships/oleObject" Target="embeddings/oleObject29.bin"/><Relationship Id="rId70" Type="http://schemas.openxmlformats.org/officeDocument/2006/relationships/image" Target="media/image28.png"/><Relationship Id="rId75"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wmf"/><Relationship Id="rId49" Type="http://schemas.openxmlformats.org/officeDocument/2006/relationships/oleObject" Target="embeddings/oleObject20.bin"/><Relationship Id="rId57" Type="http://schemas.openxmlformats.org/officeDocument/2006/relationships/oleObject" Target="embeddings/oleObject2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308</TotalTime>
  <Pages>15</Pages>
  <Words>3674</Words>
  <Characters>20945</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Portable neutron generator with 9-section silicon a-detector</vt:lpstr>
    </vt:vector>
  </TitlesOfParts>
  <Company>VNIIA</Company>
  <LinksUpToDate>false</LinksUpToDate>
  <CharactersWithSpaces>24570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Portable neutron generator with 9-section silicon a-detector</dc:title>
  <dc:subject/>
  <dc:creator>user</dc:creator>
  <dc:description/>
  <cp:lastModifiedBy>YK</cp:lastModifiedBy>
  <cp:revision>4</cp:revision>
  <cp:lastPrinted>2023-05-15T08:37:00Z</cp:lastPrinted>
  <dcterms:created xsi:type="dcterms:W3CDTF">2023-04-06T12:44:00Z</dcterms:created>
  <dcterms:modified xsi:type="dcterms:W3CDTF">2023-05-15T12:50:00Z</dcterms:modified>
  <dc:language>en-US</dc:language>
</cp:coreProperties>
</file>