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7C08C" w14:textId="77777777" w:rsidR="00171D3B" w:rsidRDefault="00171D3B" w:rsidP="00171D3B">
      <w:pPr>
        <w:pStyle w:val="BodyL"/>
      </w:pPr>
    </w:p>
    <w:p w14:paraId="0512C6C1" w14:textId="77777777" w:rsidR="00171D3B" w:rsidRPr="00C3515A" w:rsidRDefault="00C3515A" w:rsidP="00C3515A">
      <w:pPr>
        <w:pStyle w:val="Rubric"/>
        <w:rPr>
          <w:lang w:val="en-US"/>
        </w:rPr>
      </w:pPr>
      <w:r>
        <w:rPr>
          <w:lang w:val="en-US"/>
        </w:rPr>
        <w:t>Eliducating the distinctions between open-state monomers and dimers of human tissue transglutaminase</w:t>
      </w:r>
    </w:p>
    <w:p w14:paraId="3C5F9263" w14:textId="25D0D674" w:rsidR="00171D3B" w:rsidRPr="00944587" w:rsidRDefault="00C3515A" w:rsidP="00171D3B">
      <w:pPr>
        <w:pStyle w:val="Author"/>
        <w:rPr>
          <w:lang w:val="en-US"/>
        </w:rPr>
      </w:pPr>
      <w:r>
        <w:rPr>
          <w:lang w:val="en-US"/>
        </w:rPr>
        <w:t>S.D. Ivashchenko</w:t>
      </w:r>
      <w:r>
        <w:rPr>
          <w:vertAlign w:val="superscript"/>
          <w:lang w:val="en-US"/>
        </w:rPr>
        <w:t>1</w:t>
      </w:r>
      <w:r>
        <w:rPr>
          <w:bCs/>
          <w:lang w:val="en-US"/>
        </w:rPr>
        <w:t>,</w:t>
      </w:r>
      <w:r>
        <w:rPr>
          <w:lang w:val="en-US"/>
        </w:rPr>
        <w:t xml:space="preserve"> A.V. Vlasov*</w:t>
      </w:r>
      <w:r>
        <w:rPr>
          <w:vertAlign w:val="superscript"/>
          <w:lang w:val="en-US"/>
        </w:rPr>
        <w:t>1</w:t>
      </w:r>
      <w:r w:rsidR="00944587">
        <w:rPr>
          <w:vertAlign w:val="superscript"/>
          <w:lang w:val="en-US"/>
        </w:rPr>
        <w:t>,2</w:t>
      </w:r>
    </w:p>
    <w:p w14:paraId="397FA340" w14:textId="77777777" w:rsidR="00171D3B" w:rsidRDefault="003725A6" w:rsidP="00171D3B">
      <w:pPr>
        <w:pStyle w:val="Address"/>
        <w:rPr>
          <w:lang w:val="en-US"/>
        </w:rPr>
      </w:pPr>
      <w:r>
        <w:rPr>
          <w:bCs/>
          <w:iCs/>
          <w:vertAlign w:val="superscript"/>
          <w:lang w:val="en-US"/>
        </w:rPr>
        <w:t>1</w:t>
      </w:r>
      <w:r w:rsidRPr="003725A6">
        <w:rPr>
          <w:lang w:val="en-US"/>
        </w:rPr>
        <w:t>Laboratory of Microbiology, BIOTECH University, 125080 Moscow, Russia</w:t>
      </w:r>
      <w:r w:rsidR="00171D3B" w:rsidRPr="003D3658">
        <w:rPr>
          <w:lang w:val="en-US"/>
        </w:rPr>
        <w:t xml:space="preserve"> </w:t>
      </w:r>
    </w:p>
    <w:p w14:paraId="7570E2B4" w14:textId="5ABA16CA" w:rsidR="00944587" w:rsidRPr="00944587" w:rsidRDefault="00944587" w:rsidP="00171D3B">
      <w:pPr>
        <w:pStyle w:val="Address"/>
        <w:rPr>
          <w:lang w:val="en-US"/>
        </w:rPr>
      </w:pPr>
      <w:r w:rsidRPr="00944587">
        <w:rPr>
          <w:vertAlign w:val="superscript"/>
          <w:lang w:val="en-US"/>
        </w:rPr>
        <w:t>2</w:t>
      </w:r>
      <w:r>
        <w:rPr>
          <w:lang w:val="en-US"/>
        </w:rPr>
        <w:t xml:space="preserve">Joint institute for nuclear research, </w:t>
      </w:r>
      <w:r w:rsidRPr="00944587">
        <w:rPr>
          <w:lang w:val="en-US"/>
        </w:rPr>
        <w:t xml:space="preserve">141980 </w:t>
      </w:r>
      <w:r>
        <w:rPr>
          <w:lang w:val="en-US"/>
        </w:rPr>
        <w:t>Dubna, Russia</w:t>
      </w:r>
    </w:p>
    <w:p w14:paraId="70A6AC6F" w14:textId="77777777" w:rsidR="00171D3B" w:rsidRPr="003D3658" w:rsidRDefault="00171D3B" w:rsidP="00171D3B">
      <w:pPr>
        <w:pStyle w:val="Address"/>
        <w:rPr>
          <w:lang w:val="en-US"/>
        </w:rPr>
      </w:pPr>
      <w:r w:rsidRPr="003D3658">
        <w:rPr>
          <w:lang w:val="en-US"/>
        </w:rPr>
        <w:t xml:space="preserve">e-mail: </w:t>
      </w:r>
      <w:r w:rsidR="00E45084">
        <w:rPr>
          <w:i w:val="0"/>
          <w:sz w:val="28"/>
          <w:szCs w:val="28"/>
          <w:lang w:val="en-US"/>
        </w:rPr>
        <w:t>vavplanet@mail.ru</w:t>
      </w:r>
    </w:p>
    <w:p w14:paraId="45320487" w14:textId="77777777" w:rsidR="00E45084" w:rsidRPr="00480430" w:rsidRDefault="00171D3B" w:rsidP="00E45084">
      <w:pPr>
        <w:pStyle w:val="Abstract"/>
        <w:rPr>
          <w:rFonts w:eastAsia="TT7BDFo00"/>
          <w:lang w:val="en-US"/>
        </w:rPr>
      </w:pPr>
      <w:r w:rsidRPr="00480430">
        <w:rPr>
          <w:b/>
          <w:color w:val="000000"/>
          <w:lang w:val="en-US"/>
        </w:rPr>
        <w:t>Abstract –</w:t>
      </w:r>
      <w:r w:rsidRPr="00480430">
        <w:rPr>
          <w:color w:val="000000"/>
          <w:lang w:val="en-US"/>
        </w:rPr>
        <w:t xml:space="preserve"> </w:t>
      </w:r>
      <w:r w:rsidR="00E45084" w:rsidRPr="00480430">
        <w:rPr>
          <w:rFonts w:eastAsia="TT7BDFo00"/>
          <w:lang w:val="en-US"/>
        </w:rPr>
        <w:t xml:space="preserve">Transglutaminase 2 (TG2) is a pivotal enzyme involved in various biological processes such as wound healing, apoptosis, and cell differentiation. Depending on the environmental conditions, TG2 can adopt two distinct conformations: the open and closed states. Notably, the open conformation of TG2 has been associated with the pathogenesis of several diseases, including celiac disease and certain cancers. Recent investigations have demonstrated that within human cells, open-state TG2 can exist both as monomers and as dimers. The monomeric form primarily exhibits </w:t>
      </w:r>
      <w:proofErr w:type="spellStart"/>
      <w:r w:rsidR="00E45084" w:rsidRPr="00480430">
        <w:rPr>
          <w:rFonts w:eastAsia="TT7BDFo00"/>
          <w:lang w:val="en-US"/>
        </w:rPr>
        <w:t>transamidation</w:t>
      </w:r>
      <w:proofErr w:type="spellEnd"/>
      <w:r w:rsidR="00E45084" w:rsidRPr="00480430">
        <w:rPr>
          <w:rFonts w:eastAsia="TT7BDFo00"/>
          <w:lang w:val="en-US"/>
        </w:rPr>
        <w:t xml:space="preserve"> activity, whereas the dimeric form is postulated to exert cytotoxic effects.</w:t>
      </w:r>
    </w:p>
    <w:p w14:paraId="2AE47F98" w14:textId="77777777" w:rsidR="00171D3B" w:rsidRDefault="00E45084" w:rsidP="00E45084">
      <w:pPr>
        <w:pStyle w:val="Abstract"/>
        <w:rPr>
          <w:color w:val="000000"/>
          <w:lang w:val="en-US"/>
        </w:rPr>
      </w:pPr>
      <w:r w:rsidRPr="00480430">
        <w:rPr>
          <w:rFonts w:eastAsia="TT7BDFo00"/>
          <w:lang w:val="en-US"/>
        </w:rPr>
        <w:t>While several structures of the monomeric open-state TG2 are available in the Protein Data Bank, structures representing the dimeric form remain elusive. The objective of this study is to elucidate the structural distinctions between TG2 monomers and dimers using small-angle X-ray scattering (SAXS).</w:t>
      </w:r>
    </w:p>
    <w:p w14:paraId="1AFFA7D0" w14:textId="77777777" w:rsidR="00171D3B" w:rsidRPr="008019F1" w:rsidRDefault="00171D3B" w:rsidP="00171D3B">
      <w:pPr>
        <w:pStyle w:val="Heading"/>
        <w:rPr>
          <w:b/>
          <w:lang w:val="en-US"/>
        </w:rPr>
      </w:pPr>
      <w:r w:rsidRPr="008019F1">
        <w:rPr>
          <w:b/>
          <w:lang w:val="en-US"/>
        </w:rPr>
        <w:t>INTRODUCTION</w:t>
      </w:r>
    </w:p>
    <w:p w14:paraId="5CD595E0" w14:textId="69D25872" w:rsidR="00B77654" w:rsidRDefault="002458AA" w:rsidP="00BA4016">
      <w:pPr>
        <w:pStyle w:val="BodyL"/>
        <w:rPr>
          <w:lang w:val="en-US"/>
        </w:rPr>
      </w:pPr>
      <w:r>
        <w:rPr>
          <w:lang w:val="en-US"/>
        </w:rPr>
        <w:t>Human t</w:t>
      </w:r>
      <w:r w:rsidR="00850482">
        <w:rPr>
          <w:lang w:val="en-US"/>
        </w:rPr>
        <w:t>issue transglutaminase (</w:t>
      </w:r>
      <w:proofErr w:type="spellStart"/>
      <w:r w:rsidR="00DA037A">
        <w:rPr>
          <w:lang w:val="en-US"/>
        </w:rPr>
        <w:t>tTG</w:t>
      </w:r>
      <w:proofErr w:type="spellEnd"/>
      <w:r w:rsidR="00C12889">
        <w:rPr>
          <w:lang w:val="en-US"/>
        </w:rPr>
        <w:t>, TG2</w:t>
      </w:r>
      <w:r w:rsidR="00DA037A">
        <w:rPr>
          <w:lang w:val="en-US"/>
        </w:rPr>
        <w:t xml:space="preserve">) is </w:t>
      </w:r>
      <w:r w:rsidR="00DA037A" w:rsidRPr="00DA037A">
        <w:rPr>
          <w:lang w:val="en-US"/>
        </w:rPr>
        <w:t>a multifunctional enzyme involved in various biological</w:t>
      </w:r>
      <w:r w:rsidR="001A7524">
        <w:rPr>
          <w:lang w:val="en-US"/>
        </w:rPr>
        <w:t xml:space="preserve"> processes, including cell growth</w:t>
      </w:r>
      <w:r w:rsidR="00DA037A" w:rsidRPr="00DA037A">
        <w:rPr>
          <w:lang w:val="en-US"/>
        </w:rPr>
        <w:t>, differentiation, and extr</w:t>
      </w:r>
      <w:r w:rsidR="00BA4016">
        <w:rPr>
          <w:lang w:val="en-US"/>
        </w:rPr>
        <w:t>acellular matrix stabilization</w:t>
      </w:r>
      <w:r w:rsidR="006F2ED0">
        <w:rPr>
          <w:lang w:val="en-US"/>
        </w:rPr>
        <w:t xml:space="preserve"> [1</w:t>
      </w:r>
      <w:r w:rsidR="001A7524">
        <w:rPr>
          <w:lang w:val="en-US"/>
        </w:rPr>
        <w:t>-2</w:t>
      </w:r>
      <w:r w:rsidR="006F2ED0">
        <w:rPr>
          <w:lang w:val="en-US"/>
        </w:rPr>
        <w:t>]</w:t>
      </w:r>
      <w:r w:rsidR="00171D3B" w:rsidRPr="0075056A">
        <w:rPr>
          <w:lang w:val="en-US"/>
        </w:rPr>
        <w:t>.</w:t>
      </w:r>
      <w:r w:rsidR="00EA546D">
        <w:rPr>
          <w:lang w:val="en-US"/>
        </w:rPr>
        <w:t xml:space="preserve"> </w:t>
      </w:r>
      <w:r w:rsidR="00EA546D" w:rsidRPr="00EA546D">
        <w:rPr>
          <w:lang w:val="en-US"/>
        </w:rPr>
        <w:t xml:space="preserve">Dysregulation of tissue transglutaminase has been implicated in a variety of diseases, including </w:t>
      </w:r>
      <w:r w:rsidR="00EA546D">
        <w:rPr>
          <w:lang w:val="en-US"/>
        </w:rPr>
        <w:t>autoimmune disorders and cancer</w:t>
      </w:r>
      <w:r w:rsidR="001A7524">
        <w:rPr>
          <w:lang w:val="en-US"/>
        </w:rPr>
        <w:t xml:space="preserve"> [3-4</w:t>
      </w:r>
      <w:r w:rsidR="006F2ED0">
        <w:rPr>
          <w:lang w:val="en-US"/>
        </w:rPr>
        <w:t>]</w:t>
      </w:r>
      <w:r w:rsidR="0075056A">
        <w:rPr>
          <w:lang w:val="en-US"/>
        </w:rPr>
        <w:t xml:space="preserve">. </w:t>
      </w:r>
      <w:r w:rsidR="00B77654">
        <w:rPr>
          <w:lang w:val="en-US"/>
        </w:rPr>
        <w:t xml:space="preserve">The role of </w:t>
      </w:r>
      <w:proofErr w:type="spellStart"/>
      <w:r w:rsidR="00B77654">
        <w:rPr>
          <w:lang w:val="en-US"/>
        </w:rPr>
        <w:t>tTG</w:t>
      </w:r>
      <w:proofErr w:type="spellEnd"/>
      <w:r w:rsidR="00B77654">
        <w:rPr>
          <w:lang w:val="en-US"/>
        </w:rPr>
        <w:t xml:space="preserve"> in the pathogenesis of celiac disease</w:t>
      </w:r>
      <w:r w:rsidR="00C95371">
        <w:rPr>
          <w:lang w:val="en-US"/>
        </w:rPr>
        <w:t xml:space="preserve"> (CD)</w:t>
      </w:r>
      <w:r w:rsidR="00B77654">
        <w:rPr>
          <w:lang w:val="en-US"/>
        </w:rPr>
        <w:t xml:space="preserve">, </w:t>
      </w:r>
      <w:r w:rsidR="00B77654" w:rsidRPr="00B77654">
        <w:rPr>
          <w:lang w:val="en-US"/>
        </w:rPr>
        <w:t xml:space="preserve">an autoimmune </w:t>
      </w:r>
      <w:r w:rsidR="00B77654">
        <w:rPr>
          <w:lang w:val="en-US"/>
        </w:rPr>
        <w:t xml:space="preserve">genetic </w:t>
      </w:r>
      <w:r w:rsidR="00B77654" w:rsidRPr="00B77654">
        <w:rPr>
          <w:lang w:val="en-US"/>
        </w:rPr>
        <w:t>disorder characterized</w:t>
      </w:r>
      <w:r w:rsidR="00B77654">
        <w:rPr>
          <w:lang w:val="en-US"/>
        </w:rPr>
        <w:t xml:space="preserve"> by immune reaction to gluten oligopeptides, has been extensively studied. </w:t>
      </w:r>
      <w:r w:rsidR="00D945BA">
        <w:rPr>
          <w:lang w:val="en-US"/>
        </w:rPr>
        <w:t xml:space="preserve">During the development of the disease, proteolyzed gluten proteins form a complex with tissue transglutaminase in the lamina propria, which leads to </w:t>
      </w:r>
      <w:r w:rsidR="00CB2B53">
        <w:rPr>
          <w:lang w:val="en-US"/>
        </w:rPr>
        <w:t xml:space="preserve">conversion of glutamine residues of the bound oligopeptide (Figure 1). This modification enhances </w:t>
      </w:r>
      <w:r w:rsidR="00DA037A">
        <w:rPr>
          <w:lang w:val="en-US"/>
        </w:rPr>
        <w:t>the binding affinity of oligopeptides to HLA-DQ2 or HLA-DQ8 receptors of antigen-presenting cells (APCs), which in return triggers two different immune responses: Th1 and Th2 pathway</w:t>
      </w:r>
      <w:r w:rsidR="00944587">
        <w:rPr>
          <w:lang w:val="en-US"/>
        </w:rPr>
        <w:t>s</w:t>
      </w:r>
      <w:r w:rsidR="001A7524">
        <w:rPr>
          <w:lang w:val="en-US"/>
        </w:rPr>
        <w:t xml:space="preserve"> [5</w:t>
      </w:r>
      <w:r w:rsidR="006F2ED0">
        <w:rPr>
          <w:lang w:val="en-US"/>
        </w:rPr>
        <w:t>]</w:t>
      </w:r>
      <w:r w:rsidR="00DA037A">
        <w:rPr>
          <w:lang w:val="en-US"/>
        </w:rPr>
        <w:t>.</w:t>
      </w:r>
    </w:p>
    <w:p w14:paraId="08E39EE0" w14:textId="77777777" w:rsidR="00C95371" w:rsidRPr="00716D61" w:rsidRDefault="00C95371" w:rsidP="00BA4016">
      <w:pPr>
        <w:pStyle w:val="BodyL"/>
        <w:rPr>
          <w:lang w:val="en-US"/>
        </w:rPr>
      </w:pPr>
      <w:r>
        <w:rPr>
          <w:lang w:val="en-US"/>
        </w:rPr>
        <w:t>The c</w:t>
      </w:r>
      <w:r w:rsidR="00B13F83">
        <w:rPr>
          <w:lang w:val="en-US"/>
        </w:rPr>
        <w:t xml:space="preserve">eliac disease is widespread: </w:t>
      </w:r>
      <w:r>
        <w:rPr>
          <w:lang w:val="en-US"/>
        </w:rPr>
        <w:t>up to 0.6% of the population have CD</w:t>
      </w:r>
      <w:r w:rsidR="00B13F83">
        <w:rPr>
          <w:lang w:val="en-US"/>
        </w:rPr>
        <w:t xml:space="preserve"> in Russia</w:t>
      </w:r>
      <w:r>
        <w:rPr>
          <w:lang w:val="en-US"/>
        </w:rPr>
        <w:t xml:space="preserve">, and worldwide </w:t>
      </w:r>
      <w:r w:rsidR="00B13F83">
        <w:rPr>
          <w:lang w:val="en-US"/>
        </w:rPr>
        <w:t>t</w:t>
      </w:r>
      <w:r w:rsidR="00B13F83" w:rsidRPr="00B13F83">
        <w:rPr>
          <w:lang w:val="en-US"/>
        </w:rPr>
        <w:t>he pooled global prevalence of celiac disease was 1.4%</w:t>
      </w:r>
      <w:r w:rsidR="001A7524">
        <w:rPr>
          <w:lang w:val="en-US"/>
        </w:rPr>
        <w:t xml:space="preserve"> [6-7</w:t>
      </w:r>
      <w:r w:rsidR="00A75B90">
        <w:rPr>
          <w:lang w:val="en-US"/>
        </w:rPr>
        <w:t>]</w:t>
      </w:r>
      <w:r w:rsidR="00B13F83">
        <w:rPr>
          <w:lang w:val="en-US"/>
        </w:rPr>
        <w:t xml:space="preserve">. </w:t>
      </w:r>
      <w:r w:rsidR="00716D61">
        <w:rPr>
          <w:lang w:val="en-US"/>
        </w:rPr>
        <w:t>Currently</w:t>
      </w:r>
      <w:r w:rsidR="0003276D">
        <w:rPr>
          <w:lang w:val="en-US"/>
        </w:rPr>
        <w:t xml:space="preserve"> there are no registered drugs for the celiac disease, </w:t>
      </w:r>
      <w:r w:rsidR="00716D61">
        <w:rPr>
          <w:lang w:val="en-US"/>
        </w:rPr>
        <w:t>and the only approved treatment is a strict gluten-free diet, which is challenging and in some cases does not eliminate symptoms</w:t>
      </w:r>
      <w:r w:rsidR="001A7524">
        <w:rPr>
          <w:lang w:val="en-US"/>
        </w:rPr>
        <w:t xml:space="preserve"> [8</w:t>
      </w:r>
      <w:r w:rsidR="006603F3">
        <w:rPr>
          <w:lang w:val="en-US"/>
        </w:rPr>
        <w:t>]</w:t>
      </w:r>
      <w:r w:rsidR="00716D61">
        <w:rPr>
          <w:lang w:val="en-US"/>
        </w:rPr>
        <w:t xml:space="preserve">. Tissue transglutaminase remains as a leading potential drug target in the CD patients; yet the properties of the enzyme are not fully understood. </w:t>
      </w:r>
    </w:p>
    <w:p w14:paraId="1F52AB74" w14:textId="750AA97E" w:rsidR="00183F67" w:rsidRPr="00BE7A56" w:rsidRDefault="0054297F" w:rsidP="00C12889">
      <w:pPr>
        <w:pStyle w:val="BodyL"/>
        <w:ind w:firstLine="0"/>
        <w:jc w:val="center"/>
        <w:rPr>
          <w:lang w:val="en-US"/>
        </w:rPr>
      </w:pPr>
      <w:r>
        <w:rPr>
          <w:noProof/>
          <w:lang w:eastAsia="ru-RU"/>
        </w:rPr>
        <w:lastRenderedPageBreak/>
        <w:drawing>
          <wp:inline distT="0" distB="0" distL="0" distR="0" wp14:anchorId="351544CE" wp14:editId="3400AC63">
            <wp:extent cx="4854361" cy="4915326"/>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eoretical.png"/>
                    <pic:cNvPicPr/>
                  </pic:nvPicPr>
                  <pic:blipFill>
                    <a:blip r:embed="rId5">
                      <a:extLst>
                        <a:ext uri="{28A0092B-C50C-407E-A947-70E740481C1C}">
                          <a14:useLocalDpi xmlns:a14="http://schemas.microsoft.com/office/drawing/2010/main" val="0"/>
                        </a:ext>
                      </a:extLst>
                    </a:blip>
                    <a:stretch>
                      <a:fillRect/>
                    </a:stretch>
                  </pic:blipFill>
                  <pic:spPr>
                    <a:xfrm>
                      <a:off x="0" y="0"/>
                      <a:ext cx="4854361" cy="4915326"/>
                    </a:xfrm>
                    <a:prstGeom prst="rect">
                      <a:avLst/>
                    </a:prstGeom>
                  </pic:spPr>
                </pic:pic>
              </a:graphicData>
            </a:graphic>
          </wp:inline>
        </w:drawing>
      </w:r>
    </w:p>
    <w:p w14:paraId="41883DD5" w14:textId="7E0BD68F" w:rsidR="00C12889" w:rsidRPr="00E641F8" w:rsidRDefault="00C12889" w:rsidP="00C12889">
      <w:pPr>
        <w:pStyle w:val="BodyL"/>
        <w:ind w:firstLine="0"/>
        <w:jc w:val="center"/>
        <w:rPr>
          <w:lang w:val="en-US"/>
        </w:rPr>
      </w:pPr>
      <w:r w:rsidRPr="00C12889">
        <w:rPr>
          <w:b/>
          <w:lang w:val="en-US"/>
        </w:rPr>
        <w:t xml:space="preserve">Figure </w:t>
      </w:r>
      <w:r w:rsidRPr="00BE7A56">
        <w:rPr>
          <w:b/>
          <w:lang w:val="en-US"/>
        </w:rPr>
        <w:t>1</w:t>
      </w:r>
      <w:r w:rsidRPr="00BE7A56">
        <w:rPr>
          <w:lang w:val="en-US"/>
        </w:rPr>
        <w:t>. Schematic representation of the molecular mechanism behi</w:t>
      </w:r>
      <w:r w:rsidR="00BE7A56" w:rsidRPr="00BE7A56">
        <w:rPr>
          <w:lang w:val="en-US"/>
        </w:rPr>
        <w:t xml:space="preserve">nd celiac disease. TG2 – </w:t>
      </w:r>
      <w:r w:rsidR="00E641F8" w:rsidRPr="00BE7A56">
        <w:rPr>
          <w:lang w:val="en-US"/>
        </w:rPr>
        <w:t xml:space="preserve">tissue transglutaminase; APC – antigen-presenting cell; MMP – matrix </w:t>
      </w:r>
      <w:r w:rsidR="00BE7A56" w:rsidRPr="00BE7A56">
        <w:rPr>
          <w:lang w:val="en-US"/>
        </w:rPr>
        <w:t xml:space="preserve">metalloproteinase; IEL – intraepithelial lymphocyte; </w:t>
      </w:r>
      <w:proofErr w:type="spellStart"/>
      <w:r w:rsidR="00BE7A56" w:rsidRPr="00BE7A56">
        <w:rPr>
          <w:lang w:val="en-US"/>
        </w:rPr>
        <w:t>IFNγ</w:t>
      </w:r>
      <w:proofErr w:type="spellEnd"/>
      <w:r w:rsidR="00BE7A56" w:rsidRPr="00BE7A56">
        <w:rPr>
          <w:lang w:val="en-US"/>
        </w:rPr>
        <w:t xml:space="preserve"> – interferon gamma; TNFα – tumor necrosis factor alpha.</w:t>
      </w:r>
    </w:p>
    <w:p w14:paraId="22B8F32A" w14:textId="06ADCBAB" w:rsidR="00FA7089" w:rsidRDefault="000C065A" w:rsidP="00FA7089">
      <w:pPr>
        <w:pStyle w:val="BodyL"/>
        <w:rPr>
          <w:lang w:val="en-US"/>
        </w:rPr>
      </w:pPr>
      <w:r w:rsidRPr="000C065A">
        <w:rPr>
          <w:lang w:val="en-US"/>
        </w:rPr>
        <w:t>T</w:t>
      </w:r>
      <w:r>
        <w:rPr>
          <w:lang w:val="en-US"/>
        </w:rPr>
        <w:t>issue transglutaminase in the human body exists in</w:t>
      </w:r>
      <w:r w:rsidRPr="000C065A">
        <w:rPr>
          <w:lang w:val="en-US"/>
        </w:rPr>
        <w:t xml:space="preserve"> two distinct </w:t>
      </w:r>
      <w:r>
        <w:rPr>
          <w:lang w:val="en-US"/>
        </w:rPr>
        <w:t xml:space="preserve">stable </w:t>
      </w:r>
      <w:r w:rsidR="001E3200">
        <w:rPr>
          <w:lang w:val="en-US"/>
        </w:rPr>
        <w:t xml:space="preserve">conformations - open and closed, - </w:t>
      </w:r>
      <w:r w:rsidRPr="000C065A">
        <w:rPr>
          <w:lang w:val="en-US"/>
        </w:rPr>
        <w:t xml:space="preserve">depending on the extrinsic conditions </w:t>
      </w:r>
      <w:r w:rsidR="001E3200">
        <w:rPr>
          <w:lang w:val="en-US"/>
        </w:rPr>
        <w:t>and presence of ligands</w:t>
      </w:r>
      <w:r w:rsidR="009D44A0">
        <w:rPr>
          <w:lang w:val="en-US"/>
        </w:rPr>
        <w:t xml:space="preserve"> with the affinity to specific conformation of </w:t>
      </w:r>
      <w:proofErr w:type="spellStart"/>
      <w:r w:rsidR="009D44A0">
        <w:rPr>
          <w:lang w:val="en-US"/>
        </w:rPr>
        <w:t>tTG</w:t>
      </w:r>
      <w:proofErr w:type="spellEnd"/>
      <w:r w:rsidR="0037761A">
        <w:rPr>
          <w:lang w:val="en-US"/>
        </w:rPr>
        <w:t xml:space="preserve"> [</w:t>
      </w:r>
      <w:r w:rsidR="001A7524">
        <w:rPr>
          <w:lang w:val="en-US"/>
        </w:rPr>
        <w:t>9</w:t>
      </w:r>
      <w:r w:rsidR="0037761A">
        <w:rPr>
          <w:lang w:val="en-US"/>
        </w:rPr>
        <w:t>]</w:t>
      </w:r>
      <w:r w:rsidR="001E3200">
        <w:rPr>
          <w:lang w:val="en-US"/>
        </w:rPr>
        <w:t>.</w:t>
      </w:r>
      <w:r w:rsidR="000042BB">
        <w:rPr>
          <w:lang w:val="en-US"/>
        </w:rPr>
        <w:t xml:space="preserve"> The conformations of </w:t>
      </w:r>
      <w:proofErr w:type="spellStart"/>
      <w:r w:rsidR="000042BB">
        <w:rPr>
          <w:lang w:val="en-US"/>
        </w:rPr>
        <w:t>tTG</w:t>
      </w:r>
      <w:proofErr w:type="spellEnd"/>
      <w:r w:rsidR="000042BB">
        <w:rPr>
          <w:lang w:val="en-US"/>
        </w:rPr>
        <w:t xml:space="preserve"> differ not only in their structural organization, but also in their cellular localization and functions.</w:t>
      </w:r>
      <w:r w:rsidR="001E3200">
        <w:rPr>
          <w:lang w:val="en-US"/>
        </w:rPr>
        <w:t xml:space="preserve"> </w:t>
      </w:r>
      <w:r w:rsidR="00FA7089">
        <w:rPr>
          <w:lang w:val="en-US"/>
        </w:rPr>
        <w:t xml:space="preserve">While closed conformation of the protein is identical to Gαh subunit of the dimeric </w:t>
      </w:r>
      <w:r w:rsidR="00FA7089" w:rsidRPr="00FA7089">
        <w:rPr>
          <w:lang w:val="en-US"/>
        </w:rPr>
        <w:t xml:space="preserve">G-protein </w:t>
      </w:r>
      <w:proofErr w:type="spellStart"/>
      <w:r w:rsidR="00FA7089" w:rsidRPr="00FA7089">
        <w:rPr>
          <w:lang w:val="en-US"/>
        </w:rPr>
        <w:t>Gh</w:t>
      </w:r>
      <w:proofErr w:type="spellEnd"/>
      <w:r w:rsidR="00FA7089" w:rsidRPr="00FA7089">
        <w:rPr>
          <w:lang w:val="en-US"/>
        </w:rPr>
        <w:t>,</w:t>
      </w:r>
      <w:r w:rsidR="00FA7089">
        <w:rPr>
          <w:lang w:val="en-US"/>
        </w:rPr>
        <w:t xml:space="preserve"> and is not involved in the CD development, </w:t>
      </w:r>
      <w:r w:rsidRPr="000C065A">
        <w:rPr>
          <w:lang w:val="en-US"/>
        </w:rPr>
        <w:t>the op</w:t>
      </w:r>
      <w:r w:rsidR="00FA7089">
        <w:rPr>
          <w:lang w:val="en-US"/>
        </w:rPr>
        <w:t>en conformation</w:t>
      </w:r>
      <w:r w:rsidRPr="000C065A">
        <w:rPr>
          <w:lang w:val="en-US"/>
        </w:rPr>
        <w:t xml:space="preserve"> plays a crucial role in the modification of gluten </w:t>
      </w:r>
      <w:r w:rsidR="00FA7089">
        <w:rPr>
          <w:lang w:val="en-US"/>
        </w:rPr>
        <w:t>oligo</w:t>
      </w:r>
      <w:r w:rsidRPr="000C065A">
        <w:rPr>
          <w:lang w:val="en-US"/>
        </w:rPr>
        <w:t>peptides during disease development</w:t>
      </w:r>
      <w:r w:rsidR="001A7524">
        <w:rPr>
          <w:lang w:val="en-US"/>
        </w:rPr>
        <w:t xml:space="preserve"> [</w:t>
      </w:r>
      <w:r w:rsidR="0037761A">
        <w:rPr>
          <w:lang w:val="en-US"/>
        </w:rPr>
        <w:t>10]</w:t>
      </w:r>
      <w:r w:rsidRPr="000C065A">
        <w:rPr>
          <w:lang w:val="en-US"/>
        </w:rPr>
        <w:t>.</w:t>
      </w:r>
      <w:r w:rsidR="008F4709">
        <w:rPr>
          <w:lang w:val="en-US"/>
        </w:rPr>
        <w:t xml:space="preserve"> </w:t>
      </w:r>
      <w:r w:rsidR="00FA7089">
        <w:rPr>
          <w:lang w:val="en-US"/>
        </w:rPr>
        <w:t>The</w:t>
      </w:r>
      <w:r w:rsidR="00FA7089" w:rsidRPr="00FA7089">
        <w:rPr>
          <w:lang w:val="en-US"/>
        </w:rPr>
        <w:t xml:space="preserve"> cysteine amino acid residue of </w:t>
      </w:r>
      <w:r w:rsidR="00FA7089">
        <w:rPr>
          <w:lang w:val="en-US"/>
        </w:rPr>
        <w:t xml:space="preserve">open form </w:t>
      </w:r>
      <w:r w:rsidR="00FA7089" w:rsidRPr="00FA7089">
        <w:rPr>
          <w:lang w:val="en-US"/>
        </w:rPr>
        <w:t>transglutaminase</w:t>
      </w:r>
      <w:r w:rsidR="0064555B" w:rsidRPr="0064555B">
        <w:rPr>
          <w:lang w:val="en-US"/>
        </w:rPr>
        <w:t xml:space="preserve"> (</w:t>
      </w:r>
      <w:r w:rsidR="00816841">
        <w:rPr>
          <w:lang w:val="en-US"/>
        </w:rPr>
        <w:t>C</w:t>
      </w:r>
      <w:r w:rsidR="0064555B" w:rsidRPr="0064555B">
        <w:rPr>
          <w:lang w:val="en-US"/>
        </w:rPr>
        <w:t>277)</w:t>
      </w:r>
      <w:r w:rsidR="00FA7089" w:rsidRPr="00FA7089">
        <w:rPr>
          <w:lang w:val="en-US"/>
        </w:rPr>
        <w:t xml:space="preserve"> attacks glutamine residue of gluten peptide, forming</w:t>
      </w:r>
      <w:r w:rsidR="00FA7089">
        <w:rPr>
          <w:lang w:val="en-US"/>
        </w:rPr>
        <w:t xml:space="preserve"> a complex. In the </w:t>
      </w:r>
      <w:proofErr w:type="spellStart"/>
      <w:r w:rsidR="00FA7089">
        <w:rPr>
          <w:lang w:val="en-US"/>
        </w:rPr>
        <w:t>tTG</w:t>
      </w:r>
      <w:proofErr w:type="spellEnd"/>
      <w:r w:rsidR="00FA7089">
        <w:rPr>
          <w:lang w:val="en-US"/>
        </w:rPr>
        <w:t xml:space="preserve">-peptide complex the reaction </w:t>
      </w:r>
      <w:r w:rsidR="00FA7089" w:rsidRPr="00FA7089">
        <w:rPr>
          <w:lang w:val="en-US"/>
        </w:rPr>
        <w:t>can g</w:t>
      </w:r>
      <w:r w:rsidR="00FA7089">
        <w:rPr>
          <w:lang w:val="en-US"/>
        </w:rPr>
        <w:t>o two wa</w:t>
      </w:r>
      <w:r w:rsidR="00FD31D2">
        <w:rPr>
          <w:lang w:val="en-US"/>
        </w:rPr>
        <w:t xml:space="preserve">ys: either </w:t>
      </w:r>
      <w:proofErr w:type="spellStart"/>
      <w:r w:rsidR="00FD31D2">
        <w:rPr>
          <w:lang w:val="en-US"/>
        </w:rPr>
        <w:t>transamidation</w:t>
      </w:r>
      <w:proofErr w:type="spellEnd"/>
      <w:r w:rsidR="00FD31D2">
        <w:rPr>
          <w:lang w:val="en-US"/>
        </w:rPr>
        <w:t xml:space="preserve">, when the oligopeptide connects to acyl acceptor, </w:t>
      </w:r>
      <w:r w:rsidR="00FA7089">
        <w:rPr>
          <w:lang w:val="en-US"/>
        </w:rPr>
        <w:t>or deamidation</w:t>
      </w:r>
      <w:r w:rsidR="00D16DE0">
        <w:rPr>
          <w:lang w:val="en-US"/>
        </w:rPr>
        <w:t xml:space="preserve"> [11</w:t>
      </w:r>
      <w:r w:rsidR="0037761A">
        <w:rPr>
          <w:lang w:val="en-US"/>
        </w:rPr>
        <w:t>]</w:t>
      </w:r>
      <w:r w:rsidR="00FA7089">
        <w:rPr>
          <w:lang w:val="en-US"/>
        </w:rPr>
        <w:t xml:space="preserve">. </w:t>
      </w:r>
      <w:r w:rsidR="00FA7089" w:rsidRPr="00FA7089">
        <w:rPr>
          <w:lang w:val="en-US"/>
        </w:rPr>
        <w:t>Interestingly, during the modifica</w:t>
      </w:r>
      <w:r w:rsidR="00F4117D">
        <w:rPr>
          <w:lang w:val="en-US"/>
        </w:rPr>
        <w:t xml:space="preserve">tion process, ammonia </w:t>
      </w:r>
      <w:proofErr w:type="gramStart"/>
      <w:r w:rsidR="00F4117D">
        <w:rPr>
          <w:lang w:val="en-US"/>
        </w:rPr>
        <w:t>is release</w:t>
      </w:r>
      <w:r w:rsidR="00FA7089" w:rsidRPr="00FA7089">
        <w:rPr>
          <w:lang w:val="en-US"/>
        </w:rPr>
        <w:t>d</w:t>
      </w:r>
      <w:proofErr w:type="gramEnd"/>
      <w:r w:rsidR="00FD31D2">
        <w:rPr>
          <w:lang w:val="en-US"/>
        </w:rPr>
        <w:t xml:space="preserve"> in both possible reactions with the peptide</w:t>
      </w:r>
      <w:r w:rsidR="00FA7089" w:rsidRPr="00FA7089">
        <w:rPr>
          <w:lang w:val="en-US"/>
        </w:rPr>
        <w:t>, which</w:t>
      </w:r>
      <w:r w:rsidR="00FD31D2">
        <w:rPr>
          <w:lang w:val="en-US"/>
        </w:rPr>
        <w:t xml:space="preserve"> means that the enzymatic activity of </w:t>
      </w:r>
      <w:proofErr w:type="spellStart"/>
      <w:r w:rsidR="00FD31D2">
        <w:rPr>
          <w:lang w:val="en-US"/>
        </w:rPr>
        <w:t>tTG</w:t>
      </w:r>
      <w:proofErr w:type="spellEnd"/>
      <w:r w:rsidR="00FD31D2">
        <w:rPr>
          <w:lang w:val="en-US"/>
        </w:rPr>
        <w:t xml:space="preserve"> can be detected using Nessler’s reagent</w:t>
      </w:r>
      <w:r w:rsidR="00D16DE0">
        <w:rPr>
          <w:lang w:val="en-US"/>
        </w:rPr>
        <w:t xml:space="preserve"> [12</w:t>
      </w:r>
      <w:r w:rsidR="0037761A">
        <w:rPr>
          <w:lang w:val="en-US"/>
        </w:rPr>
        <w:t>]</w:t>
      </w:r>
      <w:r w:rsidR="00FA7089" w:rsidRPr="00FA7089">
        <w:rPr>
          <w:lang w:val="en-US"/>
        </w:rPr>
        <w:t>.</w:t>
      </w:r>
    </w:p>
    <w:p w14:paraId="2C55637B" w14:textId="77777777" w:rsidR="009E0E86" w:rsidRPr="00BD7C57" w:rsidRDefault="003437D0" w:rsidP="00FA7089">
      <w:pPr>
        <w:pStyle w:val="BodyL"/>
        <w:rPr>
          <w:lang w:val="en-US"/>
        </w:rPr>
      </w:pPr>
      <w:r>
        <w:rPr>
          <w:lang w:val="en-US"/>
        </w:rPr>
        <w:lastRenderedPageBreak/>
        <w:t>S</w:t>
      </w:r>
      <w:r w:rsidRPr="003437D0">
        <w:rPr>
          <w:lang w:val="en-US"/>
        </w:rPr>
        <w:t>everal studies have demonstrated that the open conformation of transglutaminase is capable of dime</w:t>
      </w:r>
      <w:r w:rsidR="00BD7C57">
        <w:rPr>
          <w:lang w:val="en-US"/>
        </w:rPr>
        <w:t xml:space="preserve">rization resulting in the </w:t>
      </w:r>
      <w:r w:rsidRPr="003437D0">
        <w:rPr>
          <w:lang w:val="en-US"/>
        </w:rPr>
        <w:t>formation</w:t>
      </w:r>
      <w:r w:rsidR="00BD7C57">
        <w:rPr>
          <w:lang w:val="en-US"/>
        </w:rPr>
        <w:t xml:space="preserve"> of dimers which engender i</w:t>
      </w:r>
      <w:r w:rsidR="00BD7C57" w:rsidRPr="00BD7C57">
        <w:rPr>
          <w:lang w:val="en-US"/>
        </w:rPr>
        <w:t>nter-molecular cros</w:t>
      </w:r>
      <w:r w:rsidR="00BD7C57">
        <w:rPr>
          <w:lang w:val="en-US"/>
        </w:rPr>
        <w:t>slinking activity and are probably cytotoxic</w:t>
      </w:r>
      <w:r w:rsidR="00C94ACC">
        <w:rPr>
          <w:lang w:val="en-US"/>
        </w:rPr>
        <w:t xml:space="preserve"> [9</w:t>
      </w:r>
      <w:r w:rsidR="001D31FC">
        <w:rPr>
          <w:lang w:val="en-US"/>
        </w:rPr>
        <w:t>]</w:t>
      </w:r>
      <w:r w:rsidRPr="003437D0">
        <w:rPr>
          <w:lang w:val="en-US"/>
        </w:rPr>
        <w:t>.</w:t>
      </w:r>
      <w:r>
        <w:rPr>
          <w:lang w:val="en-US"/>
        </w:rPr>
        <w:t xml:space="preserve"> </w:t>
      </w:r>
      <w:r w:rsidR="005470E4">
        <w:rPr>
          <w:lang w:val="en-US"/>
        </w:rPr>
        <w:t>There are four</w:t>
      </w:r>
      <w:r>
        <w:rPr>
          <w:lang w:val="en-US"/>
        </w:rPr>
        <w:t xml:space="preserve"> resolved</w:t>
      </w:r>
      <w:r w:rsidR="005470E4">
        <w:rPr>
          <w:lang w:val="en-US"/>
        </w:rPr>
        <w:t xml:space="preserve"> structures of monomer</w:t>
      </w:r>
      <w:r>
        <w:rPr>
          <w:lang w:val="en-US"/>
        </w:rPr>
        <w:t>ic</w:t>
      </w:r>
      <w:r w:rsidR="005470E4">
        <w:rPr>
          <w:lang w:val="en-US"/>
        </w:rPr>
        <w:t xml:space="preserve"> open form </w:t>
      </w:r>
      <w:r>
        <w:rPr>
          <w:lang w:val="en-US"/>
        </w:rPr>
        <w:t xml:space="preserve">of </w:t>
      </w:r>
      <w:r w:rsidR="005470E4">
        <w:rPr>
          <w:lang w:val="en-US"/>
        </w:rPr>
        <w:t xml:space="preserve">tissue transglutaminase in the </w:t>
      </w:r>
      <w:proofErr w:type="spellStart"/>
      <w:r w:rsidR="005470E4">
        <w:rPr>
          <w:lang w:val="en-US"/>
        </w:rPr>
        <w:t>ProteinDataBank</w:t>
      </w:r>
      <w:proofErr w:type="spellEnd"/>
      <w:r>
        <w:rPr>
          <w:lang w:val="en-US"/>
        </w:rPr>
        <w:t xml:space="preserve"> (2q3z, 3s3j, 3s3p, 3s3s); however, there is none for the dimeric form of tissue transglutaminase.</w:t>
      </w:r>
      <w:r w:rsidR="005470E4">
        <w:rPr>
          <w:lang w:val="en-US"/>
        </w:rPr>
        <w:t xml:space="preserve"> </w:t>
      </w:r>
      <w:r>
        <w:rPr>
          <w:lang w:val="en-US"/>
        </w:rPr>
        <w:t xml:space="preserve">The binding </w:t>
      </w:r>
      <w:r w:rsidR="000D03F1">
        <w:rPr>
          <w:lang w:val="en-US"/>
        </w:rPr>
        <w:t xml:space="preserve">domain for </w:t>
      </w:r>
      <w:proofErr w:type="spellStart"/>
      <w:r w:rsidR="000D03F1">
        <w:rPr>
          <w:lang w:val="en-US"/>
        </w:rPr>
        <w:t>tTG</w:t>
      </w:r>
      <w:proofErr w:type="spellEnd"/>
      <w:r>
        <w:rPr>
          <w:lang w:val="en-US"/>
        </w:rPr>
        <w:t xml:space="preserve"> dimerization was established (residues 593-600)</w:t>
      </w:r>
      <w:r w:rsidR="00BD7C57">
        <w:rPr>
          <w:lang w:val="en-US"/>
        </w:rPr>
        <w:t>, and it was shown that the information about oligomeric state can be obtained using small-angle X-ray scattering (SAXS) analysis</w:t>
      </w:r>
      <w:r w:rsidR="00D16DE0">
        <w:rPr>
          <w:lang w:val="en-US"/>
        </w:rPr>
        <w:t xml:space="preserve"> [13</w:t>
      </w:r>
      <w:r w:rsidR="001D31FC">
        <w:rPr>
          <w:lang w:val="en-US"/>
        </w:rPr>
        <w:t>]</w:t>
      </w:r>
      <w:r w:rsidR="00BD7C57">
        <w:rPr>
          <w:lang w:val="en-US"/>
        </w:rPr>
        <w:t xml:space="preserve">. </w:t>
      </w:r>
      <w:r w:rsidR="007B013C">
        <w:rPr>
          <w:lang w:val="en-US"/>
        </w:rPr>
        <w:t xml:space="preserve">There is no data on whether the ligand binding of the open-form </w:t>
      </w:r>
      <w:proofErr w:type="spellStart"/>
      <w:r w:rsidR="007B013C">
        <w:rPr>
          <w:lang w:val="en-US"/>
        </w:rPr>
        <w:t>tTG</w:t>
      </w:r>
      <w:proofErr w:type="spellEnd"/>
      <w:r w:rsidR="007B013C">
        <w:rPr>
          <w:lang w:val="en-US"/>
        </w:rPr>
        <w:t xml:space="preserve"> affect</w:t>
      </w:r>
      <w:r w:rsidR="00BD7C57">
        <w:rPr>
          <w:lang w:val="en-US"/>
        </w:rPr>
        <w:t>s</w:t>
      </w:r>
      <w:r w:rsidR="007B013C">
        <w:rPr>
          <w:lang w:val="en-US"/>
        </w:rPr>
        <w:t xml:space="preserve"> the </w:t>
      </w:r>
      <w:proofErr w:type="spellStart"/>
      <w:r w:rsidR="00BD7C57">
        <w:rPr>
          <w:lang w:val="en-US"/>
        </w:rPr>
        <w:t>oligomeric</w:t>
      </w:r>
      <w:proofErr w:type="spellEnd"/>
      <w:r w:rsidR="00BD7C57">
        <w:rPr>
          <w:lang w:val="en-US"/>
        </w:rPr>
        <w:t xml:space="preserve"> state of the protein, which in return can lead to inhibitor dysfunction and should be taken into consideration during the CD </w:t>
      </w:r>
      <w:r w:rsidR="00EA6469">
        <w:rPr>
          <w:lang w:val="en-US"/>
        </w:rPr>
        <w:t xml:space="preserve">drug </w:t>
      </w:r>
      <w:r w:rsidR="00BD7C57">
        <w:rPr>
          <w:lang w:val="en-US"/>
        </w:rPr>
        <w:t>development.</w:t>
      </w:r>
    </w:p>
    <w:p w14:paraId="62D63BA0" w14:textId="6F317E84" w:rsidR="00183F67" w:rsidRPr="00EA6469" w:rsidRDefault="00BD7C57" w:rsidP="00171D3B">
      <w:pPr>
        <w:pStyle w:val="BodyL"/>
        <w:rPr>
          <w:lang w:val="en-US"/>
        </w:rPr>
      </w:pPr>
      <w:r>
        <w:rPr>
          <w:lang w:val="en-US"/>
        </w:rPr>
        <w:t xml:space="preserve">In this study, we applied </w:t>
      </w:r>
      <w:r w:rsidR="00EA6469">
        <w:rPr>
          <w:lang w:val="en-US"/>
        </w:rPr>
        <w:t xml:space="preserve">CRYSOL modeling </w:t>
      </w:r>
      <w:r w:rsidR="005063EE">
        <w:rPr>
          <w:lang w:val="en-US"/>
        </w:rPr>
        <w:t xml:space="preserve">[14] </w:t>
      </w:r>
      <w:r w:rsidR="00EA6469">
        <w:rPr>
          <w:lang w:val="en-US"/>
        </w:rPr>
        <w:t>to understand whether we can distinguish between monomeric and dimeric states of the human tissue transglutaminase using SAXS as well as between open and closed forms of the protein and between different dimeric organizations.</w:t>
      </w:r>
    </w:p>
    <w:p w14:paraId="4FBA5013" w14:textId="77777777" w:rsidR="00BE6C82" w:rsidRPr="008019F1" w:rsidRDefault="00BE6C82" w:rsidP="00BE6C82">
      <w:pPr>
        <w:pStyle w:val="Heading"/>
        <w:rPr>
          <w:b/>
          <w:lang w:val="en-US"/>
        </w:rPr>
      </w:pPr>
      <w:r w:rsidRPr="008019F1">
        <w:rPr>
          <w:b/>
          <w:lang w:val="en-US"/>
        </w:rPr>
        <w:t>Results</w:t>
      </w:r>
    </w:p>
    <w:p w14:paraId="399ED8C5" w14:textId="126F77D2" w:rsidR="00BE6C82" w:rsidRPr="003A0153" w:rsidRDefault="0001709C" w:rsidP="00BE6C82">
      <w:pPr>
        <w:pStyle w:val="BodyL"/>
        <w:rPr>
          <w:lang w:val="en-US"/>
        </w:rPr>
      </w:pPr>
      <w:r>
        <w:rPr>
          <w:lang w:val="en-US"/>
        </w:rPr>
        <w:t xml:space="preserve">The high-resolution </w:t>
      </w:r>
      <w:r w:rsidR="005E5F6B">
        <w:rPr>
          <w:lang w:val="en-US"/>
        </w:rPr>
        <w:t xml:space="preserve">structure of the open conformation of human tissue transglutaminase was obtained from 2q3z PDB file. We used HDOCK modeling </w:t>
      </w:r>
      <w:r w:rsidR="005063EE">
        <w:rPr>
          <w:lang w:val="en-US"/>
        </w:rPr>
        <w:t xml:space="preserve">[15] </w:t>
      </w:r>
      <w:r w:rsidR="005E5F6B">
        <w:rPr>
          <w:lang w:val="en-US"/>
        </w:rPr>
        <w:t xml:space="preserve">to explore possible dimer organization of open form </w:t>
      </w:r>
      <w:proofErr w:type="spellStart"/>
      <w:r w:rsidR="005E5F6B">
        <w:rPr>
          <w:lang w:val="en-US"/>
        </w:rPr>
        <w:t>tTG</w:t>
      </w:r>
      <w:proofErr w:type="spellEnd"/>
      <w:r w:rsidR="005E5F6B">
        <w:rPr>
          <w:lang w:val="en-US"/>
        </w:rPr>
        <w:t xml:space="preserve"> knowing the </w:t>
      </w:r>
      <w:r w:rsidR="00197511">
        <w:rPr>
          <w:lang w:val="en-US"/>
        </w:rPr>
        <w:t xml:space="preserve">localization of the protein </w:t>
      </w:r>
      <w:r w:rsidR="00EE5ABC">
        <w:rPr>
          <w:lang w:val="en-US"/>
        </w:rPr>
        <w:t>dimerization</w:t>
      </w:r>
      <w:r w:rsidR="005E5F6B">
        <w:rPr>
          <w:lang w:val="en-US"/>
        </w:rPr>
        <w:t xml:space="preserve"> domain (residues 593-600). </w:t>
      </w:r>
      <w:r w:rsidR="0012713D">
        <w:rPr>
          <w:lang w:val="en-US"/>
        </w:rPr>
        <w:t>The most representative diverse structural organizations of modelled dimers</w:t>
      </w:r>
      <w:r w:rsidR="00197511">
        <w:rPr>
          <w:lang w:val="en-US"/>
        </w:rPr>
        <w:t xml:space="preserve"> </w:t>
      </w:r>
      <w:proofErr w:type="gramStart"/>
      <w:r w:rsidR="00197511">
        <w:rPr>
          <w:lang w:val="en-US"/>
        </w:rPr>
        <w:t>are shown</w:t>
      </w:r>
      <w:proofErr w:type="gramEnd"/>
      <w:r w:rsidR="00197511">
        <w:rPr>
          <w:lang w:val="en-US"/>
        </w:rPr>
        <w:t xml:space="preserve"> </w:t>
      </w:r>
      <w:r w:rsidR="00745C74">
        <w:rPr>
          <w:lang w:val="en-US"/>
        </w:rPr>
        <w:t>in</w:t>
      </w:r>
      <w:r w:rsidR="00197511">
        <w:rPr>
          <w:lang w:val="en-US"/>
        </w:rPr>
        <w:t xml:space="preserve"> Figure 2; </w:t>
      </w:r>
      <w:r w:rsidR="003A0153">
        <w:rPr>
          <w:lang w:val="en-US"/>
        </w:rPr>
        <w:t>since it is known that the dimeric state enhances crosslinking activity</w:t>
      </w:r>
      <w:r w:rsidR="00744B54">
        <w:rPr>
          <w:lang w:val="en-US"/>
        </w:rPr>
        <w:t xml:space="preserve"> [13]</w:t>
      </w:r>
      <w:r w:rsidR="003A0153">
        <w:rPr>
          <w:lang w:val="en-US"/>
        </w:rPr>
        <w:t xml:space="preserve">, </w:t>
      </w:r>
      <w:r w:rsidR="008019F1">
        <w:rPr>
          <w:lang w:val="en-US"/>
        </w:rPr>
        <w:t xml:space="preserve">the most probable dimeric state is on the Figure 2B, </w:t>
      </w:r>
      <w:r w:rsidR="003A0153">
        <w:rPr>
          <w:lang w:val="en-US"/>
        </w:rPr>
        <w:t>where both of the binding sites are accessible.</w:t>
      </w:r>
    </w:p>
    <w:p w14:paraId="1DEEDEAD" w14:textId="070292D8" w:rsidR="00350E12" w:rsidRDefault="00046EC1" w:rsidP="008019F1">
      <w:pPr>
        <w:pStyle w:val="BodyL"/>
        <w:ind w:firstLine="0"/>
        <w:jc w:val="center"/>
        <w:rPr>
          <w:lang w:val="en-US"/>
        </w:rPr>
      </w:pPr>
      <w:r>
        <w:rPr>
          <w:noProof/>
          <w:lang w:eastAsia="ru-RU"/>
        </w:rPr>
        <w:drawing>
          <wp:inline distT="0" distB="0" distL="0" distR="0" wp14:anchorId="08C81E1F" wp14:editId="70AC0878">
            <wp:extent cx="5940425" cy="1329690"/>
            <wp:effectExtent l="0" t="0" r="3175"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1329690"/>
                    </a:xfrm>
                    <a:prstGeom prst="rect">
                      <a:avLst/>
                    </a:prstGeom>
                  </pic:spPr>
                </pic:pic>
              </a:graphicData>
            </a:graphic>
          </wp:inline>
        </w:drawing>
      </w:r>
    </w:p>
    <w:p w14:paraId="6FE155E8" w14:textId="77777777" w:rsidR="008019F1" w:rsidRPr="00BD7C57" w:rsidRDefault="008019F1" w:rsidP="008019F1">
      <w:pPr>
        <w:pStyle w:val="BodyL"/>
        <w:ind w:firstLine="0"/>
        <w:jc w:val="center"/>
        <w:rPr>
          <w:lang w:val="en-US"/>
        </w:rPr>
      </w:pPr>
      <w:r w:rsidRPr="008019F1">
        <w:rPr>
          <w:b/>
          <w:lang w:val="en-US"/>
        </w:rPr>
        <w:t>Figure 2</w:t>
      </w:r>
      <w:r>
        <w:rPr>
          <w:lang w:val="en-US"/>
        </w:rPr>
        <w:t xml:space="preserve">. Possible dimer organization of open form </w:t>
      </w:r>
      <w:proofErr w:type="spellStart"/>
      <w:r>
        <w:rPr>
          <w:lang w:val="en-US"/>
        </w:rPr>
        <w:t>tTG</w:t>
      </w:r>
      <w:proofErr w:type="spellEnd"/>
      <w:r>
        <w:rPr>
          <w:lang w:val="en-US"/>
        </w:rPr>
        <w:t>.</w:t>
      </w:r>
    </w:p>
    <w:p w14:paraId="32A994ED" w14:textId="245B26FC" w:rsidR="00183F67" w:rsidRPr="00363178" w:rsidRDefault="008019F1" w:rsidP="00BE6C82">
      <w:pPr>
        <w:pStyle w:val="BodyL"/>
        <w:rPr>
          <w:lang w:val="en-US"/>
        </w:rPr>
      </w:pPr>
      <w:r>
        <w:rPr>
          <w:lang w:val="en-US"/>
        </w:rPr>
        <w:t xml:space="preserve">To understand whether we can distinguish between </w:t>
      </w:r>
      <w:r w:rsidR="007F1A7F" w:rsidRPr="001A316D">
        <w:rPr>
          <w:lang w:val="en-US"/>
        </w:rPr>
        <w:t>tissue transglutaminase conformations and oligomeric states we applied CRYSOL</w:t>
      </w:r>
      <w:r w:rsidR="007F1A7F">
        <w:rPr>
          <w:lang w:val="en-US"/>
        </w:rPr>
        <w:t xml:space="preserve"> modeling. Using PDB structures of </w:t>
      </w:r>
      <w:r w:rsidR="008C3467">
        <w:rPr>
          <w:lang w:val="en-US"/>
        </w:rPr>
        <w:t xml:space="preserve">monomeric </w:t>
      </w:r>
      <w:r w:rsidR="007F1A7F">
        <w:rPr>
          <w:lang w:val="en-US"/>
        </w:rPr>
        <w:t xml:space="preserve">open </w:t>
      </w:r>
      <w:proofErr w:type="spellStart"/>
      <w:r w:rsidR="007F1A7F">
        <w:rPr>
          <w:lang w:val="en-US"/>
        </w:rPr>
        <w:t>tTG</w:t>
      </w:r>
      <w:proofErr w:type="spellEnd"/>
      <w:r w:rsidR="007F1A7F">
        <w:rPr>
          <w:lang w:val="en-US"/>
        </w:rPr>
        <w:t xml:space="preserve"> form and closed </w:t>
      </w:r>
      <w:proofErr w:type="spellStart"/>
      <w:r w:rsidR="007F1A7F">
        <w:rPr>
          <w:lang w:val="en-US"/>
        </w:rPr>
        <w:t>tTG</w:t>
      </w:r>
      <w:proofErr w:type="spellEnd"/>
      <w:r w:rsidR="007F1A7F">
        <w:rPr>
          <w:lang w:val="en-US"/>
        </w:rPr>
        <w:t xml:space="preserve"> form </w:t>
      </w:r>
      <w:r w:rsidR="008C3467">
        <w:rPr>
          <w:lang w:val="en-US"/>
        </w:rPr>
        <w:t xml:space="preserve">as well as HDOCK models of dimeric open </w:t>
      </w:r>
      <w:proofErr w:type="spellStart"/>
      <w:r w:rsidR="008C3467">
        <w:rPr>
          <w:lang w:val="en-US"/>
        </w:rPr>
        <w:t>tTG</w:t>
      </w:r>
      <w:proofErr w:type="spellEnd"/>
      <w:r w:rsidR="008C3467">
        <w:rPr>
          <w:lang w:val="en-US"/>
        </w:rPr>
        <w:t xml:space="preserve"> form we got theoretical results that are shown</w:t>
      </w:r>
      <w:r w:rsidR="00363178">
        <w:rPr>
          <w:lang w:val="en-US"/>
        </w:rPr>
        <w:t xml:space="preserve"> </w:t>
      </w:r>
      <w:r w:rsidR="00745C74">
        <w:rPr>
          <w:lang w:val="en-US"/>
        </w:rPr>
        <w:t>in</w:t>
      </w:r>
      <w:r w:rsidR="008C3467">
        <w:rPr>
          <w:lang w:val="en-US"/>
        </w:rPr>
        <w:t xml:space="preserve"> Figure 3. </w:t>
      </w:r>
      <w:r w:rsidR="00363178">
        <w:rPr>
          <w:lang w:val="en-US"/>
        </w:rPr>
        <w:t>According to the obtained</w:t>
      </w:r>
      <w:r w:rsidR="00DB1E46">
        <w:rPr>
          <w:lang w:val="en-US"/>
        </w:rPr>
        <w:t xml:space="preserve"> data, we will be able to distinguish</w:t>
      </w:r>
      <w:r w:rsidR="00363178">
        <w:rPr>
          <w:lang w:val="en-US"/>
        </w:rPr>
        <w:t xml:space="preserve"> betw</w:t>
      </w:r>
      <w:r w:rsidR="00DB1E46">
        <w:rPr>
          <w:lang w:val="en-US"/>
        </w:rPr>
        <w:t>een monomeric and dimeric state</w:t>
      </w:r>
      <w:r w:rsidR="00363178">
        <w:rPr>
          <w:lang w:val="en-US"/>
        </w:rPr>
        <w:t xml:space="preserve"> of the open conformati</w:t>
      </w:r>
      <w:r w:rsidR="00BD07FB">
        <w:rPr>
          <w:lang w:val="en-US"/>
        </w:rPr>
        <w:t>on using only SAXS data. M</w:t>
      </w:r>
      <w:r w:rsidR="00BB4BAF">
        <w:rPr>
          <w:lang w:val="en-US"/>
        </w:rPr>
        <w:t>oreover</w:t>
      </w:r>
      <w:r w:rsidR="00363178">
        <w:rPr>
          <w:lang w:val="en-US"/>
        </w:rPr>
        <w:t xml:space="preserve">, </w:t>
      </w:r>
      <w:r w:rsidR="00BB4BAF">
        <w:rPr>
          <w:lang w:val="en-US"/>
        </w:rPr>
        <w:t>we can</w:t>
      </w:r>
      <w:r w:rsidR="00363178">
        <w:rPr>
          <w:lang w:val="en-US"/>
        </w:rPr>
        <w:t xml:space="preserve"> distinguish open and closed conformations</w:t>
      </w:r>
      <w:r w:rsidR="00363178" w:rsidRPr="00363178">
        <w:rPr>
          <w:lang w:val="en-US"/>
        </w:rPr>
        <w:t xml:space="preserve"> </w:t>
      </w:r>
      <w:r w:rsidR="00363178">
        <w:rPr>
          <w:lang w:val="en-US"/>
        </w:rPr>
        <w:t>using only</w:t>
      </w:r>
      <w:r w:rsidR="00DB1E46">
        <w:rPr>
          <w:lang w:val="en-US"/>
        </w:rPr>
        <w:t xml:space="preserve"> this method, and we will be </w:t>
      </w:r>
      <w:r w:rsidR="00363178">
        <w:rPr>
          <w:lang w:val="en-US"/>
        </w:rPr>
        <w:t>able to confirm the correctness of o</w:t>
      </w:r>
      <w:r w:rsidR="00BB4BAF">
        <w:rPr>
          <w:lang w:val="en-US"/>
        </w:rPr>
        <w:t xml:space="preserve">ne particular HDOCK dimer model, because </w:t>
      </w:r>
      <w:r w:rsidR="00BD07FB">
        <w:rPr>
          <w:lang w:val="en-US"/>
        </w:rPr>
        <w:t>the difference between scattering intensities is higher than 10% and therefore it is detectable via SAXS method.</w:t>
      </w:r>
    </w:p>
    <w:p w14:paraId="2EC31473" w14:textId="41CDEC14" w:rsidR="00350E12" w:rsidRDefault="00B062A9" w:rsidP="00440A42">
      <w:pPr>
        <w:pStyle w:val="BodyL"/>
        <w:ind w:firstLine="0"/>
        <w:jc w:val="center"/>
      </w:pPr>
      <w:r>
        <w:rPr>
          <w:noProof/>
          <w:lang w:eastAsia="ru-RU"/>
        </w:rPr>
        <w:lastRenderedPageBreak/>
        <w:drawing>
          <wp:inline distT="0" distB="0" distL="0" distR="0" wp14:anchorId="13E69961" wp14:editId="5841DAC6">
            <wp:extent cx="5940425" cy="152654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3.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0425" cy="1526540"/>
                    </a:xfrm>
                    <a:prstGeom prst="rect">
                      <a:avLst/>
                    </a:prstGeom>
                  </pic:spPr>
                </pic:pic>
              </a:graphicData>
            </a:graphic>
          </wp:inline>
        </w:drawing>
      </w:r>
    </w:p>
    <w:p w14:paraId="0CF45D24" w14:textId="3DC30350" w:rsidR="00440A42" w:rsidRPr="00440A42" w:rsidRDefault="00440A42" w:rsidP="00440A42">
      <w:pPr>
        <w:pStyle w:val="BodyL"/>
        <w:ind w:firstLine="0"/>
        <w:jc w:val="center"/>
        <w:rPr>
          <w:lang w:val="en-US"/>
        </w:rPr>
      </w:pPr>
      <w:r w:rsidRPr="00B062A9">
        <w:rPr>
          <w:b/>
          <w:lang w:val="en-US"/>
        </w:rPr>
        <w:t>Figure 3.</w:t>
      </w:r>
      <w:r w:rsidR="00340447" w:rsidRPr="00B062A9">
        <w:rPr>
          <w:lang w:val="en-US"/>
        </w:rPr>
        <w:t xml:space="preserve"> Plots using theoretical SAXS data from CRYSOL modeling. </w:t>
      </w:r>
      <w:r w:rsidR="00FB76EB" w:rsidRPr="00B062A9">
        <w:rPr>
          <w:lang w:val="en-US"/>
        </w:rPr>
        <w:t>On the ho</w:t>
      </w:r>
      <w:r w:rsidR="00340447" w:rsidRPr="00B062A9">
        <w:rPr>
          <w:lang w:val="en-US"/>
        </w:rPr>
        <w:t xml:space="preserve">rizontal </w:t>
      </w:r>
      <w:proofErr w:type="gramStart"/>
      <w:r w:rsidR="00340447" w:rsidRPr="00B062A9">
        <w:rPr>
          <w:lang w:val="en-US"/>
        </w:rPr>
        <w:t>axis</w:t>
      </w:r>
      <w:proofErr w:type="gramEnd"/>
      <w:r w:rsidR="00340447" w:rsidRPr="00B062A9">
        <w:rPr>
          <w:lang w:val="en-US"/>
        </w:rPr>
        <w:t xml:space="preserve"> </w:t>
      </w:r>
      <w:r w:rsidR="00FB76EB" w:rsidRPr="00B062A9">
        <w:rPr>
          <w:lang w:val="en-US"/>
        </w:rPr>
        <w:t>the</w:t>
      </w:r>
      <w:r w:rsidR="00340447" w:rsidRPr="00B062A9">
        <w:rPr>
          <w:lang w:val="en-US"/>
        </w:rPr>
        <w:t xml:space="preserve"> modulus of vector of momentum transfer in reciprocal space</w:t>
      </w:r>
      <w:r w:rsidR="00830273" w:rsidRPr="00B062A9">
        <w:rPr>
          <w:lang w:val="en-US"/>
        </w:rPr>
        <w:t xml:space="preserve"> is displayed (</w:t>
      </w:r>
      <w:r w:rsidR="00FB76EB" w:rsidRPr="00B062A9">
        <w:rPr>
          <w:lang w:val="en-US"/>
        </w:rPr>
        <w:t xml:space="preserve">scattering </w:t>
      </w:r>
      <w:r w:rsidR="00340447" w:rsidRPr="00B062A9">
        <w:rPr>
          <w:lang w:val="en-US"/>
        </w:rPr>
        <w:t>vector</w:t>
      </w:r>
      <w:r w:rsidR="00830273" w:rsidRPr="00B062A9">
        <w:rPr>
          <w:lang w:val="en-US"/>
        </w:rPr>
        <w:t xml:space="preserve"> Q</w:t>
      </w:r>
      <w:r w:rsidR="00340447" w:rsidRPr="00B062A9">
        <w:rPr>
          <w:lang w:val="en-US"/>
        </w:rPr>
        <w:t xml:space="preserve">). Vertical axis shows </w:t>
      </w:r>
      <w:r w:rsidR="00745C74" w:rsidRPr="00B062A9">
        <w:rPr>
          <w:lang w:val="en-US"/>
        </w:rPr>
        <w:t xml:space="preserve">the scattering intensity in </w:t>
      </w:r>
      <w:r w:rsidR="00340447" w:rsidRPr="00B062A9">
        <w:rPr>
          <w:lang w:val="en-US"/>
        </w:rPr>
        <w:t>arbitrary units</w:t>
      </w:r>
      <w:r w:rsidR="00FB76EB" w:rsidRPr="00B062A9">
        <w:rPr>
          <w:lang w:val="en-US"/>
        </w:rPr>
        <w:t>.</w:t>
      </w:r>
      <w:r w:rsidR="00830273" w:rsidRPr="00B062A9">
        <w:rPr>
          <w:lang w:val="en-US"/>
        </w:rPr>
        <w:t xml:space="preserve"> Additional plot shows the ratio of difference between scattering intensities to the scattering intensity.</w:t>
      </w:r>
      <w:r w:rsidR="00340447" w:rsidRPr="00B062A9">
        <w:rPr>
          <w:lang w:val="en-US"/>
        </w:rPr>
        <w:t xml:space="preserve"> </w:t>
      </w:r>
      <w:r w:rsidR="00340447" w:rsidRPr="00B062A9">
        <w:rPr>
          <w:b/>
          <w:lang w:val="en-US"/>
        </w:rPr>
        <w:t xml:space="preserve">A. </w:t>
      </w:r>
      <w:r w:rsidR="00FB76EB" w:rsidRPr="00B062A9">
        <w:rPr>
          <w:lang w:val="en-US"/>
        </w:rPr>
        <w:t xml:space="preserve">Comparison of the open-form monomer with the open-form dimer. </w:t>
      </w:r>
      <w:r w:rsidR="00FB76EB" w:rsidRPr="00B062A9">
        <w:rPr>
          <w:b/>
          <w:lang w:val="en-US"/>
        </w:rPr>
        <w:t>B.</w:t>
      </w:r>
      <w:r w:rsidR="00FB76EB" w:rsidRPr="00B062A9">
        <w:rPr>
          <w:lang w:val="en-US"/>
        </w:rPr>
        <w:t xml:space="preserve"> Comparison of the open-form monomer with the closed-form monomer. </w:t>
      </w:r>
      <w:r w:rsidR="00FB76EB" w:rsidRPr="00B062A9">
        <w:rPr>
          <w:b/>
          <w:lang w:val="en-US"/>
        </w:rPr>
        <w:t>C.</w:t>
      </w:r>
      <w:r w:rsidR="00FB76EB" w:rsidRPr="00B062A9">
        <w:rPr>
          <w:lang w:val="en-US"/>
        </w:rPr>
        <w:t xml:space="preserve"> Co</w:t>
      </w:r>
      <w:r w:rsidR="00830273" w:rsidRPr="00B062A9">
        <w:rPr>
          <w:lang w:val="en-US"/>
        </w:rPr>
        <w:t xml:space="preserve">mparison of two open-form HDOCK </w:t>
      </w:r>
      <w:r w:rsidR="00FB76EB" w:rsidRPr="00B062A9">
        <w:rPr>
          <w:lang w:val="en-US"/>
        </w:rPr>
        <w:t>dimer models.</w:t>
      </w:r>
    </w:p>
    <w:p w14:paraId="15A5EDFF" w14:textId="77777777" w:rsidR="00BE6C82" w:rsidRPr="00FB76EB" w:rsidRDefault="00BE6C82" w:rsidP="00BE6C82">
      <w:pPr>
        <w:pStyle w:val="Heading"/>
        <w:rPr>
          <w:b/>
          <w:lang w:val="en-US"/>
        </w:rPr>
      </w:pPr>
      <w:r w:rsidRPr="00FB76EB">
        <w:rPr>
          <w:b/>
          <w:lang w:val="en-US"/>
        </w:rPr>
        <w:t>ConclusION</w:t>
      </w:r>
    </w:p>
    <w:p w14:paraId="19A800CB" w14:textId="74643A98" w:rsidR="008D3338" w:rsidRDefault="008D3338" w:rsidP="008D3338">
      <w:pPr>
        <w:pStyle w:val="BodyL"/>
        <w:rPr>
          <w:lang w:val="en-US"/>
        </w:rPr>
      </w:pPr>
      <w:r>
        <w:rPr>
          <w:lang w:val="en-US"/>
        </w:rPr>
        <w:t>According to the obtained data, open-form monomers and dimers of tissue transglutaminase are easily distinguishable,</w:t>
      </w:r>
      <w:r w:rsidR="00081A43" w:rsidRPr="00081A43">
        <w:rPr>
          <w:lang w:val="en-US"/>
        </w:rPr>
        <w:t xml:space="preserve"> </w:t>
      </w:r>
      <w:r w:rsidR="00495DE9">
        <w:rPr>
          <w:lang w:val="en-US"/>
        </w:rPr>
        <w:t>and</w:t>
      </w:r>
      <w:r w:rsidR="00081A43">
        <w:rPr>
          <w:lang w:val="en-US"/>
        </w:rPr>
        <w:t xml:space="preserve"> the difference between open and closed forms</w:t>
      </w:r>
      <w:r w:rsidR="000B17DD">
        <w:rPr>
          <w:lang w:val="en-US"/>
        </w:rPr>
        <w:t xml:space="preserve"> of the protein is likely to be detected</w:t>
      </w:r>
      <w:r w:rsidR="00081A43">
        <w:rPr>
          <w:lang w:val="en-US"/>
        </w:rPr>
        <w:t xml:space="preserve"> using SAXS method. T</w:t>
      </w:r>
      <w:r>
        <w:rPr>
          <w:lang w:val="en-US"/>
        </w:rPr>
        <w:t>h</w:t>
      </w:r>
      <w:r w:rsidR="00081A43">
        <w:rPr>
          <w:lang w:val="en-US"/>
        </w:rPr>
        <w:t>us</w:t>
      </w:r>
      <w:r>
        <w:rPr>
          <w:lang w:val="en-US"/>
        </w:rPr>
        <w:t xml:space="preserve">, </w:t>
      </w:r>
      <w:r w:rsidR="00081A43">
        <w:rPr>
          <w:lang w:val="en-US"/>
        </w:rPr>
        <w:t xml:space="preserve">in further experiments one can check by SAXS whether </w:t>
      </w:r>
      <w:r>
        <w:rPr>
          <w:lang w:val="en-US"/>
        </w:rPr>
        <w:t xml:space="preserve">the ligand binding affects </w:t>
      </w:r>
      <w:proofErr w:type="spellStart"/>
      <w:r>
        <w:rPr>
          <w:lang w:val="en-US"/>
        </w:rPr>
        <w:t>oligomeric</w:t>
      </w:r>
      <w:proofErr w:type="spellEnd"/>
      <w:r>
        <w:rPr>
          <w:lang w:val="en-US"/>
        </w:rPr>
        <w:t xml:space="preserve"> state </w:t>
      </w:r>
      <w:r w:rsidR="00495DE9">
        <w:rPr>
          <w:lang w:val="en-US"/>
        </w:rPr>
        <w:t xml:space="preserve">and conformation </w:t>
      </w:r>
      <w:r>
        <w:rPr>
          <w:lang w:val="en-US"/>
        </w:rPr>
        <w:t xml:space="preserve">of the protein. </w:t>
      </w:r>
      <w:r w:rsidR="00502B83">
        <w:rPr>
          <w:lang w:val="en-US"/>
        </w:rPr>
        <w:t xml:space="preserve">The difference between HDOCK models of tissue transglutaminase dimers is also detectable by SAXS, so it is easier to understand structural organization of the dimeric state of the protein. </w:t>
      </w:r>
      <w:r w:rsidR="005F4BFC" w:rsidRPr="005F4BFC">
        <w:rPr>
          <w:lang w:val="en-US"/>
        </w:rPr>
        <w:t xml:space="preserve">Future structural studies of </w:t>
      </w:r>
      <w:proofErr w:type="spellStart"/>
      <w:r w:rsidR="005F4BFC" w:rsidRPr="005F4BFC">
        <w:rPr>
          <w:lang w:val="en-US"/>
        </w:rPr>
        <w:t>tTG</w:t>
      </w:r>
      <w:proofErr w:type="spellEnd"/>
      <w:r w:rsidR="005F4BFC" w:rsidRPr="005F4BFC">
        <w:rPr>
          <w:lang w:val="en-US"/>
        </w:rPr>
        <w:t xml:space="preserve"> can also include a wide-angle X-ray scattering (WAXS) for more accurate assessment of the protein conformation.</w:t>
      </w:r>
    </w:p>
    <w:p w14:paraId="515C099B" w14:textId="12A184CC" w:rsidR="009476FA" w:rsidRPr="00FB76EB" w:rsidRDefault="009476FA" w:rsidP="009476FA">
      <w:pPr>
        <w:pStyle w:val="Heading"/>
        <w:rPr>
          <w:b/>
          <w:lang w:val="en-US"/>
        </w:rPr>
      </w:pPr>
      <w:r>
        <w:rPr>
          <w:b/>
          <w:lang w:val="en-US"/>
        </w:rPr>
        <w:t>Funding</w:t>
      </w:r>
    </w:p>
    <w:p w14:paraId="5633E13E" w14:textId="153E7D71" w:rsidR="009476FA" w:rsidRPr="005063EE" w:rsidRDefault="009476FA" w:rsidP="008D3338">
      <w:pPr>
        <w:pStyle w:val="BodyL"/>
        <w:rPr>
          <w:lang w:val="en-US"/>
        </w:rPr>
      </w:pPr>
      <w:r w:rsidRPr="009476FA">
        <w:rPr>
          <w:lang w:val="en-US"/>
        </w:rPr>
        <w:t>This study was supported by</w:t>
      </w:r>
      <w:bookmarkStart w:id="0" w:name="_GoBack"/>
      <w:bookmarkEnd w:id="0"/>
      <w:r w:rsidR="009E06E6" w:rsidRPr="009E06E6">
        <w:rPr>
          <w:lang w:val="en-US"/>
        </w:rPr>
        <w:t xml:space="preserve"> the Ministry of Science and Higher Education of the RF, project FSMF-2023-0010; “Integrated structural biology and genetics for the production of protein preparations and biologically active substances as new food and non-food products.”.</w:t>
      </w:r>
    </w:p>
    <w:p w14:paraId="5D332537" w14:textId="77777777" w:rsidR="00BE6C82" w:rsidRPr="00FB76EB" w:rsidRDefault="00927ED7" w:rsidP="00BE6C82">
      <w:pPr>
        <w:pStyle w:val="Heading"/>
        <w:rPr>
          <w:b/>
          <w:lang w:val="en-US"/>
        </w:rPr>
      </w:pPr>
      <w:r w:rsidRPr="00FB76EB">
        <w:rPr>
          <w:b/>
          <w:lang w:val="en-US"/>
        </w:rPr>
        <w:t>References</w:t>
      </w:r>
    </w:p>
    <w:p w14:paraId="0E279509" w14:textId="77777777" w:rsidR="00927ED7" w:rsidRPr="00D16A28" w:rsidRDefault="00D318E8" w:rsidP="00D318E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szCs w:val="20"/>
          <w:lang w:val="en-US" w:eastAsia="ru-RU"/>
        </w:rPr>
      </w:pPr>
      <w:r w:rsidRPr="00D16A28">
        <w:rPr>
          <w:rFonts w:ascii="Times New Roman" w:eastAsia="Times New Roman" w:hAnsi="Times New Roman" w:cs="Times New Roman"/>
          <w:i/>
          <w:iCs/>
          <w:color w:val="000000" w:themeColor="text1"/>
          <w:sz w:val="24"/>
          <w:szCs w:val="24"/>
          <w:lang w:val="en-US" w:eastAsia="ru-RU"/>
        </w:rPr>
        <w:t>Aeschlimann D., Mosher D., Paulsson M.</w:t>
      </w:r>
      <w:r w:rsidR="00927ED7" w:rsidRPr="00D16A28">
        <w:rPr>
          <w:rFonts w:ascii="Times New Roman" w:eastAsia="Times New Roman" w:hAnsi="Times New Roman" w:cs="Times New Roman"/>
          <w:color w:val="000000" w:themeColor="text1"/>
          <w:sz w:val="24"/>
          <w:szCs w:val="24"/>
          <w:lang w:val="en-US" w:eastAsia="ru-RU"/>
        </w:rPr>
        <w:t xml:space="preserve"> </w:t>
      </w:r>
      <w:r w:rsidRPr="00D16A28">
        <w:rPr>
          <w:rFonts w:ascii="Times New Roman" w:eastAsia="Times New Roman" w:hAnsi="Times New Roman" w:cs="Times New Roman"/>
          <w:color w:val="000000" w:themeColor="text1"/>
          <w:sz w:val="24"/>
          <w:szCs w:val="24"/>
          <w:lang w:val="en-US" w:eastAsia="ru-RU"/>
        </w:rPr>
        <w:t>Tissue transglutaminase and factor XIII in cartilage and bone remodeling // Seminars in thrombosis and hemostasis, 1996.</w:t>
      </w:r>
      <w:r w:rsidR="001A7524" w:rsidRPr="00D16A28">
        <w:rPr>
          <w:rFonts w:ascii="Times New Roman" w:eastAsia="Times New Roman" w:hAnsi="Times New Roman" w:cs="Times New Roman"/>
          <w:color w:val="000000" w:themeColor="text1"/>
          <w:sz w:val="24"/>
          <w:szCs w:val="24"/>
          <w:lang w:val="en-US" w:eastAsia="ru-RU"/>
        </w:rPr>
        <w:t xml:space="preserve"> </w:t>
      </w:r>
      <w:r w:rsidRPr="00D16A28">
        <w:rPr>
          <w:rFonts w:ascii="Times New Roman" w:eastAsia="Times New Roman" w:hAnsi="Times New Roman" w:cs="Times New Roman"/>
          <w:color w:val="000000" w:themeColor="text1"/>
          <w:sz w:val="24"/>
          <w:szCs w:val="24"/>
          <w:lang w:val="en-US" w:eastAsia="ru-RU"/>
        </w:rPr>
        <w:t>V. 22(5). P. 437–443</w:t>
      </w:r>
      <w:r w:rsidR="001A7524" w:rsidRPr="00D16A28">
        <w:rPr>
          <w:rFonts w:ascii="Times New Roman" w:eastAsia="Times New Roman" w:hAnsi="Times New Roman" w:cs="Times New Roman"/>
          <w:color w:val="000000" w:themeColor="text1"/>
          <w:sz w:val="24"/>
          <w:szCs w:val="24"/>
          <w:lang w:val="en-US" w:eastAsia="ru-RU"/>
        </w:rPr>
        <w:t>.</w:t>
      </w:r>
    </w:p>
    <w:p w14:paraId="1F8D3CE2" w14:textId="77777777" w:rsidR="00927ED7" w:rsidRPr="00D16A28" w:rsidRDefault="00766370" w:rsidP="00766370">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szCs w:val="20"/>
          <w:lang w:val="en-US" w:eastAsia="ru-RU"/>
        </w:rPr>
      </w:pPr>
      <w:proofErr w:type="spellStart"/>
      <w:r w:rsidRPr="00D16A28">
        <w:rPr>
          <w:rFonts w:ascii="Times New Roman" w:eastAsia="Times New Roman" w:hAnsi="Times New Roman" w:cs="Times New Roman"/>
          <w:i/>
          <w:color w:val="000000" w:themeColor="text1"/>
          <w:sz w:val="24"/>
          <w:szCs w:val="24"/>
          <w:lang w:val="en-US" w:eastAsia="ru-RU"/>
        </w:rPr>
        <w:t>Schittny</w:t>
      </w:r>
      <w:proofErr w:type="spellEnd"/>
      <w:r w:rsidRPr="00D16A28">
        <w:rPr>
          <w:rFonts w:ascii="Times New Roman" w:eastAsia="Times New Roman" w:hAnsi="Times New Roman" w:cs="Times New Roman"/>
          <w:i/>
          <w:color w:val="000000" w:themeColor="text1"/>
          <w:sz w:val="24"/>
          <w:szCs w:val="24"/>
          <w:lang w:val="en-US" w:eastAsia="ru-RU"/>
        </w:rPr>
        <w:t xml:space="preserve"> J. C., Paulsson M., Vallan C., Burri P. H., </w:t>
      </w:r>
      <w:proofErr w:type="spellStart"/>
      <w:r w:rsidRPr="00D16A28">
        <w:rPr>
          <w:rFonts w:ascii="Times New Roman" w:eastAsia="Times New Roman" w:hAnsi="Times New Roman" w:cs="Times New Roman"/>
          <w:i/>
          <w:color w:val="000000" w:themeColor="text1"/>
          <w:sz w:val="24"/>
          <w:szCs w:val="24"/>
          <w:lang w:val="en-US" w:eastAsia="ru-RU"/>
        </w:rPr>
        <w:t>Kedei</w:t>
      </w:r>
      <w:proofErr w:type="spellEnd"/>
      <w:r w:rsidRPr="00D16A28">
        <w:rPr>
          <w:rFonts w:ascii="Times New Roman" w:eastAsia="Times New Roman" w:hAnsi="Times New Roman" w:cs="Times New Roman"/>
          <w:i/>
          <w:color w:val="000000" w:themeColor="text1"/>
          <w:sz w:val="24"/>
          <w:szCs w:val="24"/>
          <w:lang w:val="en-US" w:eastAsia="ru-RU"/>
        </w:rPr>
        <w:t xml:space="preserve"> N., Aeschlimann D.</w:t>
      </w:r>
      <w:r w:rsidRPr="00D16A28">
        <w:rPr>
          <w:rFonts w:ascii="Times New Roman" w:eastAsia="Times New Roman" w:hAnsi="Times New Roman" w:cs="Times New Roman"/>
          <w:color w:val="000000" w:themeColor="text1"/>
          <w:sz w:val="24"/>
          <w:szCs w:val="24"/>
          <w:lang w:val="en-US" w:eastAsia="ru-RU"/>
        </w:rPr>
        <w:t xml:space="preserve"> Protein cross-linking mediated by tissue transglutaminase correlates with the maturation of extracellular matrices during lung development // American journal of respiratory cell and molecular biology, 1997. V. 17(3). P. 334–343.</w:t>
      </w:r>
    </w:p>
    <w:p w14:paraId="08656FF0" w14:textId="77777777" w:rsidR="00927ED7" w:rsidRPr="00D16A28" w:rsidRDefault="00B56C72" w:rsidP="00B56C7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szCs w:val="20"/>
          <w:lang w:val="en-US" w:eastAsia="ru-RU"/>
        </w:rPr>
      </w:pPr>
      <w:r w:rsidRPr="00D16A28">
        <w:rPr>
          <w:rFonts w:ascii="Times New Roman" w:eastAsia="Times New Roman" w:hAnsi="Times New Roman" w:cs="Times New Roman"/>
          <w:i/>
          <w:iCs/>
          <w:color w:val="000000" w:themeColor="text1"/>
          <w:sz w:val="24"/>
          <w:szCs w:val="24"/>
          <w:lang w:val="en-US" w:eastAsia="ru-RU"/>
        </w:rPr>
        <w:lastRenderedPageBreak/>
        <w:t xml:space="preserve">Kárpáti S., Sárdy M., Németh K., Mayer B., Smyth N., Paulsson M., </w:t>
      </w:r>
      <w:proofErr w:type="spellStart"/>
      <w:r w:rsidRPr="00D16A28">
        <w:rPr>
          <w:rFonts w:ascii="Times New Roman" w:eastAsia="Times New Roman" w:hAnsi="Times New Roman" w:cs="Times New Roman"/>
          <w:i/>
          <w:iCs/>
          <w:color w:val="000000" w:themeColor="text1"/>
          <w:sz w:val="24"/>
          <w:szCs w:val="24"/>
          <w:lang w:val="en-US" w:eastAsia="ru-RU"/>
        </w:rPr>
        <w:t>Traupe</w:t>
      </w:r>
      <w:proofErr w:type="spellEnd"/>
      <w:r w:rsidRPr="00D16A28">
        <w:rPr>
          <w:rFonts w:ascii="Times New Roman" w:eastAsia="Times New Roman" w:hAnsi="Times New Roman" w:cs="Times New Roman"/>
          <w:i/>
          <w:iCs/>
          <w:color w:val="000000" w:themeColor="text1"/>
          <w:sz w:val="24"/>
          <w:szCs w:val="24"/>
          <w:lang w:val="en-US" w:eastAsia="ru-RU"/>
        </w:rPr>
        <w:t xml:space="preserve"> H</w:t>
      </w:r>
      <w:r w:rsidRPr="00D16A28">
        <w:rPr>
          <w:rFonts w:ascii="Times New Roman" w:eastAsia="Times New Roman" w:hAnsi="Times New Roman" w:cs="Times New Roman"/>
          <w:color w:val="000000" w:themeColor="text1"/>
          <w:sz w:val="24"/>
          <w:szCs w:val="24"/>
          <w:lang w:val="en-US" w:eastAsia="ru-RU"/>
        </w:rPr>
        <w:t>. Transglutaminases in autoimmune and inherited skin diseases: The phenomena of epitope spreading and functional compensation // Experimental</w:t>
      </w:r>
      <w:r w:rsidR="00754ACD" w:rsidRPr="00D16A28">
        <w:rPr>
          <w:rFonts w:ascii="Times New Roman" w:eastAsia="Times New Roman" w:hAnsi="Times New Roman" w:cs="Times New Roman"/>
          <w:color w:val="000000" w:themeColor="text1"/>
          <w:sz w:val="24"/>
          <w:szCs w:val="24"/>
          <w:lang w:val="en-US" w:eastAsia="ru-RU"/>
        </w:rPr>
        <w:t xml:space="preserve"> d</w:t>
      </w:r>
      <w:r w:rsidRPr="00D16A28">
        <w:rPr>
          <w:rFonts w:ascii="Times New Roman" w:eastAsia="Times New Roman" w:hAnsi="Times New Roman" w:cs="Times New Roman"/>
          <w:color w:val="000000" w:themeColor="text1"/>
          <w:sz w:val="24"/>
          <w:szCs w:val="24"/>
          <w:lang w:val="en-US" w:eastAsia="ru-RU"/>
        </w:rPr>
        <w:t>ermatology, 2018. V. 27. P. 807–814.</w:t>
      </w:r>
    </w:p>
    <w:p w14:paraId="368408C1" w14:textId="77777777" w:rsidR="001A7524" w:rsidRPr="00D16A28" w:rsidRDefault="00AA138D" w:rsidP="00AA138D">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0"/>
          <w:szCs w:val="20"/>
          <w:lang w:val="en-US" w:eastAsia="ru-RU"/>
        </w:rPr>
      </w:pPr>
      <w:r w:rsidRPr="00D16A28">
        <w:rPr>
          <w:rFonts w:ascii="Times New Roman" w:eastAsia="Times New Roman" w:hAnsi="Times New Roman" w:cs="Times New Roman"/>
          <w:i/>
          <w:color w:val="000000" w:themeColor="text1"/>
          <w:sz w:val="24"/>
          <w:szCs w:val="24"/>
          <w:lang w:val="en-US" w:eastAsia="ru-RU"/>
        </w:rPr>
        <w:t>Sima L. E., Matei D., Condello S.</w:t>
      </w:r>
      <w:r w:rsidRPr="00D16A28">
        <w:rPr>
          <w:rFonts w:ascii="Times New Roman" w:eastAsia="Times New Roman" w:hAnsi="Times New Roman" w:cs="Times New Roman"/>
          <w:color w:val="000000" w:themeColor="text1"/>
          <w:sz w:val="24"/>
          <w:szCs w:val="24"/>
          <w:lang w:val="en-US" w:eastAsia="ru-RU"/>
        </w:rPr>
        <w:t xml:space="preserve"> The Outside-In Journey of Tissue Transglutaminase in Cancer // Cells, 2022. V. 11(11). P. 1779.</w:t>
      </w:r>
    </w:p>
    <w:p w14:paraId="0250A14B" w14:textId="77777777" w:rsidR="001B3F93" w:rsidRPr="00D16A28" w:rsidRDefault="0071070F" w:rsidP="0071070F">
      <w:pPr>
        <w:pStyle w:val="a3"/>
        <w:numPr>
          <w:ilvl w:val="0"/>
          <w:numId w:val="2"/>
        </w:numPr>
        <w:rPr>
          <w:rFonts w:ascii="Times New Roman" w:eastAsia="Times New Roman" w:hAnsi="Times New Roman" w:cs="Times New Roman"/>
          <w:color w:val="000000" w:themeColor="text1"/>
          <w:sz w:val="24"/>
          <w:szCs w:val="24"/>
          <w:lang w:val="en-US" w:eastAsia="ru-RU"/>
        </w:rPr>
      </w:pPr>
      <w:r w:rsidRPr="00D16A28">
        <w:rPr>
          <w:rFonts w:ascii="Times New Roman" w:eastAsia="Times New Roman" w:hAnsi="Times New Roman" w:cs="Times New Roman"/>
          <w:i/>
          <w:iCs/>
          <w:color w:val="000000" w:themeColor="text1"/>
          <w:sz w:val="24"/>
          <w:szCs w:val="24"/>
          <w:lang w:val="en-US" w:eastAsia="ru-RU"/>
        </w:rPr>
        <w:t xml:space="preserve">Cecilio L. A., </w:t>
      </w:r>
      <w:proofErr w:type="spellStart"/>
      <w:r w:rsidRPr="00D16A28">
        <w:rPr>
          <w:rFonts w:ascii="Times New Roman" w:eastAsia="Times New Roman" w:hAnsi="Times New Roman" w:cs="Times New Roman"/>
          <w:i/>
          <w:iCs/>
          <w:color w:val="000000" w:themeColor="text1"/>
          <w:sz w:val="24"/>
          <w:szCs w:val="24"/>
          <w:lang w:val="en-US" w:eastAsia="ru-RU"/>
        </w:rPr>
        <w:t>Bonatto</w:t>
      </w:r>
      <w:proofErr w:type="spellEnd"/>
      <w:r w:rsidRPr="00D16A28">
        <w:rPr>
          <w:rFonts w:ascii="Times New Roman" w:eastAsia="Times New Roman" w:hAnsi="Times New Roman" w:cs="Times New Roman"/>
          <w:i/>
          <w:iCs/>
          <w:color w:val="000000" w:themeColor="text1"/>
          <w:sz w:val="24"/>
          <w:szCs w:val="24"/>
          <w:lang w:val="en-US" w:eastAsia="ru-RU"/>
        </w:rPr>
        <w:t xml:space="preserve"> M. W.</w:t>
      </w:r>
      <w:r w:rsidRPr="00D16A28">
        <w:rPr>
          <w:rFonts w:ascii="Times New Roman" w:eastAsia="Times New Roman" w:hAnsi="Times New Roman" w:cs="Times New Roman"/>
          <w:iCs/>
          <w:color w:val="000000" w:themeColor="text1"/>
          <w:sz w:val="24"/>
          <w:szCs w:val="24"/>
          <w:lang w:val="en-US" w:eastAsia="ru-RU"/>
        </w:rPr>
        <w:t xml:space="preserve"> The prevalence of HLA DQ2 and DQ8 in patients with celiac disease, in family and in general population // </w:t>
      </w:r>
      <w:proofErr w:type="spellStart"/>
      <w:r w:rsidRPr="00D16A28">
        <w:rPr>
          <w:rFonts w:ascii="Times New Roman" w:eastAsia="Times New Roman" w:hAnsi="Times New Roman" w:cs="Times New Roman"/>
          <w:iCs/>
          <w:color w:val="000000" w:themeColor="text1"/>
          <w:sz w:val="24"/>
          <w:szCs w:val="24"/>
          <w:lang w:val="en-US" w:eastAsia="ru-RU"/>
        </w:rPr>
        <w:t>Arquivos</w:t>
      </w:r>
      <w:proofErr w:type="spellEnd"/>
      <w:r w:rsidRPr="00D16A28">
        <w:rPr>
          <w:rFonts w:ascii="Times New Roman" w:eastAsia="Times New Roman" w:hAnsi="Times New Roman" w:cs="Times New Roman"/>
          <w:iCs/>
          <w:color w:val="000000" w:themeColor="text1"/>
          <w:sz w:val="24"/>
          <w:szCs w:val="24"/>
          <w:lang w:val="en-US" w:eastAsia="ru-RU"/>
        </w:rPr>
        <w:t xml:space="preserve"> </w:t>
      </w:r>
      <w:proofErr w:type="spellStart"/>
      <w:r w:rsidRPr="00D16A28">
        <w:rPr>
          <w:rFonts w:ascii="Times New Roman" w:eastAsia="Times New Roman" w:hAnsi="Times New Roman" w:cs="Times New Roman"/>
          <w:iCs/>
          <w:color w:val="000000" w:themeColor="text1"/>
          <w:sz w:val="24"/>
          <w:szCs w:val="24"/>
          <w:lang w:val="en-US" w:eastAsia="ru-RU"/>
        </w:rPr>
        <w:t>brasileiros</w:t>
      </w:r>
      <w:proofErr w:type="spellEnd"/>
      <w:r w:rsidRPr="00D16A28">
        <w:rPr>
          <w:rFonts w:ascii="Times New Roman" w:eastAsia="Times New Roman" w:hAnsi="Times New Roman" w:cs="Times New Roman"/>
          <w:iCs/>
          <w:color w:val="000000" w:themeColor="text1"/>
          <w:sz w:val="24"/>
          <w:szCs w:val="24"/>
          <w:lang w:val="en-US" w:eastAsia="ru-RU"/>
        </w:rPr>
        <w:t xml:space="preserve"> de </w:t>
      </w:r>
      <w:proofErr w:type="spellStart"/>
      <w:r w:rsidRPr="00D16A28">
        <w:rPr>
          <w:rFonts w:ascii="Times New Roman" w:eastAsia="Times New Roman" w:hAnsi="Times New Roman" w:cs="Times New Roman"/>
          <w:iCs/>
          <w:color w:val="000000" w:themeColor="text1"/>
          <w:sz w:val="24"/>
          <w:szCs w:val="24"/>
          <w:lang w:val="en-US" w:eastAsia="ru-RU"/>
        </w:rPr>
        <w:t>cirurgia</w:t>
      </w:r>
      <w:proofErr w:type="spellEnd"/>
      <w:r w:rsidRPr="00D16A28">
        <w:rPr>
          <w:rFonts w:ascii="Times New Roman" w:eastAsia="Times New Roman" w:hAnsi="Times New Roman" w:cs="Times New Roman"/>
          <w:iCs/>
          <w:color w:val="000000" w:themeColor="text1"/>
          <w:sz w:val="24"/>
          <w:szCs w:val="24"/>
          <w:lang w:val="en-US" w:eastAsia="ru-RU"/>
        </w:rPr>
        <w:t xml:space="preserve"> </w:t>
      </w:r>
      <w:proofErr w:type="spellStart"/>
      <w:r w:rsidRPr="00D16A28">
        <w:rPr>
          <w:rFonts w:ascii="Times New Roman" w:eastAsia="Times New Roman" w:hAnsi="Times New Roman" w:cs="Times New Roman"/>
          <w:iCs/>
          <w:color w:val="000000" w:themeColor="text1"/>
          <w:sz w:val="24"/>
          <w:szCs w:val="24"/>
          <w:lang w:val="en-US" w:eastAsia="ru-RU"/>
        </w:rPr>
        <w:t>digestiva</w:t>
      </w:r>
      <w:proofErr w:type="spellEnd"/>
      <w:r w:rsidRPr="00D16A28">
        <w:rPr>
          <w:rFonts w:ascii="Times New Roman" w:eastAsia="Times New Roman" w:hAnsi="Times New Roman" w:cs="Times New Roman"/>
          <w:iCs/>
          <w:color w:val="000000" w:themeColor="text1"/>
          <w:sz w:val="24"/>
          <w:szCs w:val="24"/>
          <w:lang w:val="en-US" w:eastAsia="ru-RU"/>
        </w:rPr>
        <w:t>, 2015. V. 28(3). P. 183–185.</w:t>
      </w:r>
    </w:p>
    <w:p w14:paraId="6A48712B" w14:textId="77777777" w:rsidR="001B3F93" w:rsidRPr="00D16A28" w:rsidRDefault="002808C6" w:rsidP="002808C6">
      <w:pPr>
        <w:pStyle w:val="a3"/>
        <w:numPr>
          <w:ilvl w:val="0"/>
          <w:numId w:val="2"/>
        </w:numPr>
        <w:rPr>
          <w:rFonts w:ascii="Times New Roman" w:eastAsia="Times New Roman" w:hAnsi="Times New Roman" w:cs="Times New Roman"/>
          <w:color w:val="000000" w:themeColor="text1"/>
          <w:sz w:val="24"/>
          <w:szCs w:val="24"/>
          <w:lang w:val="en-US" w:eastAsia="ru-RU"/>
        </w:rPr>
      </w:pPr>
      <w:proofErr w:type="spellStart"/>
      <w:r w:rsidRPr="00D16A28">
        <w:rPr>
          <w:rFonts w:ascii="Times New Roman" w:eastAsia="Times New Roman" w:hAnsi="Times New Roman" w:cs="Times New Roman"/>
          <w:i/>
          <w:color w:val="000000" w:themeColor="text1"/>
          <w:sz w:val="24"/>
          <w:szCs w:val="24"/>
          <w:lang w:val="en-US" w:eastAsia="ru-RU"/>
        </w:rPr>
        <w:t>Savvateeva</w:t>
      </w:r>
      <w:proofErr w:type="spellEnd"/>
      <w:r w:rsidRPr="00D16A28">
        <w:rPr>
          <w:rFonts w:ascii="Times New Roman" w:eastAsia="Times New Roman" w:hAnsi="Times New Roman" w:cs="Times New Roman"/>
          <w:i/>
          <w:color w:val="000000" w:themeColor="text1"/>
          <w:sz w:val="24"/>
          <w:szCs w:val="24"/>
          <w:lang w:val="en-US" w:eastAsia="ru-RU"/>
        </w:rPr>
        <w:t xml:space="preserve"> L. V., </w:t>
      </w:r>
      <w:proofErr w:type="spellStart"/>
      <w:r w:rsidRPr="00D16A28">
        <w:rPr>
          <w:rFonts w:ascii="Times New Roman" w:eastAsia="Times New Roman" w:hAnsi="Times New Roman" w:cs="Times New Roman"/>
          <w:i/>
          <w:color w:val="000000" w:themeColor="text1"/>
          <w:sz w:val="24"/>
          <w:szCs w:val="24"/>
          <w:lang w:val="en-US" w:eastAsia="ru-RU"/>
        </w:rPr>
        <w:t>Erdes</w:t>
      </w:r>
      <w:proofErr w:type="spellEnd"/>
      <w:r w:rsidRPr="00D16A28">
        <w:rPr>
          <w:rFonts w:ascii="Times New Roman" w:eastAsia="Times New Roman" w:hAnsi="Times New Roman" w:cs="Times New Roman"/>
          <w:i/>
          <w:color w:val="000000" w:themeColor="text1"/>
          <w:sz w:val="24"/>
          <w:szCs w:val="24"/>
          <w:lang w:val="en-US" w:eastAsia="ru-RU"/>
        </w:rPr>
        <w:t xml:space="preserve"> S. I., </w:t>
      </w:r>
      <w:proofErr w:type="spellStart"/>
      <w:r w:rsidRPr="00D16A28">
        <w:rPr>
          <w:rFonts w:ascii="Times New Roman" w:eastAsia="Times New Roman" w:hAnsi="Times New Roman" w:cs="Times New Roman"/>
          <w:i/>
          <w:color w:val="000000" w:themeColor="text1"/>
          <w:sz w:val="24"/>
          <w:szCs w:val="24"/>
          <w:lang w:val="en-US" w:eastAsia="ru-RU"/>
        </w:rPr>
        <w:t>Antishin</w:t>
      </w:r>
      <w:proofErr w:type="spellEnd"/>
      <w:r w:rsidRPr="00D16A28">
        <w:rPr>
          <w:rFonts w:ascii="Times New Roman" w:eastAsia="Times New Roman" w:hAnsi="Times New Roman" w:cs="Times New Roman"/>
          <w:i/>
          <w:color w:val="000000" w:themeColor="text1"/>
          <w:sz w:val="24"/>
          <w:szCs w:val="24"/>
          <w:lang w:val="en-US" w:eastAsia="ru-RU"/>
        </w:rPr>
        <w:t xml:space="preserve"> A. S., </w:t>
      </w:r>
      <w:proofErr w:type="spellStart"/>
      <w:r w:rsidRPr="00D16A28">
        <w:rPr>
          <w:rFonts w:ascii="Times New Roman" w:eastAsia="Times New Roman" w:hAnsi="Times New Roman" w:cs="Times New Roman"/>
          <w:i/>
          <w:color w:val="000000" w:themeColor="text1"/>
          <w:sz w:val="24"/>
          <w:szCs w:val="24"/>
          <w:lang w:val="en-US" w:eastAsia="ru-RU"/>
        </w:rPr>
        <w:t>Zamyatnin</w:t>
      </w:r>
      <w:proofErr w:type="spellEnd"/>
      <w:r w:rsidRPr="00D16A28">
        <w:rPr>
          <w:rFonts w:ascii="Times New Roman" w:eastAsia="Times New Roman" w:hAnsi="Times New Roman" w:cs="Times New Roman"/>
          <w:i/>
          <w:color w:val="000000" w:themeColor="text1"/>
          <w:sz w:val="24"/>
          <w:szCs w:val="24"/>
          <w:lang w:val="en-US" w:eastAsia="ru-RU"/>
        </w:rPr>
        <w:t xml:space="preserve"> A. A. Jr</w:t>
      </w:r>
      <w:r w:rsidRPr="00D16A28">
        <w:rPr>
          <w:rFonts w:ascii="Times New Roman" w:eastAsia="Times New Roman" w:hAnsi="Times New Roman" w:cs="Times New Roman"/>
          <w:color w:val="000000" w:themeColor="text1"/>
          <w:sz w:val="24"/>
          <w:szCs w:val="24"/>
          <w:lang w:val="en-US" w:eastAsia="ru-RU"/>
        </w:rPr>
        <w:t>. Overview of Celiac Disease in Russia: Regional Data and Estimated Prevalence // Journal of immunology research, 2017. V. 2017. P. 2314813.</w:t>
      </w:r>
    </w:p>
    <w:p w14:paraId="782A5DEE" w14:textId="77777777" w:rsidR="001B3F93" w:rsidRPr="00D16A28" w:rsidRDefault="00CB5E35" w:rsidP="00CB5E35">
      <w:pPr>
        <w:pStyle w:val="a3"/>
        <w:numPr>
          <w:ilvl w:val="0"/>
          <w:numId w:val="2"/>
        </w:numPr>
        <w:rPr>
          <w:rFonts w:ascii="Times New Roman" w:eastAsia="Times New Roman" w:hAnsi="Times New Roman" w:cs="Times New Roman"/>
          <w:color w:val="000000" w:themeColor="text1"/>
          <w:sz w:val="24"/>
          <w:szCs w:val="24"/>
          <w:lang w:val="en-US" w:eastAsia="ru-RU"/>
        </w:rPr>
      </w:pPr>
      <w:r w:rsidRPr="00D16A28">
        <w:rPr>
          <w:rFonts w:ascii="Times New Roman" w:eastAsia="Times New Roman" w:hAnsi="Times New Roman" w:cs="Times New Roman"/>
          <w:i/>
          <w:color w:val="000000" w:themeColor="text1"/>
          <w:sz w:val="24"/>
          <w:szCs w:val="24"/>
          <w:lang w:val="en-US" w:eastAsia="ru-RU"/>
        </w:rPr>
        <w:t xml:space="preserve">Singh P., Arora A., Strand T. A., Leffler D. A., </w:t>
      </w:r>
      <w:proofErr w:type="spellStart"/>
      <w:r w:rsidRPr="00D16A28">
        <w:rPr>
          <w:rFonts w:ascii="Times New Roman" w:eastAsia="Times New Roman" w:hAnsi="Times New Roman" w:cs="Times New Roman"/>
          <w:i/>
          <w:color w:val="000000" w:themeColor="text1"/>
          <w:sz w:val="24"/>
          <w:szCs w:val="24"/>
          <w:lang w:val="en-US" w:eastAsia="ru-RU"/>
        </w:rPr>
        <w:t>Catassi</w:t>
      </w:r>
      <w:proofErr w:type="spellEnd"/>
      <w:r w:rsidRPr="00D16A28">
        <w:rPr>
          <w:rFonts w:ascii="Times New Roman" w:eastAsia="Times New Roman" w:hAnsi="Times New Roman" w:cs="Times New Roman"/>
          <w:i/>
          <w:color w:val="000000" w:themeColor="text1"/>
          <w:sz w:val="24"/>
          <w:szCs w:val="24"/>
          <w:lang w:val="en-US" w:eastAsia="ru-RU"/>
        </w:rPr>
        <w:t xml:space="preserve"> C., Green P. H., Kelly C. P., Ahuja V., </w:t>
      </w:r>
      <w:proofErr w:type="spellStart"/>
      <w:r w:rsidRPr="00D16A28">
        <w:rPr>
          <w:rFonts w:ascii="Times New Roman" w:eastAsia="Times New Roman" w:hAnsi="Times New Roman" w:cs="Times New Roman"/>
          <w:i/>
          <w:color w:val="000000" w:themeColor="text1"/>
          <w:sz w:val="24"/>
          <w:szCs w:val="24"/>
          <w:lang w:val="en-US" w:eastAsia="ru-RU"/>
        </w:rPr>
        <w:t>Makharia</w:t>
      </w:r>
      <w:proofErr w:type="spellEnd"/>
      <w:r w:rsidRPr="00D16A28">
        <w:rPr>
          <w:rFonts w:ascii="Times New Roman" w:eastAsia="Times New Roman" w:hAnsi="Times New Roman" w:cs="Times New Roman"/>
          <w:i/>
          <w:color w:val="000000" w:themeColor="text1"/>
          <w:sz w:val="24"/>
          <w:szCs w:val="24"/>
          <w:lang w:val="en-US" w:eastAsia="ru-RU"/>
        </w:rPr>
        <w:t xml:space="preserve"> G. K.</w:t>
      </w:r>
      <w:r w:rsidRPr="00D16A28">
        <w:rPr>
          <w:rFonts w:ascii="Times New Roman" w:eastAsia="Times New Roman" w:hAnsi="Times New Roman" w:cs="Times New Roman"/>
          <w:color w:val="000000" w:themeColor="text1"/>
          <w:sz w:val="24"/>
          <w:szCs w:val="24"/>
          <w:lang w:val="en-US" w:eastAsia="ru-RU"/>
        </w:rPr>
        <w:t xml:space="preserve"> Global Prevalence of Celiac Disease: Systematic Review and Meta-analysis // Clinical gastroenterology and hepatology: the official clinical practice journal of the American Gastroenterological Association, 2018. V. 16(6). P. 823–836.e2.</w:t>
      </w:r>
    </w:p>
    <w:p w14:paraId="0C62661B" w14:textId="77777777" w:rsidR="001B3F93" w:rsidRPr="00D16A28" w:rsidRDefault="00CB5E35" w:rsidP="00CB5E35">
      <w:pPr>
        <w:pStyle w:val="a3"/>
        <w:numPr>
          <w:ilvl w:val="0"/>
          <w:numId w:val="2"/>
        </w:numPr>
        <w:rPr>
          <w:rFonts w:ascii="Times New Roman" w:eastAsia="Times New Roman" w:hAnsi="Times New Roman" w:cs="Times New Roman"/>
          <w:color w:val="000000" w:themeColor="text1"/>
          <w:sz w:val="24"/>
          <w:szCs w:val="24"/>
          <w:lang w:val="en-US" w:eastAsia="ru-RU"/>
        </w:rPr>
      </w:pPr>
      <w:r w:rsidRPr="00D16A28">
        <w:rPr>
          <w:rFonts w:ascii="Times New Roman" w:eastAsia="Times New Roman" w:hAnsi="Times New Roman" w:cs="Times New Roman"/>
          <w:i/>
          <w:color w:val="000000" w:themeColor="text1"/>
          <w:sz w:val="24"/>
          <w:szCs w:val="24"/>
          <w:lang w:val="en-US" w:eastAsia="ru-RU"/>
        </w:rPr>
        <w:t xml:space="preserve">Penny H. A., </w:t>
      </w:r>
      <w:proofErr w:type="spellStart"/>
      <w:r w:rsidRPr="00D16A28">
        <w:rPr>
          <w:rFonts w:ascii="Times New Roman" w:eastAsia="Times New Roman" w:hAnsi="Times New Roman" w:cs="Times New Roman"/>
          <w:i/>
          <w:color w:val="000000" w:themeColor="text1"/>
          <w:sz w:val="24"/>
          <w:szCs w:val="24"/>
          <w:lang w:val="en-US" w:eastAsia="ru-RU"/>
        </w:rPr>
        <w:t>Baggus</w:t>
      </w:r>
      <w:proofErr w:type="spellEnd"/>
      <w:r w:rsidRPr="00D16A28">
        <w:rPr>
          <w:rFonts w:ascii="Times New Roman" w:eastAsia="Times New Roman" w:hAnsi="Times New Roman" w:cs="Times New Roman"/>
          <w:i/>
          <w:color w:val="000000" w:themeColor="text1"/>
          <w:sz w:val="24"/>
          <w:szCs w:val="24"/>
          <w:lang w:val="en-US" w:eastAsia="ru-RU"/>
        </w:rPr>
        <w:t xml:space="preserve"> E. M. R., Rej A., Snowden J. A., Sanders D. S.</w:t>
      </w:r>
      <w:r w:rsidRPr="00D16A28">
        <w:rPr>
          <w:rFonts w:ascii="Times New Roman" w:eastAsia="Times New Roman" w:hAnsi="Times New Roman" w:cs="Times New Roman"/>
          <w:color w:val="000000" w:themeColor="text1"/>
          <w:sz w:val="24"/>
          <w:szCs w:val="24"/>
          <w:lang w:val="en-US" w:eastAsia="ru-RU"/>
        </w:rPr>
        <w:t xml:space="preserve"> Non-Responsive Coeliac Disease: A Comprehensive Review from the NHS England National Centre for Refractory Coeliac Disease // Nutrients, 2020. V. 12(1). P. 216.</w:t>
      </w:r>
    </w:p>
    <w:p w14:paraId="35F3C9FD" w14:textId="77777777" w:rsidR="001B3F93" w:rsidRPr="00D16A28" w:rsidRDefault="00754ACD" w:rsidP="00754ACD">
      <w:pPr>
        <w:pStyle w:val="a3"/>
        <w:numPr>
          <w:ilvl w:val="0"/>
          <w:numId w:val="2"/>
        </w:numPr>
        <w:rPr>
          <w:rFonts w:ascii="Times New Roman" w:eastAsia="Times New Roman" w:hAnsi="Times New Roman" w:cs="Times New Roman"/>
          <w:color w:val="000000" w:themeColor="text1"/>
          <w:sz w:val="24"/>
          <w:szCs w:val="24"/>
          <w:lang w:val="en-US" w:eastAsia="ru-RU"/>
        </w:rPr>
      </w:pPr>
      <w:r w:rsidRPr="00D16A28">
        <w:rPr>
          <w:rFonts w:ascii="Times New Roman" w:eastAsia="Times New Roman" w:hAnsi="Times New Roman" w:cs="Times New Roman"/>
          <w:i/>
          <w:color w:val="000000" w:themeColor="text1"/>
          <w:sz w:val="24"/>
          <w:szCs w:val="24"/>
          <w:lang w:val="en-US" w:eastAsia="ru-RU"/>
        </w:rPr>
        <w:t xml:space="preserve">Katt W. P., </w:t>
      </w:r>
      <w:proofErr w:type="spellStart"/>
      <w:r w:rsidRPr="00D16A28">
        <w:rPr>
          <w:rFonts w:ascii="Times New Roman" w:eastAsia="Times New Roman" w:hAnsi="Times New Roman" w:cs="Times New Roman"/>
          <w:i/>
          <w:color w:val="000000" w:themeColor="text1"/>
          <w:sz w:val="24"/>
          <w:szCs w:val="24"/>
          <w:lang w:val="en-US" w:eastAsia="ru-RU"/>
        </w:rPr>
        <w:t>Antonyak</w:t>
      </w:r>
      <w:proofErr w:type="spellEnd"/>
      <w:r w:rsidRPr="00D16A28">
        <w:rPr>
          <w:rFonts w:ascii="Times New Roman" w:eastAsia="Times New Roman" w:hAnsi="Times New Roman" w:cs="Times New Roman"/>
          <w:i/>
          <w:color w:val="000000" w:themeColor="text1"/>
          <w:sz w:val="24"/>
          <w:szCs w:val="24"/>
          <w:lang w:val="en-US" w:eastAsia="ru-RU"/>
        </w:rPr>
        <w:t xml:space="preserve"> M. A., Cerione R. A.</w:t>
      </w:r>
      <w:r w:rsidRPr="00D16A28">
        <w:rPr>
          <w:rFonts w:ascii="Times New Roman" w:eastAsia="Times New Roman" w:hAnsi="Times New Roman" w:cs="Times New Roman"/>
          <w:color w:val="000000" w:themeColor="text1"/>
          <w:sz w:val="24"/>
          <w:szCs w:val="24"/>
          <w:lang w:val="en-US" w:eastAsia="ru-RU"/>
        </w:rPr>
        <w:t xml:space="preserve"> Opening up about Tissue Transglutaminase: When Conformation Matters More than Enzymatic Activity // Med one, 2018. V. 3(6). P. e180011.</w:t>
      </w:r>
    </w:p>
    <w:p w14:paraId="6498C0E1" w14:textId="77777777" w:rsidR="001B3F93" w:rsidRPr="00D16A28" w:rsidRDefault="00F96D49" w:rsidP="00F96D49">
      <w:pPr>
        <w:pStyle w:val="a3"/>
        <w:numPr>
          <w:ilvl w:val="0"/>
          <w:numId w:val="2"/>
        </w:numPr>
        <w:rPr>
          <w:rFonts w:ascii="Times New Roman" w:eastAsia="Times New Roman" w:hAnsi="Times New Roman" w:cs="Times New Roman"/>
          <w:color w:val="000000" w:themeColor="text1"/>
          <w:sz w:val="24"/>
          <w:szCs w:val="24"/>
          <w:lang w:val="en-US" w:eastAsia="ru-RU"/>
        </w:rPr>
      </w:pPr>
      <w:proofErr w:type="spellStart"/>
      <w:r w:rsidRPr="00D16A28">
        <w:rPr>
          <w:rFonts w:ascii="Times New Roman" w:eastAsia="Times New Roman" w:hAnsi="Times New Roman" w:cs="Times New Roman"/>
          <w:i/>
          <w:color w:val="000000" w:themeColor="text1"/>
          <w:sz w:val="24"/>
          <w:szCs w:val="24"/>
          <w:lang w:val="en-US" w:eastAsia="ru-RU"/>
        </w:rPr>
        <w:t>Nurminskaya</w:t>
      </w:r>
      <w:proofErr w:type="spellEnd"/>
      <w:r w:rsidRPr="00D16A28">
        <w:rPr>
          <w:rFonts w:ascii="Times New Roman" w:eastAsia="Times New Roman" w:hAnsi="Times New Roman" w:cs="Times New Roman"/>
          <w:i/>
          <w:color w:val="000000" w:themeColor="text1"/>
          <w:sz w:val="24"/>
          <w:szCs w:val="24"/>
          <w:lang w:val="en-US" w:eastAsia="ru-RU"/>
        </w:rPr>
        <w:t xml:space="preserve"> M. V., Belkin A. M.</w:t>
      </w:r>
      <w:r w:rsidRPr="00D16A28">
        <w:rPr>
          <w:rFonts w:ascii="Times New Roman" w:eastAsia="Times New Roman" w:hAnsi="Times New Roman" w:cs="Times New Roman"/>
          <w:color w:val="000000" w:themeColor="text1"/>
          <w:sz w:val="24"/>
          <w:szCs w:val="24"/>
          <w:lang w:val="en-US" w:eastAsia="ru-RU"/>
        </w:rPr>
        <w:t xml:space="preserve"> Cellular functions of tissue transglutaminase // International review of cell and molecular biology, 2012. V. 294. P. 1–97.</w:t>
      </w:r>
    </w:p>
    <w:p w14:paraId="532C6D00" w14:textId="77777777" w:rsidR="001B3F93" w:rsidRPr="00D16A28" w:rsidRDefault="008F1F9B" w:rsidP="008F1F9B">
      <w:pPr>
        <w:pStyle w:val="a3"/>
        <w:numPr>
          <w:ilvl w:val="0"/>
          <w:numId w:val="2"/>
        </w:numPr>
        <w:rPr>
          <w:rFonts w:ascii="Times New Roman" w:eastAsia="Times New Roman" w:hAnsi="Times New Roman" w:cs="Times New Roman"/>
          <w:color w:val="000000" w:themeColor="text1"/>
          <w:sz w:val="24"/>
          <w:szCs w:val="24"/>
          <w:lang w:val="en-US" w:eastAsia="ru-RU"/>
        </w:rPr>
      </w:pPr>
      <w:r w:rsidRPr="00D16A28">
        <w:rPr>
          <w:rFonts w:ascii="Times New Roman" w:eastAsia="Times New Roman" w:hAnsi="Times New Roman" w:cs="Times New Roman"/>
          <w:i/>
          <w:color w:val="000000" w:themeColor="text1"/>
          <w:sz w:val="24"/>
          <w:szCs w:val="24"/>
          <w:lang w:val="en-US" w:eastAsia="ru-RU"/>
        </w:rPr>
        <w:t>Pinkas D. M., Strop P., Brunger A. T., Khosla C.</w:t>
      </w:r>
      <w:r w:rsidRPr="00D16A28">
        <w:rPr>
          <w:rFonts w:ascii="Times New Roman" w:eastAsia="Times New Roman" w:hAnsi="Times New Roman" w:cs="Times New Roman"/>
          <w:color w:val="000000" w:themeColor="text1"/>
          <w:sz w:val="24"/>
          <w:szCs w:val="24"/>
          <w:lang w:val="en-US" w:eastAsia="ru-RU"/>
        </w:rPr>
        <w:t xml:space="preserve"> Transglutaminase 2 undergoes a large conformational change upon activation // </w:t>
      </w:r>
      <w:proofErr w:type="spellStart"/>
      <w:r w:rsidRPr="00D16A28">
        <w:rPr>
          <w:rFonts w:ascii="Times New Roman" w:eastAsia="Times New Roman" w:hAnsi="Times New Roman" w:cs="Times New Roman"/>
          <w:color w:val="000000" w:themeColor="text1"/>
          <w:sz w:val="24"/>
          <w:szCs w:val="24"/>
          <w:lang w:val="en-US" w:eastAsia="ru-RU"/>
        </w:rPr>
        <w:t>PLoS</w:t>
      </w:r>
      <w:proofErr w:type="spellEnd"/>
      <w:r w:rsidRPr="00D16A28">
        <w:rPr>
          <w:rFonts w:ascii="Times New Roman" w:eastAsia="Times New Roman" w:hAnsi="Times New Roman" w:cs="Times New Roman"/>
          <w:color w:val="000000" w:themeColor="text1"/>
          <w:sz w:val="24"/>
          <w:szCs w:val="24"/>
          <w:lang w:val="en-US" w:eastAsia="ru-RU"/>
        </w:rPr>
        <w:t xml:space="preserve"> biology, 2007. V. 5(12). P. e327.</w:t>
      </w:r>
    </w:p>
    <w:p w14:paraId="6A5E7D1A" w14:textId="77777777" w:rsidR="001B3F93" w:rsidRPr="00D16A28" w:rsidRDefault="0064177B" w:rsidP="0064177B">
      <w:pPr>
        <w:pStyle w:val="a3"/>
        <w:numPr>
          <w:ilvl w:val="0"/>
          <w:numId w:val="2"/>
        </w:numPr>
        <w:rPr>
          <w:rFonts w:ascii="Times New Roman" w:eastAsia="Times New Roman" w:hAnsi="Times New Roman" w:cs="Times New Roman"/>
          <w:color w:val="000000" w:themeColor="text1"/>
          <w:sz w:val="24"/>
          <w:szCs w:val="24"/>
          <w:lang w:val="en-US" w:eastAsia="ru-RU"/>
        </w:rPr>
      </w:pPr>
      <w:r w:rsidRPr="00D16A28">
        <w:rPr>
          <w:rFonts w:ascii="Times New Roman" w:eastAsia="Times New Roman" w:hAnsi="Times New Roman" w:cs="Times New Roman"/>
          <w:i/>
          <w:color w:val="000000" w:themeColor="text1"/>
          <w:sz w:val="24"/>
          <w:szCs w:val="24"/>
          <w:lang w:val="en-US" w:eastAsia="ru-RU"/>
        </w:rPr>
        <w:t>Zhao Y., Shi R., Bian X., Zhou C., Zhao Y., Zhang S., Wu F., Waterhouse G. I. N., Wu L. Z., Tung C. H., Zhang T.</w:t>
      </w:r>
      <w:r w:rsidRPr="00D16A28">
        <w:rPr>
          <w:rFonts w:ascii="Times New Roman" w:eastAsia="Times New Roman" w:hAnsi="Times New Roman" w:cs="Times New Roman"/>
          <w:color w:val="000000" w:themeColor="text1"/>
          <w:sz w:val="24"/>
          <w:szCs w:val="24"/>
          <w:lang w:val="en-US" w:eastAsia="ru-RU"/>
        </w:rPr>
        <w:t xml:space="preserve"> Ammonia Detection Methods in Photocatalytic and Electrocatalytic Experiments: How to Improve the Reliability of NH3 Production Rates? // Advanced science (Weinheim, Baden-Wurttemberg, Germany), 2019. V. 6(8). P. 1802109.</w:t>
      </w:r>
    </w:p>
    <w:p w14:paraId="45F2420F" w14:textId="77777777" w:rsidR="00CF2B19" w:rsidRPr="00D16A28" w:rsidRDefault="00551AE8" w:rsidP="00D55242">
      <w:pPr>
        <w:pStyle w:val="a3"/>
        <w:numPr>
          <w:ilvl w:val="0"/>
          <w:numId w:val="2"/>
        </w:numPr>
        <w:rPr>
          <w:rFonts w:ascii="Times New Roman" w:eastAsia="Times New Roman" w:hAnsi="Times New Roman" w:cs="Times New Roman"/>
          <w:color w:val="000000" w:themeColor="text1"/>
          <w:sz w:val="24"/>
          <w:szCs w:val="24"/>
          <w:lang w:val="en-US" w:eastAsia="ru-RU"/>
        </w:rPr>
      </w:pPr>
      <w:r w:rsidRPr="00D16A28">
        <w:rPr>
          <w:rFonts w:ascii="Times New Roman" w:eastAsia="Times New Roman" w:hAnsi="Times New Roman" w:cs="Times New Roman"/>
          <w:i/>
          <w:iCs/>
          <w:color w:val="000000" w:themeColor="text1"/>
          <w:sz w:val="24"/>
          <w:szCs w:val="24"/>
          <w:lang w:val="en-US" w:eastAsia="ru-RU"/>
        </w:rPr>
        <w:t>Kim N., Lee W.-K., Lee S.-H., Jin K. S., Kim K.-H., Lee Y., Song M., Kim S.-Y</w:t>
      </w:r>
      <w:r w:rsidR="001D31FC" w:rsidRPr="00D16A28">
        <w:rPr>
          <w:rFonts w:ascii="Times New Roman" w:eastAsia="Times New Roman" w:hAnsi="Times New Roman" w:cs="Times New Roman"/>
          <w:color w:val="000000" w:themeColor="text1"/>
          <w:sz w:val="24"/>
          <w:szCs w:val="24"/>
          <w:lang w:val="en-US" w:eastAsia="ru-RU"/>
        </w:rPr>
        <w:t xml:space="preserve">. </w:t>
      </w:r>
      <w:r w:rsidR="00D55242" w:rsidRPr="00D16A28">
        <w:rPr>
          <w:rFonts w:ascii="Times New Roman" w:eastAsia="Times New Roman" w:hAnsi="Times New Roman" w:cs="Times New Roman"/>
          <w:color w:val="000000" w:themeColor="text1"/>
          <w:sz w:val="24"/>
          <w:szCs w:val="24"/>
          <w:lang w:val="en-US" w:eastAsia="ru-RU"/>
        </w:rPr>
        <w:t>Inter-molecular crosslinking activity is engendered by the dimeric form of transglutaminase 2 // Amino Acids, 2017. V. 49. P. 461–471.</w:t>
      </w:r>
    </w:p>
    <w:p w14:paraId="79DD1DB3" w14:textId="77777777" w:rsidR="001D31FC" w:rsidRPr="00D16A28" w:rsidRDefault="00584B33" w:rsidP="00584B33">
      <w:pPr>
        <w:pStyle w:val="a3"/>
        <w:numPr>
          <w:ilvl w:val="0"/>
          <w:numId w:val="2"/>
        </w:numPr>
        <w:rPr>
          <w:rFonts w:ascii="Times New Roman" w:eastAsia="Times New Roman" w:hAnsi="Times New Roman" w:cs="Times New Roman"/>
          <w:color w:val="000000" w:themeColor="text1"/>
          <w:sz w:val="24"/>
          <w:szCs w:val="24"/>
          <w:lang w:val="en-US" w:eastAsia="ru-RU"/>
        </w:rPr>
      </w:pPr>
      <w:proofErr w:type="spellStart"/>
      <w:r w:rsidRPr="00D16A28">
        <w:rPr>
          <w:rFonts w:ascii="Times New Roman" w:eastAsia="Times New Roman" w:hAnsi="Times New Roman" w:cs="Times New Roman"/>
          <w:i/>
          <w:iCs/>
          <w:color w:val="000000" w:themeColor="text1"/>
          <w:sz w:val="24"/>
          <w:szCs w:val="24"/>
          <w:lang w:val="en-US" w:eastAsia="ru-RU"/>
        </w:rPr>
        <w:t>Svergun</w:t>
      </w:r>
      <w:proofErr w:type="spellEnd"/>
      <w:r w:rsidRPr="00D16A28">
        <w:rPr>
          <w:rFonts w:ascii="Times New Roman" w:eastAsia="Times New Roman" w:hAnsi="Times New Roman" w:cs="Times New Roman"/>
          <w:i/>
          <w:iCs/>
          <w:color w:val="000000" w:themeColor="text1"/>
          <w:sz w:val="24"/>
          <w:szCs w:val="24"/>
          <w:lang w:val="en-US" w:eastAsia="ru-RU"/>
        </w:rPr>
        <w:t xml:space="preserve"> D.I., </w:t>
      </w:r>
      <w:proofErr w:type="spellStart"/>
      <w:r w:rsidRPr="00D16A28">
        <w:rPr>
          <w:rFonts w:ascii="Times New Roman" w:eastAsia="Times New Roman" w:hAnsi="Times New Roman" w:cs="Times New Roman"/>
          <w:i/>
          <w:iCs/>
          <w:color w:val="000000" w:themeColor="text1"/>
          <w:sz w:val="24"/>
          <w:szCs w:val="24"/>
          <w:lang w:val="en-US" w:eastAsia="ru-RU"/>
        </w:rPr>
        <w:t>Barberato</w:t>
      </w:r>
      <w:proofErr w:type="spellEnd"/>
      <w:r w:rsidRPr="00D16A28">
        <w:rPr>
          <w:rFonts w:ascii="Times New Roman" w:eastAsia="Times New Roman" w:hAnsi="Times New Roman" w:cs="Times New Roman"/>
          <w:i/>
          <w:iCs/>
          <w:color w:val="000000" w:themeColor="text1"/>
          <w:sz w:val="24"/>
          <w:szCs w:val="24"/>
          <w:lang w:val="en-US" w:eastAsia="ru-RU"/>
        </w:rPr>
        <w:t xml:space="preserve"> C., Koch M. H. J. </w:t>
      </w:r>
      <w:r w:rsidRPr="00D16A28">
        <w:rPr>
          <w:rFonts w:ascii="Times New Roman" w:eastAsia="Times New Roman" w:hAnsi="Times New Roman" w:cs="Times New Roman"/>
          <w:iCs/>
          <w:color w:val="000000" w:themeColor="text1"/>
          <w:sz w:val="24"/>
          <w:szCs w:val="24"/>
          <w:lang w:val="en-US" w:eastAsia="ru-RU"/>
        </w:rPr>
        <w:t>CRYSOL– a Program to Evaluate X-ray Solution Scattering of Biological Macromolecules from Atomic Coordinates // Journal of Applied Crystallography, 1995. V. 28. P. 768-773</w:t>
      </w:r>
      <w:r w:rsidR="0095047C" w:rsidRPr="00D16A28">
        <w:rPr>
          <w:rFonts w:ascii="Times New Roman" w:eastAsia="Times New Roman" w:hAnsi="Times New Roman" w:cs="Times New Roman"/>
          <w:color w:val="000000" w:themeColor="text1"/>
          <w:sz w:val="24"/>
          <w:szCs w:val="24"/>
          <w:lang w:val="en-US" w:eastAsia="ru-RU"/>
        </w:rPr>
        <w:t>.</w:t>
      </w:r>
    </w:p>
    <w:p w14:paraId="6B2AE41A" w14:textId="1FC052EC" w:rsidR="003A10DC" w:rsidRPr="003A10DC" w:rsidRDefault="0095047C" w:rsidP="003A10DC">
      <w:pPr>
        <w:pStyle w:val="a3"/>
        <w:numPr>
          <w:ilvl w:val="0"/>
          <w:numId w:val="2"/>
        </w:numPr>
        <w:rPr>
          <w:rFonts w:ascii="Times New Roman" w:eastAsia="Times New Roman" w:hAnsi="Times New Roman" w:cs="Times New Roman"/>
          <w:color w:val="000000" w:themeColor="text1"/>
          <w:sz w:val="24"/>
          <w:szCs w:val="24"/>
          <w:lang w:val="en-US" w:eastAsia="ru-RU"/>
        </w:rPr>
      </w:pPr>
      <w:r w:rsidRPr="00D16A28">
        <w:rPr>
          <w:rFonts w:ascii="Times New Roman" w:eastAsia="Times New Roman" w:hAnsi="Times New Roman" w:cs="Times New Roman"/>
          <w:i/>
          <w:color w:val="000000" w:themeColor="text1"/>
          <w:sz w:val="24"/>
          <w:szCs w:val="24"/>
          <w:lang w:val="en-US" w:eastAsia="ru-RU"/>
        </w:rPr>
        <w:t>Yan Y</w:t>
      </w:r>
      <w:r w:rsidR="00D16A28" w:rsidRPr="00D16A28">
        <w:rPr>
          <w:rFonts w:ascii="Times New Roman" w:eastAsia="Times New Roman" w:hAnsi="Times New Roman" w:cs="Times New Roman"/>
          <w:i/>
          <w:color w:val="000000" w:themeColor="text1"/>
          <w:sz w:val="24"/>
          <w:szCs w:val="24"/>
          <w:lang w:val="en-US" w:eastAsia="ru-RU"/>
        </w:rPr>
        <w:t>.</w:t>
      </w:r>
      <w:r w:rsidRPr="00D16A28">
        <w:rPr>
          <w:rFonts w:ascii="Times New Roman" w:eastAsia="Times New Roman" w:hAnsi="Times New Roman" w:cs="Times New Roman"/>
          <w:i/>
          <w:color w:val="000000" w:themeColor="text1"/>
          <w:sz w:val="24"/>
          <w:szCs w:val="24"/>
          <w:lang w:val="en-US" w:eastAsia="ru-RU"/>
        </w:rPr>
        <w:t>, Tao H</w:t>
      </w:r>
      <w:r w:rsidR="00D16A28" w:rsidRPr="00D16A28">
        <w:rPr>
          <w:rFonts w:ascii="Times New Roman" w:eastAsia="Times New Roman" w:hAnsi="Times New Roman" w:cs="Times New Roman"/>
          <w:i/>
          <w:color w:val="000000" w:themeColor="text1"/>
          <w:sz w:val="24"/>
          <w:szCs w:val="24"/>
          <w:lang w:val="en-US" w:eastAsia="ru-RU"/>
        </w:rPr>
        <w:t>.</w:t>
      </w:r>
      <w:r w:rsidRPr="00D16A28">
        <w:rPr>
          <w:rFonts w:ascii="Times New Roman" w:eastAsia="Times New Roman" w:hAnsi="Times New Roman" w:cs="Times New Roman"/>
          <w:i/>
          <w:color w:val="000000" w:themeColor="text1"/>
          <w:sz w:val="24"/>
          <w:szCs w:val="24"/>
          <w:lang w:val="en-US" w:eastAsia="ru-RU"/>
        </w:rPr>
        <w:t>, He J</w:t>
      </w:r>
      <w:r w:rsidR="00D16A28" w:rsidRPr="00D16A28">
        <w:rPr>
          <w:rFonts w:ascii="Times New Roman" w:eastAsia="Times New Roman" w:hAnsi="Times New Roman" w:cs="Times New Roman"/>
          <w:i/>
          <w:color w:val="000000" w:themeColor="text1"/>
          <w:sz w:val="24"/>
          <w:szCs w:val="24"/>
          <w:lang w:val="en-US" w:eastAsia="ru-RU"/>
        </w:rPr>
        <w:t>.</w:t>
      </w:r>
      <w:r w:rsidRPr="00D16A28">
        <w:rPr>
          <w:rFonts w:ascii="Times New Roman" w:eastAsia="Times New Roman" w:hAnsi="Times New Roman" w:cs="Times New Roman"/>
          <w:i/>
          <w:color w:val="000000" w:themeColor="text1"/>
          <w:sz w:val="24"/>
          <w:szCs w:val="24"/>
          <w:lang w:val="en-US" w:eastAsia="ru-RU"/>
        </w:rPr>
        <w:t>, Huang S</w:t>
      </w:r>
      <w:r w:rsidR="00D16A28" w:rsidRPr="00D16A28">
        <w:rPr>
          <w:rFonts w:ascii="Times New Roman" w:eastAsia="Times New Roman" w:hAnsi="Times New Roman" w:cs="Times New Roman"/>
          <w:i/>
          <w:color w:val="000000" w:themeColor="text1"/>
          <w:sz w:val="24"/>
          <w:szCs w:val="24"/>
          <w:lang w:val="en-US" w:eastAsia="ru-RU"/>
        </w:rPr>
        <w:t>.-Y.</w:t>
      </w:r>
      <w:r w:rsidRPr="00D16A28">
        <w:rPr>
          <w:rFonts w:ascii="Times New Roman" w:eastAsia="Times New Roman" w:hAnsi="Times New Roman" w:cs="Times New Roman"/>
          <w:color w:val="000000" w:themeColor="text1"/>
          <w:sz w:val="24"/>
          <w:szCs w:val="24"/>
          <w:lang w:val="en-US" w:eastAsia="ru-RU"/>
        </w:rPr>
        <w:t xml:space="preserve"> The HDOCK server for inte</w:t>
      </w:r>
      <w:r w:rsidR="00D16A28" w:rsidRPr="00D16A28">
        <w:rPr>
          <w:rFonts w:ascii="Times New Roman" w:eastAsia="Times New Roman" w:hAnsi="Times New Roman" w:cs="Times New Roman"/>
          <w:color w:val="000000" w:themeColor="text1"/>
          <w:sz w:val="24"/>
          <w:szCs w:val="24"/>
          <w:lang w:val="en-US" w:eastAsia="ru-RU"/>
        </w:rPr>
        <w:t xml:space="preserve">grated protein-protein docking // </w:t>
      </w:r>
      <w:r w:rsidRPr="00D16A28">
        <w:rPr>
          <w:rFonts w:ascii="Times New Roman" w:eastAsia="Times New Roman" w:hAnsi="Times New Roman" w:cs="Times New Roman"/>
          <w:color w:val="000000" w:themeColor="text1"/>
          <w:sz w:val="24"/>
          <w:szCs w:val="24"/>
          <w:lang w:val="en-US" w:eastAsia="ru-RU"/>
        </w:rPr>
        <w:t xml:space="preserve">Nature </w:t>
      </w:r>
      <w:r w:rsidR="00D16A28" w:rsidRPr="00D16A28">
        <w:rPr>
          <w:rFonts w:ascii="Times New Roman" w:eastAsia="Times New Roman" w:hAnsi="Times New Roman" w:cs="Times New Roman"/>
          <w:color w:val="000000" w:themeColor="text1"/>
          <w:sz w:val="24"/>
          <w:szCs w:val="24"/>
          <w:lang w:val="en-US" w:eastAsia="ru-RU"/>
        </w:rPr>
        <w:t>Protocols, 2020. V. 15. P. 1829–1852.</w:t>
      </w:r>
    </w:p>
    <w:sectPr w:rsidR="003A10DC" w:rsidRPr="003A10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T7BDFo00">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265C2"/>
    <w:multiLevelType w:val="multilevel"/>
    <w:tmpl w:val="1DDE5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091A5B"/>
    <w:multiLevelType w:val="hybridMultilevel"/>
    <w:tmpl w:val="EE9A0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A835575"/>
    <w:multiLevelType w:val="hybridMultilevel"/>
    <w:tmpl w:val="70CCD782"/>
    <w:lvl w:ilvl="0" w:tplc="4CDCF2B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8D1"/>
    <w:rsid w:val="000042BB"/>
    <w:rsid w:val="000156E0"/>
    <w:rsid w:val="0001709C"/>
    <w:rsid w:val="00017BAD"/>
    <w:rsid w:val="0003276D"/>
    <w:rsid w:val="00046EC1"/>
    <w:rsid w:val="00067AC9"/>
    <w:rsid w:val="00081A43"/>
    <w:rsid w:val="000A3344"/>
    <w:rsid w:val="000B17DD"/>
    <w:rsid w:val="000C065A"/>
    <w:rsid w:val="000D03F1"/>
    <w:rsid w:val="000D177A"/>
    <w:rsid w:val="000D50E7"/>
    <w:rsid w:val="0012713D"/>
    <w:rsid w:val="00171D3B"/>
    <w:rsid w:val="00183F67"/>
    <w:rsid w:val="00186D6A"/>
    <w:rsid w:val="00197511"/>
    <w:rsid w:val="001A316D"/>
    <w:rsid w:val="001A7524"/>
    <w:rsid w:val="001B3F93"/>
    <w:rsid w:val="001D31FC"/>
    <w:rsid w:val="001E3200"/>
    <w:rsid w:val="002458AA"/>
    <w:rsid w:val="002808C6"/>
    <w:rsid w:val="00283C75"/>
    <w:rsid w:val="002A7BB5"/>
    <w:rsid w:val="002E1953"/>
    <w:rsid w:val="00340447"/>
    <w:rsid w:val="003437D0"/>
    <w:rsid w:val="00350E12"/>
    <w:rsid w:val="00363178"/>
    <w:rsid w:val="00365E9F"/>
    <w:rsid w:val="003725A6"/>
    <w:rsid w:val="0037761A"/>
    <w:rsid w:val="003A0153"/>
    <w:rsid w:val="003A10DC"/>
    <w:rsid w:val="00426632"/>
    <w:rsid w:val="00440A42"/>
    <w:rsid w:val="00480430"/>
    <w:rsid w:val="00495DE9"/>
    <w:rsid w:val="004C7195"/>
    <w:rsid w:val="00502B83"/>
    <w:rsid w:val="00502DC1"/>
    <w:rsid w:val="005063EE"/>
    <w:rsid w:val="0054297F"/>
    <w:rsid w:val="005470E4"/>
    <w:rsid w:val="00551AE8"/>
    <w:rsid w:val="00584B33"/>
    <w:rsid w:val="005A6331"/>
    <w:rsid w:val="005E2C7B"/>
    <w:rsid w:val="005E5F6B"/>
    <w:rsid w:val="005F4BFC"/>
    <w:rsid w:val="0064177B"/>
    <w:rsid w:val="0064555B"/>
    <w:rsid w:val="006603F3"/>
    <w:rsid w:val="0067637D"/>
    <w:rsid w:val="00687A5B"/>
    <w:rsid w:val="006C1B57"/>
    <w:rsid w:val="006E0B08"/>
    <w:rsid w:val="006F2ED0"/>
    <w:rsid w:val="00701D36"/>
    <w:rsid w:val="0071070F"/>
    <w:rsid w:val="00716D61"/>
    <w:rsid w:val="00732F12"/>
    <w:rsid w:val="00744B54"/>
    <w:rsid w:val="00745C74"/>
    <w:rsid w:val="0075056A"/>
    <w:rsid w:val="00754ACD"/>
    <w:rsid w:val="00766370"/>
    <w:rsid w:val="007B013C"/>
    <w:rsid w:val="007E7722"/>
    <w:rsid w:val="007F1A7F"/>
    <w:rsid w:val="007F3BE4"/>
    <w:rsid w:val="008019F1"/>
    <w:rsid w:val="008070EB"/>
    <w:rsid w:val="00814137"/>
    <w:rsid w:val="00816841"/>
    <w:rsid w:val="00830273"/>
    <w:rsid w:val="008306C2"/>
    <w:rsid w:val="00850482"/>
    <w:rsid w:val="008C3467"/>
    <w:rsid w:val="008D3338"/>
    <w:rsid w:val="008F1530"/>
    <w:rsid w:val="008F1F9B"/>
    <w:rsid w:val="008F4709"/>
    <w:rsid w:val="00927ED7"/>
    <w:rsid w:val="00944587"/>
    <w:rsid w:val="009476FA"/>
    <w:rsid w:val="0095047C"/>
    <w:rsid w:val="009D44A0"/>
    <w:rsid w:val="009E06E6"/>
    <w:rsid w:val="009E0E86"/>
    <w:rsid w:val="00A547D2"/>
    <w:rsid w:val="00A5520D"/>
    <w:rsid w:val="00A75B90"/>
    <w:rsid w:val="00AA138D"/>
    <w:rsid w:val="00B062A9"/>
    <w:rsid w:val="00B13F83"/>
    <w:rsid w:val="00B56C72"/>
    <w:rsid w:val="00B734AE"/>
    <w:rsid w:val="00B77654"/>
    <w:rsid w:val="00BA4016"/>
    <w:rsid w:val="00BB4BAF"/>
    <w:rsid w:val="00BD07FB"/>
    <w:rsid w:val="00BD7C57"/>
    <w:rsid w:val="00BE6C82"/>
    <w:rsid w:val="00BE7A56"/>
    <w:rsid w:val="00C12889"/>
    <w:rsid w:val="00C3515A"/>
    <w:rsid w:val="00C809EE"/>
    <w:rsid w:val="00C94ACC"/>
    <w:rsid w:val="00C95371"/>
    <w:rsid w:val="00CB2B53"/>
    <w:rsid w:val="00CB5E35"/>
    <w:rsid w:val="00CF2B19"/>
    <w:rsid w:val="00D038D1"/>
    <w:rsid w:val="00D16A28"/>
    <w:rsid w:val="00D16DE0"/>
    <w:rsid w:val="00D318E8"/>
    <w:rsid w:val="00D377E6"/>
    <w:rsid w:val="00D443BE"/>
    <w:rsid w:val="00D55242"/>
    <w:rsid w:val="00D945BA"/>
    <w:rsid w:val="00DA037A"/>
    <w:rsid w:val="00DB1E46"/>
    <w:rsid w:val="00E45084"/>
    <w:rsid w:val="00E60B32"/>
    <w:rsid w:val="00E641F8"/>
    <w:rsid w:val="00E93375"/>
    <w:rsid w:val="00EA546D"/>
    <w:rsid w:val="00EA6469"/>
    <w:rsid w:val="00EE5ABC"/>
    <w:rsid w:val="00F4117D"/>
    <w:rsid w:val="00F82C03"/>
    <w:rsid w:val="00F96D49"/>
    <w:rsid w:val="00FA7089"/>
    <w:rsid w:val="00FB76EB"/>
    <w:rsid w:val="00FD3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A62CF"/>
  <w15:chartTrackingRefBased/>
  <w15:docId w15:val="{89945BB5-92A8-4CA6-8B22-70E5E682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8D1"/>
    <w:pPr>
      <w:ind w:left="720"/>
      <w:contextualSpacing/>
    </w:pPr>
  </w:style>
  <w:style w:type="paragraph" w:customStyle="1" w:styleId="TitleArticle">
    <w:name w:val="TitleArticle"/>
    <w:basedOn w:val="a"/>
    <w:rsid w:val="00171D3B"/>
    <w:pPr>
      <w:spacing w:before="240" w:after="360" w:line="360" w:lineRule="auto"/>
      <w:jc w:val="center"/>
      <w:outlineLvl w:val="0"/>
    </w:pPr>
    <w:rPr>
      <w:rFonts w:ascii="Times New Roman" w:eastAsia="Times New Roman" w:hAnsi="Times New Roman" w:cs="Times New Roman"/>
      <w:b/>
      <w:caps/>
      <w:sz w:val="28"/>
      <w:szCs w:val="20"/>
    </w:rPr>
  </w:style>
  <w:style w:type="paragraph" w:customStyle="1" w:styleId="BodyL">
    <w:name w:val="BodyL."/>
    <w:basedOn w:val="a"/>
    <w:rsid w:val="00171D3B"/>
    <w:pPr>
      <w:spacing w:after="0" w:line="360" w:lineRule="auto"/>
      <w:ind w:firstLine="567"/>
      <w:jc w:val="both"/>
    </w:pPr>
    <w:rPr>
      <w:rFonts w:ascii="Times New Roman" w:eastAsia="Times New Roman" w:hAnsi="Times New Roman" w:cs="Times New Roman"/>
      <w:sz w:val="24"/>
      <w:szCs w:val="20"/>
    </w:rPr>
  </w:style>
  <w:style w:type="paragraph" w:customStyle="1" w:styleId="Rubric">
    <w:name w:val="Rubric"/>
    <w:basedOn w:val="a"/>
    <w:rsid w:val="00171D3B"/>
    <w:pPr>
      <w:spacing w:after="120" w:line="360" w:lineRule="auto"/>
      <w:ind w:firstLine="567"/>
      <w:jc w:val="center"/>
    </w:pPr>
    <w:rPr>
      <w:rFonts w:ascii="Times New Roman" w:eastAsia="Times New Roman" w:hAnsi="Times New Roman" w:cs="Times New Roman"/>
      <w:b/>
      <w:caps/>
      <w:sz w:val="28"/>
      <w:szCs w:val="20"/>
    </w:rPr>
  </w:style>
  <w:style w:type="paragraph" w:customStyle="1" w:styleId="Author">
    <w:name w:val="Author"/>
    <w:basedOn w:val="a"/>
    <w:rsid w:val="00171D3B"/>
    <w:pPr>
      <w:spacing w:before="120" w:after="120" w:line="360" w:lineRule="auto"/>
      <w:ind w:firstLine="567"/>
      <w:jc w:val="center"/>
    </w:pPr>
    <w:rPr>
      <w:rFonts w:ascii="Times New Roman" w:eastAsia="Times New Roman" w:hAnsi="Times New Roman" w:cs="Times New Roman"/>
      <w:b/>
      <w:sz w:val="28"/>
      <w:szCs w:val="20"/>
    </w:rPr>
  </w:style>
  <w:style w:type="paragraph" w:customStyle="1" w:styleId="Address">
    <w:name w:val="Address"/>
    <w:basedOn w:val="a"/>
    <w:rsid w:val="00171D3B"/>
    <w:pPr>
      <w:spacing w:after="240" w:line="240" w:lineRule="auto"/>
      <w:ind w:firstLine="567"/>
      <w:jc w:val="center"/>
    </w:pPr>
    <w:rPr>
      <w:rFonts w:ascii="Times New Roman" w:eastAsia="Times New Roman" w:hAnsi="Times New Roman" w:cs="Times New Roman"/>
      <w:i/>
      <w:sz w:val="26"/>
      <w:szCs w:val="20"/>
    </w:rPr>
  </w:style>
  <w:style w:type="paragraph" w:customStyle="1" w:styleId="ManReceived">
    <w:name w:val="ManReceived"/>
    <w:basedOn w:val="Address"/>
    <w:rsid w:val="00171D3B"/>
    <w:pPr>
      <w:spacing w:before="120"/>
    </w:pPr>
    <w:rPr>
      <w:i w:val="0"/>
    </w:rPr>
  </w:style>
  <w:style w:type="paragraph" w:customStyle="1" w:styleId="Abstract">
    <w:name w:val="Abstract"/>
    <w:basedOn w:val="a"/>
    <w:rsid w:val="00171D3B"/>
    <w:pPr>
      <w:spacing w:before="120" w:after="120" w:line="240" w:lineRule="auto"/>
      <w:jc w:val="both"/>
    </w:pPr>
    <w:rPr>
      <w:rFonts w:ascii="Times New Roman" w:eastAsia="Times New Roman" w:hAnsi="Times New Roman" w:cs="Times New Roman"/>
      <w:sz w:val="20"/>
      <w:szCs w:val="20"/>
    </w:rPr>
  </w:style>
  <w:style w:type="paragraph" w:customStyle="1" w:styleId="Heading">
    <w:name w:val="Heading"/>
    <w:basedOn w:val="a"/>
    <w:next w:val="BodyL"/>
    <w:rsid w:val="00171D3B"/>
    <w:pPr>
      <w:keepNext/>
      <w:spacing w:before="240" w:after="120" w:line="360" w:lineRule="auto"/>
      <w:jc w:val="center"/>
      <w:outlineLvl w:val="0"/>
    </w:pPr>
    <w:rPr>
      <w:rFonts w:ascii="Times New Roman" w:eastAsia="Times New Roman" w:hAnsi="Times New Roman" w:cs="Times New Roman"/>
      <w:caps/>
      <w:sz w:val="28"/>
      <w:szCs w:val="20"/>
    </w:rPr>
  </w:style>
  <w:style w:type="character" w:styleId="a4">
    <w:name w:val="Hyperlink"/>
    <w:basedOn w:val="a0"/>
    <w:unhideWhenUsed/>
    <w:rsid w:val="00171D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8149">
      <w:bodyDiv w:val="1"/>
      <w:marLeft w:val="0"/>
      <w:marRight w:val="0"/>
      <w:marTop w:val="0"/>
      <w:marBottom w:val="0"/>
      <w:divBdr>
        <w:top w:val="none" w:sz="0" w:space="0" w:color="auto"/>
        <w:left w:val="none" w:sz="0" w:space="0" w:color="auto"/>
        <w:bottom w:val="none" w:sz="0" w:space="0" w:color="auto"/>
        <w:right w:val="none" w:sz="0" w:space="0" w:color="auto"/>
      </w:divBdr>
    </w:div>
    <w:div w:id="87123254">
      <w:bodyDiv w:val="1"/>
      <w:marLeft w:val="0"/>
      <w:marRight w:val="0"/>
      <w:marTop w:val="0"/>
      <w:marBottom w:val="0"/>
      <w:divBdr>
        <w:top w:val="none" w:sz="0" w:space="0" w:color="auto"/>
        <w:left w:val="none" w:sz="0" w:space="0" w:color="auto"/>
        <w:bottom w:val="none" w:sz="0" w:space="0" w:color="auto"/>
        <w:right w:val="none" w:sz="0" w:space="0" w:color="auto"/>
      </w:divBdr>
    </w:div>
    <w:div w:id="1063407977">
      <w:bodyDiv w:val="1"/>
      <w:marLeft w:val="0"/>
      <w:marRight w:val="0"/>
      <w:marTop w:val="0"/>
      <w:marBottom w:val="0"/>
      <w:divBdr>
        <w:top w:val="none" w:sz="0" w:space="0" w:color="auto"/>
        <w:left w:val="none" w:sz="0" w:space="0" w:color="auto"/>
        <w:bottom w:val="none" w:sz="0" w:space="0" w:color="auto"/>
        <w:right w:val="none" w:sz="0" w:space="0" w:color="auto"/>
      </w:divBdr>
    </w:div>
    <w:div w:id="1598250842">
      <w:bodyDiv w:val="1"/>
      <w:marLeft w:val="0"/>
      <w:marRight w:val="0"/>
      <w:marTop w:val="0"/>
      <w:marBottom w:val="0"/>
      <w:divBdr>
        <w:top w:val="none" w:sz="0" w:space="0" w:color="auto"/>
        <w:left w:val="none" w:sz="0" w:space="0" w:color="auto"/>
        <w:bottom w:val="none" w:sz="0" w:space="0" w:color="auto"/>
        <w:right w:val="none" w:sz="0" w:space="0" w:color="auto"/>
      </w:divBdr>
    </w:div>
    <w:div w:id="1674137421">
      <w:bodyDiv w:val="1"/>
      <w:marLeft w:val="0"/>
      <w:marRight w:val="0"/>
      <w:marTop w:val="0"/>
      <w:marBottom w:val="0"/>
      <w:divBdr>
        <w:top w:val="none" w:sz="0" w:space="0" w:color="auto"/>
        <w:left w:val="none" w:sz="0" w:space="0" w:color="auto"/>
        <w:bottom w:val="none" w:sz="0" w:space="0" w:color="auto"/>
        <w:right w:val="none" w:sz="0" w:space="0" w:color="auto"/>
      </w:divBdr>
      <w:divsChild>
        <w:div w:id="1910268691">
          <w:marLeft w:val="0"/>
          <w:marRight w:val="0"/>
          <w:marTop w:val="0"/>
          <w:marBottom w:val="0"/>
          <w:divBdr>
            <w:top w:val="single" w:sz="6" w:space="0" w:color="DDDDDD"/>
            <w:left w:val="single" w:sz="6" w:space="0" w:color="DDDDDD"/>
            <w:bottom w:val="single" w:sz="6" w:space="0" w:color="DDDDDD"/>
            <w:right w:val="single" w:sz="6" w:space="0" w:color="DDDDDD"/>
          </w:divBdr>
          <w:divsChild>
            <w:div w:id="895118233">
              <w:marLeft w:val="0"/>
              <w:marRight w:val="0"/>
              <w:marTop w:val="0"/>
              <w:marBottom w:val="0"/>
              <w:divBdr>
                <w:top w:val="none" w:sz="0" w:space="0" w:color="auto"/>
                <w:left w:val="none" w:sz="0" w:space="0" w:color="auto"/>
                <w:bottom w:val="none" w:sz="0" w:space="0" w:color="auto"/>
                <w:right w:val="none" w:sz="0" w:space="0" w:color="auto"/>
              </w:divBdr>
              <w:divsChild>
                <w:div w:id="1652904573">
                  <w:marLeft w:val="0"/>
                  <w:marRight w:val="0"/>
                  <w:marTop w:val="0"/>
                  <w:marBottom w:val="0"/>
                  <w:divBdr>
                    <w:top w:val="none" w:sz="0" w:space="0" w:color="auto"/>
                    <w:left w:val="none" w:sz="0" w:space="0" w:color="auto"/>
                    <w:bottom w:val="none" w:sz="0" w:space="0" w:color="auto"/>
                    <w:right w:val="none" w:sz="0" w:space="0" w:color="auto"/>
                  </w:divBdr>
                  <w:divsChild>
                    <w:div w:id="21049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959961">
      <w:bodyDiv w:val="1"/>
      <w:marLeft w:val="0"/>
      <w:marRight w:val="0"/>
      <w:marTop w:val="0"/>
      <w:marBottom w:val="0"/>
      <w:divBdr>
        <w:top w:val="none" w:sz="0" w:space="0" w:color="auto"/>
        <w:left w:val="none" w:sz="0" w:space="0" w:color="auto"/>
        <w:bottom w:val="none" w:sz="0" w:space="0" w:color="auto"/>
        <w:right w:val="none" w:sz="0" w:space="0" w:color="auto"/>
      </w:divBdr>
      <w:divsChild>
        <w:div w:id="1075740643">
          <w:marLeft w:val="0"/>
          <w:marRight w:val="0"/>
          <w:marTop w:val="0"/>
          <w:marBottom w:val="0"/>
          <w:divBdr>
            <w:top w:val="single" w:sz="6" w:space="0" w:color="DDDDDD"/>
            <w:left w:val="single" w:sz="6" w:space="0" w:color="DDDDDD"/>
            <w:bottom w:val="single" w:sz="6" w:space="0" w:color="DDDDDD"/>
            <w:right w:val="single" w:sz="6" w:space="0" w:color="DDDDDD"/>
          </w:divBdr>
          <w:divsChild>
            <w:div w:id="1991059560">
              <w:marLeft w:val="0"/>
              <w:marRight w:val="0"/>
              <w:marTop w:val="0"/>
              <w:marBottom w:val="0"/>
              <w:divBdr>
                <w:top w:val="none" w:sz="0" w:space="0" w:color="auto"/>
                <w:left w:val="none" w:sz="0" w:space="0" w:color="auto"/>
                <w:bottom w:val="none" w:sz="0" w:space="0" w:color="auto"/>
                <w:right w:val="none" w:sz="0" w:space="0" w:color="auto"/>
              </w:divBdr>
              <w:divsChild>
                <w:div w:id="720136986">
                  <w:marLeft w:val="0"/>
                  <w:marRight w:val="0"/>
                  <w:marTop w:val="0"/>
                  <w:marBottom w:val="0"/>
                  <w:divBdr>
                    <w:top w:val="none" w:sz="0" w:space="0" w:color="auto"/>
                    <w:left w:val="none" w:sz="0" w:space="0" w:color="auto"/>
                    <w:bottom w:val="none" w:sz="0" w:space="0" w:color="auto"/>
                    <w:right w:val="none" w:sz="0" w:space="0" w:color="auto"/>
                  </w:divBdr>
                  <w:divsChild>
                    <w:div w:id="153715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1707</Words>
  <Characters>9733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Ivashchenko</dc:creator>
  <cp:keywords/>
  <dc:description/>
  <cp:lastModifiedBy>Sergey Ivashchenko</cp:lastModifiedBy>
  <cp:revision>2</cp:revision>
  <dcterms:created xsi:type="dcterms:W3CDTF">2023-12-22T11:08:00Z</dcterms:created>
  <dcterms:modified xsi:type="dcterms:W3CDTF">2023-12-22T11:08:00Z</dcterms:modified>
</cp:coreProperties>
</file>