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9A8EA" w14:textId="191784FD" w:rsidR="003C3F74" w:rsidRPr="007A683B" w:rsidRDefault="007A683B" w:rsidP="006747B8">
      <w:pPr>
        <w:rPr>
          <w:sz w:val="24"/>
          <w:szCs w:val="24"/>
        </w:rPr>
      </w:pPr>
      <w:bookmarkStart w:id="0" w:name="_GoBack"/>
      <w:bookmarkEnd w:id="0"/>
      <w:r w:rsidRPr="007A683B">
        <w:rPr>
          <w:sz w:val="24"/>
          <w:szCs w:val="24"/>
        </w:rPr>
        <w:t>Аннотация</w:t>
      </w:r>
      <w:r w:rsidR="00880AB7">
        <w:rPr>
          <w:sz w:val="24"/>
          <w:szCs w:val="24"/>
        </w:rPr>
        <w:t xml:space="preserve"> </w:t>
      </w:r>
      <w:r w:rsidRPr="007A683B">
        <w:rPr>
          <w:sz w:val="24"/>
          <w:szCs w:val="24"/>
        </w:rPr>
        <w:t>цикла  работ «</w:t>
      </w:r>
      <w:r w:rsidRPr="001548B5">
        <w:rPr>
          <w:b/>
          <w:bCs/>
          <w:sz w:val="24"/>
          <w:szCs w:val="24"/>
        </w:rPr>
        <w:t xml:space="preserve">Экспериментальное наблюдение и использование </w:t>
      </w:r>
      <w:proofErr w:type="spellStart"/>
      <w:r w:rsidRPr="001548B5">
        <w:rPr>
          <w:b/>
          <w:bCs/>
          <w:sz w:val="24"/>
          <w:szCs w:val="24"/>
        </w:rPr>
        <w:t>постраспадного</w:t>
      </w:r>
      <w:proofErr w:type="spellEnd"/>
      <w:r w:rsidRPr="001548B5">
        <w:rPr>
          <w:b/>
          <w:bCs/>
          <w:sz w:val="24"/>
          <w:szCs w:val="24"/>
        </w:rPr>
        <w:t xml:space="preserve"> (бет</w:t>
      </w:r>
      <w:proofErr w:type="gramStart"/>
      <w:r w:rsidRPr="001548B5">
        <w:rPr>
          <w:b/>
          <w:bCs/>
          <w:sz w:val="24"/>
          <w:szCs w:val="24"/>
        </w:rPr>
        <w:t>а-</w:t>
      </w:r>
      <w:proofErr w:type="gramEnd"/>
      <w:r w:rsidRPr="001548B5">
        <w:rPr>
          <w:b/>
          <w:bCs/>
          <w:sz w:val="24"/>
          <w:szCs w:val="24"/>
        </w:rPr>
        <w:t xml:space="preserve"> и электромагнитные процессы) </w:t>
      </w:r>
      <w:proofErr w:type="spellStart"/>
      <w:r w:rsidRPr="001548B5">
        <w:rPr>
          <w:b/>
          <w:bCs/>
          <w:sz w:val="24"/>
          <w:szCs w:val="24"/>
        </w:rPr>
        <w:t>авторадиолиза</w:t>
      </w:r>
      <w:proofErr w:type="spellEnd"/>
      <w:r w:rsidRPr="001548B5">
        <w:rPr>
          <w:b/>
          <w:bCs/>
          <w:sz w:val="24"/>
          <w:szCs w:val="24"/>
        </w:rPr>
        <w:t xml:space="preserve"> </w:t>
      </w:r>
      <w:proofErr w:type="spellStart"/>
      <w:r w:rsidRPr="001548B5">
        <w:rPr>
          <w:b/>
          <w:bCs/>
          <w:sz w:val="24"/>
          <w:szCs w:val="24"/>
        </w:rPr>
        <w:t>металлокомплексов</w:t>
      </w:r>
      <w:proofErr w:type="spellEnd"/>
      <w:r w:rsidRPr="001548B5">
        <w:rPr>
          <w:b/>
          <w:bCs/>
          <w:sz w:val="24"/>
          <w:szCs w:val="24"/>
        </w:rPr>
        <w:t xml:space="preserve"> радионуклидов</w:t>
      </w:r>
      <w:r w:rsidRPr="007A683B">
        <w:rPr>
          <w:sz w:val="24"/>
          <w:szCs w:val="24"/>
        </w:rPr>
        <w:t>» на конкур</w:t>
      </w:r>
      <w:r>
        <w:rPr>
          <w:sz w:val="24"/>
          <w:szCs w:val="24"/>
        </w:rPr>
        <w:t>с</w:t>
      </w:r>
      <w:r w:rsidRPr="007A683B">
        <w:rPr>
          <w:sz w:val="24"/>
          <w:szCs w:val="24"/>
        </w:rPr>
        <w:t xml:space="preserve"> научно-исследовательских экспериментальных работ ОИЯИ </w:t>
      </w:r>
    </w:p>
    <w:p w14:paraId="00885028" w14:textId="5E230C1E" w:rsidR="00CE1759" w:rsidRPr="007A683B" w:rsidRDefault="00CE1759" w:rsidP="006747B8">
      <w:pPr>
        <w:rPr>
          <w:b/>
          <w:bCs/>
          <w:sz w:val="24"/>
          <w:szCs w:val="24"/>
        </w:rPr>
      </w:pPr>
      <w:r w:rsidRPr="007A683B">
        <w:rPr>
          <w:b/>
          <w:bCs/>
          <w:sz w:val="24"/>
          <w:szCs w:val="24"/>
        </w:rPr>
        <w:t xml:space="preserve">Авторский </w:t>
      </w:r>
      <w:r w:rsidR="008C0471" w:rsidRPr="007A683B">
        <w:rPr>
          <w:b/>
          <w:bCs/>
          <w:sz w:val="24"/>
          <w:szCs w:val="24"/>
        </w:rPr>
        <w:t xml:space="preserve">коллектив: </w:t>
      </w:r>
      <w:r w:rsidR="008C0471" w:rsidRPr="00880AB7">
        <w:rPr>
          <w:sz w:val="24"/>
          <w:szCs w:val="24"/>
        </w:rPr>
        <w:t xml:space="preserve">все </w:t>
      </w:r>
      <w:r w:rsidR="008C0471" w:rsidRPr="007A683B">
        <w:rPr>
          <w:sz w:val="24"/>
          <w:szCs w:val="24"/>
        </w:rPr>
        <w:t xml:space="preserve">сотрудники </w:t>
      </w:r>
      <w:proofErr w:type="spellStart"/>
      <w:r w:rsidR="008C0471" w:rsidRPr="007A683B">
        <w:rPr>
          <w:sz w:val="24"/>
          <w:szCs w:val="24"/>
        </w:rPr>
        <w:t>НЭОЯСи</w:t>
      </w:r>
      <w:proofErr w:type="spellEnd"/>
      <w:r w:rsidR="008C0471" w:rsidRPr="007A683B">
        <w:rPr>
          <w:sz w:val="24"/>
          <w:szCs w:val="24"/>
        </w:rPr>
        <w:t xml:space="preserve"> РХ ЛЯП ОИЯИ</w:t>
      </w:r>
    </w:p>
    <w:p w14:paraId="4FA33127" w14:textId="429F8727" w:rsidR="00CE1759" w:rsidRPr="007A683B" w:rsidRDefault="00CE1759" w:rsidP="00CE1759">
      <w:pPr>
        <w:pStyle w:val="a3"/>
        <w:numPr>
          <w:ilvl w:val="0"/>
          <w:numId w:val="3"/>
        </w:numPr>
        <w:rPr>
          <w:sz w:val="24"/>
          <w:szCs w:val="24"/>
        </w:rPr>
      </w:pPr>
      <w:r w:rsidRPr="007A683B">
        <w:rPr>
          <w:sz w:val="24"/>
          <w:szCs w:val="24"/>
        </w:rPr>
        <w:t>Философов Д. В.</w:t>
      </w:r>
    </w:p>
    <w:p w14:paraId="0632A746" w14:textId="39D7B740" w:rsidR="00CE1759" w:rsidRPr="007A683B" w:rsidRDefault="00CE1759" w:rsidP="00CE1759">
      <w:pPr>
        <w:pStyle w:val="a3"/>
        <w:numPr>
          <w:ilvl w:val="0"/>
          <w:numId w:val="3"/>
        </w:numPr>
        <w:rPr>
          <w:sz w:val="24"/>
          <w:szCs w:val="24"/>
        </w:rPr>
      </w:pPr>
      <w:r w:rsidRPr="007A683B">
        <w:rPr>
          <w:sz w:val="24"/>
          <w:szCs w:val="24"/>
        </w:rPr>
        <w:t>Куракина Е. С.</w:t>
      </w:r>
    </w:p>
    <w:p w14:paraId="7C23A3C6" w14:textId="37A10746" w:rsidR="00CE1759" w:rsidRPr="007A683B" w:rsidRDefault="00CE1759" w:rsidP="00CE1759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7A683B">
        <w:rPr>
          <w:sz w:val="24"/>
          <w:szCs w:val="24"/>
        </w:rPr>
        <w:t>Величков</w:t>
      </w:r>
      <w:proofErr w:type="spellEnd"/>
      <w:r w:rsidRPr="007A683B">
        <w:rPr>
          <w:sz w:val="24"/>
          <w:szCs w:val="24"/>
        </w:rPr>
        <w:t xml:space="preserve"> А. И.</w:t>
      </w:r>
    </w:p>
    <w:p w14:paraId="309F938D" w14:textId="657417CA" w:rsidR="00CE1759" w:rsidRPr="007A683B" w:rsidRDefault="00CE1759" w:rsidP="00CE1759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7A683B">
        <w:rPr>
          <w:sz w:val="24"/>
          <w:szCs w:val="24"/>
        </w:rPr>
        <w:t>Караиванов</w:t>
      </w:r>
      <w:proofErr w:type="spellEnd"/>
      <w:r w:rsidRPr="007A683B">
        <w:rPr>
          <w:sz w:val="24"/>
          <w:szCs w:val="24"/>
        </w:rPr>
        <w:t xml:space="preserve"> Д. В.</w:t>
      </w:r>
    </w:p>
    <w:p w14:paraId="6A54A205" w14:textId="5BA92DB0" w:rsidR="00CE1759" w:rsidRPr="007A683B" w:rsidRDefault="00CE1759" w:rsidP="00CE1759">
      <w:pPr>
        <w:pStyle w:val="a3"/>
        <w:numPr>
          <w:ilvl w:val="0"/>
          <w:numId w:val="3"/>
        </w:numPr>
        <w:rPr>
          <w:sz w:val="24"/>
          <w:szCs w:val="24"/>
        </w:rPr>
      </w:pPr>
      <w:r w:rsidRPr="007A683B">
        <w:rPr>
          <w:sz w:val="24"/>
          <w:szCs w:val="24"/>
        </w:rPr>
        <w:t>Кочетов О. И.</w:t>
      </w:r>
    </w:p>
    <w:p w14:paraId="3D85DB9A" w14:textId="41D8E483" w:rsidR="00CE1759" w:rsidRPr="007A683B" w:rsidRDefault="00CE1759" w:rsidP="00CE1759">
      <w:pPr>
        <w:pStyle w:val="a3"/>
        <w:numPr>
          <w:ilvl w:val="0"/>
          <w:numId w:val="3"/>
        </w:numPr>
        <w:rPr>
          <w:sz w:val="24"/>
          <w:szCs w:val="24"/>
        </w:rPr>
      </w:pPr>
      <w:r w:rsidRPr="007A683B">
        <w:rPr>
          <w:sz w:val="24"/>
          <w:szCs w:val="24"/>
        </w:rPr>
        <w:t>Саламатин А. В.</w:t>
      </w:r>
    </w:p>
    <w:p w14:paraId="34D702A6" w14:textId="28823618" w:rsidR="00CE1759" w:rsidRPr="007A683B" w:rsidRDefault="00CE1759" w:rsidP="00CE1759">
      <w:pPr>
        <w:pStyle w:val="a3"/>
        <w:numPr>
          <w:ilvl w:val="0"/>
          <w:numId w:val="3"/>
        </w:numPr>
        <w:rPr>
          <w:sz w:val="24"/>
          <w:szCs w:val="24"/>
        </w:rPr>
      </w:pPr>
      <w:r w:rsidRPr="007A683B">
        <w:rPr>
          <w:sz w:val="24"/>
          <w:szCs w:val="24"/>
        </w:rPr>
        <w:t>Тимкин В. В.</w:t>
      </w:r>
    </w:p>
    <w:p w14:paraId="7FBCD0CA" w14:textId="2DFEBC43" w:rsidR="00CE1759" w:rsidRPr="00A97938" w:rsidRDefault="00CE1759" w:rsidP="00A97938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7A683B">
        <w:rPr>
          <w:sz w:val="24"/>
          <w:szCs w:val="24"/>
        </w:rPr>
        <w:t>Хушвактов</w:t>
      </w:r>
      <w:proofErr w:type="spellEnd"/>
      <w:r w:rsidRPr="007A683B">
        <w:rPr>
          <w:sz w:val="24"/>
          <w:szCs w:val="24"/>
        </w:rPr>
        <w:t xml:space="preserve"> Ж. Х.</w:t>
      </w:r>
    </w:p>
    <w:p w14:paraId="271DA0D6" w14:textId="0F337D58" w:rsidR="00CE1759" w:rsidRPr="00CE1759" w:rsidRDefault="00CE1759" w:rsidP="003C3F74">
      <w:pPr>
        <w:jc w:val="center"/>
        <w:rPr>
          <w:b/>
          <w:sz w:val="24"/>
          <w:szCs w:val="24"/>
        </w:rPr>
      </w:pPr>
      <w:r w:rsidRPr="00CE1759">
        <w:rPr>
          <w:b/>
          <w:sz w:val="24"/>
          <w:szCs w:val="24"/>
        </w:rPr>
        <w:t>Аннотация</w:t>
      </w:r>
    </w:p>
    <w:p w14:paraId="691D2BFA" w14:textId="7C404AB1" w:rsidR="003C3F74" w:rsidRDefault="003C3F74" w:rsidP="00CF35AA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Хелатные, как, впрочем, и макроциклические, </w:t>
      </w:r>
      <w:proofErr w:type="spellStart"/>
      <w:r>
        <w:rPr>
          <w:sz w:val="24"/>
          <w:szCs w:val="24"/>
        </w:rPr>
        <w:t>металлокомплексы</w:t>
      </w:r>
      <w:proofErr w:type="spellEnd"/>
      <w:r w:rsidR="00883D84">
        <w:rPr>
          <w:sz w:val="24"/>
          <w:szCs w:val="24"/>
        </w:rPr>
        <w:t xml:space="preserve"> (рисунок 1)</w:t>
      </w:r>
      <w:r>
        <w:rPr>
          <w:sz w:val="24"/>
          <w:szCs w:val="24"/>
        </w:rPr>
        <w:t xml:space="preserve"> играют важнейшую роль в различных областях фундаментальных и прикладных исследований. </w:t>
      </w:r>
      <w:proofErr w:type="spellStart"/>
      <w:r>
        <w:rPr>
          <w:sz w:val="24"/>
          <w:szCs w:val="24"/>
        </w:rPr>
        <w:t>Металлокомплексы</w:t>
      </w:r>
      <w:proofErr w:type="spellEnd"/>
      <w:r>
        <w:rPr>
          <w:sz w:val="24"/>
          <w:szCs w:val="24"/>
        </w:rPr>
        <w:t xml:space="preserve"> применяются как контрастные вещества в магниторезонансной томографии (МРТ), а также являются </w:t>
      </w:r>
      <w:r>
        <w:rPr>
          <w:rFonts w:cs="MyriadPro-Semibold"/>
          <w:sz w:val="24"/>
          <w:szCs w:val="24"/>
        </w:rPr>
        <w:t>к</w:t>
      </w:r>
      <w:r w:rsidRPr="00700B6E">
        <w:rPr>
          <w:sz w:val="24"/>
          <w:szCs w:val="24"/>
        </w:rPr>
        <w:t>лючев</w:t>
      </w:r>
      <w:r>
        <w:rPr>
          <w:sz w:val="24"/>
          <w:szCs w:val="24"/>
        </w:rPr>
        <w:t>ым</w:t>
      </w:r>
      <w:r w:rsidRPr="00700B6E">
        <w:rPr>
          <w:sz w:val="24"/>
          <w:szCs w:val="24"/>
        </w:rPr>
        <w:t xml:space="preserve"> компонент</w:t>
      </w:r>
      <w:r>
        <w:rPr>
          <w:sz w:val="24"/>
          <w:szCs w:val="24"/>
        </w:rPr>
        <w:t>ом в составе</w:t>
      </w:r>
      <w:r w:rsidRPr="00700B6E">
        <w:rPr>
          <w:sz w:val="24"/>
          <w:szCs w:val="24"/>
        </w:rPr>
        <w:t xml:space="preserve"> радиофармпрепаратов</w:t>
      </w:r>
      <w:r>
        <w:rPr>
          <w:sz w:val="24"/>
          <w:szCs w:val="24"/>
        </w:rPr>
        <w:t xml:space="preserve"> (РФП)</w:t>
      </w:r>
      <w:r w:rsidRPr="00700B6E">
        <w:rPr>
          <w:sz w:val="24"/>
          <w:szCs w:val="24"/>
        </w:rPr>
        <w:t xml:space="preserve"> для присоединения радионуклидов к системам селективной доставки</w:t>
      </w:r>
      <w:r>
        <w:rPr>
          <w:sz w:val="24"/>
          <w:szCs w:val="24"/>
        </w:rPr>
        <w:t xml:space="preserve"> при терапии и/или диагностике</w:t>
      </w:r>
      <w:r w:rsidR="00CF35AA">
        <w:rPr>
          <w:sz w:val="24"/>
          <w:szCs w:val="24"/>
        </w:rPr>
        <w:t xml:space="preserve"> опухолей и метастаз</w:t>
      </w:r>
      <w:r>
        <w:rPr>
          <w:sz w:val="24"/>
          <w:szCs w:val="24"/>
        </w:rPr>
        <w:t xml:space="preserve">. </w:t>
      </w:r>
    </w:p>
    <w:p w14:paraId="43F96896" w14:textId="497E5D90" w:rsidR="00CF35AA" w:rsidRDefault="00A60EA3" w:rsidP="00A60E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25A332B" wp14:editId="11405266">
            <wp:simplePos x="0" y="0"/>
            <wp:positionH relativeFrom="column">
              <wp:posOffset>-22860</wp:posOffset>
            </wp:positionH>
            <wp:positionV relativeFrom="paragraph">
              <wp:posOffset>-3810</wp:posOffset>
            </wp:positionV>
            <wp:extent cx="3038475" cy="2099310"/>
            <wp:effectExtent l="0" t="0" r="0" b="0"/>
            <wp:wrapTight wrapText="bothSides">
              <wp:wrapPolygon edited="0">
                <wp:start x="1896" y="0"/>
                <wp:lineTo x="1896" y="18817"/>
                <wp:lineTo x="271" y="19013"/>
                <wp:lineTo x="271" y="20385"/>
                <wp:lineTo x="1490" y="20777"/>
                <wp:lineTo x="18688" y="20777"/>
                <wp:lineTo x="21126" y="20385"/>
                <wp:lineTo x="21397" y="19993"/>
                <wp:lineTo x="20720" y="18817"/>
                <wp:lineTo x="20720" y="0"/>
                <wp:lineTo x="1896" y="0"/>
              </wp:wrapPolygon>
            </wp:wrapTight>
            <wp:docPr id="15757889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88967" name="Рисунок 15757889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5AA">
        <w:rPr>
          <w:sz w:val="24"/>
          <w:szCs w:val="24"/>
        </w:rPr>
        <w:t xml:space="preserve">Целостность РФП, а следовательно, селективная доставка в место локализации опухоли, может быть нарушена ввиду последующих радиоактивному распаду эффектов. Подобные эффекты принято называть </w:t>
      </w:r>
      <w:proofErr w:type="spellStart"/>
      <w:r w:rsidR="00CF35AA">
        <w:rPr>
          <w:sz w:val="24"/>
          <w:szCs w:val="24"/>
        </w:rPr>
        <w:t>постэффектами</w:t>
      </w:r>
      <w:proofErr w:type="spellEnd"/>
      <w:r w:rsidR="00CF35AA">
        <w:rPr>
          <w:sz w:val="24"/>
          <w:szCs w:val="24"/>
        </w:rPr>
        <w:t>, основным механизмом котор</w:t>
      </w:r>
      <w:r w:rsidR="006747B8">
        <w:rPr>
          <w:sz w:val="24"/>
          <w:szCs w:val="24"/>
        </w:rPr>
        <w:t>ых</w:t>
      </w:r>
      <w:r w:rsidR="00CF35AA">
        <w:rPr>
          <w:sz w:val="24"/>
          <w:szCs w:val="24"/>
        </w:rPr>
        <w:t xml:space="preserve"> является </w:t>
      </w:r>
      <w:proofErr w:type="spellStart"/>
      <w:r w:rsidR="00CF35AA">
        <w:rPr>
          <w:sz w:val="24"/>
          <w:szCs w:val="24"/>
        </w:rPr>
        <w:t>авторадиолиз</w:t>
      </w:r>
      <w:proofErr w:type="spellEnd"/>
      <w:r w:rsidR="00CF35AA">
        <w:rPr>
          <w:sz w:val="24"/>
          <w:szCs w:val="24"/>
        </w:rPr>
        <w:t xml:space="preserve">. С одной стороны, </w:t>
      </w:r>
      <w:proofErr w:type="spellStart"/>
      <w:r w:rsidR="00CF35AA">
        <w:rPr>
          <w:sz w:val="24"/>
          <w:szCs w:val="24"/>
        </w:rPr>
        <w:t>постэффекты</w:t>
      </w:r>
      <w:proofErr w:type="spellEnd"/>
      <w:r w:rsidR="00CF35AA">
        <w:rPr>
          <w:sz w:val="24"/>
          <w:szCs w:val="24"/>
        </w:rPr>
        <w:t xml:space="preserve"> могут </w:t>
      </w:r>
      <w:r w:rsidR="00CF35AA" w:rsidRPr="00C0055E">
        <w:rPr>
          <w:sz w:val="24"/>
          <w:szCs w:val="24"/>
        </w:rPr>
        <w:t xml:space="preserve">негативно сказаться на действии РФП на основе </w:t>
      </w:r>
      <w:r w:rsidR="00CF35AA" w:rsidRPr="00C0055E">
        <w:rPr>
          <w:i/>
          <w:iCs/>
          <w:sz w:val="24"/>
          <w:szCs w:val="24"/>
          <w:lang w:val="en-US"/>
        </w:rPr>
        <w:t>in</w:t>
      </w:r>
      <w:r w:rsidR="00CF35AA" w:rsidRPr="00C0055E">
        <w:rPr>
          <w:i/>
          <w:iCs/>
          <w:sz w:val="24"/>
          <w:szCs w:val="24"/>
        </w:rPr>
        <w:t>-</w:t>
      </w:r>
      <w:r w:rsidR="00CF35AA" w:rsidRPr="00C0055E">
        <w:rPr>
          <w:i/>
          <w:iCs/>
          <w:sz w:val="24"/>
          <w:szCs w:val="24"/>
          <w:lang w:val="en-US"/>
        </w:rPr>
        <w:t>vivo</w:t>
      </w:r>
      <w:r w:rsidR="00CF35AA" w:rsidRPr="00C0055E">
        <w:rPr>
          <w:i/>
          <w:iCs/>
          <w:sz w:val="24"/>
          <w:szCs w:val="24"/>
        </w:rPr>
        <w:t xml:space="preserve"> </w:t>
      </w:r>
      <w:r w:rsidR="00CF35AA" w:rsidRPr="00C0055E">
        <w:rPr>
          <w:sz w:val="24"/>
          <w:szCs w:val="24"/>
        </w:rPr>
        <w:t>генераторов, а с другой стороны, они могут стать баз</w:t>
      </w:r>
      <w:r w:rsidR="00CF35AA">
        <w:rPr>
          <w:sz w:val="24"/>
          <w:szCs w:val="24"/>
        </w:rPr>
        <w:t xml:space="preserve">ой для реальных радионуклидных генераторов </w:t>
      </w:r>
      <w:r w:rsidR="00CF35AA" w:rsidRPr="00764AEE">
        <w:rPr>
          <w:i/>
          <w:iCs/>
          <w:sz w:val="24"/>
          <w:szCs w:val="24"/>
          <w:lang w:val="en-US"/>
        </w:rPr>
        <w:t>in</w:t>
      </w:r>
      <w:r w:rsidR="00CF35AA" w:rsidRPr="00764AEE">
        <w:rPr>
          <w:i/>
          <w:iCs/>
          <w:sz w:val="24"/>
          <w:szCs w:val="24"/>
        </w:rPr>
        <w:t>-</w:t>
      </w:r>
      <w:r w:rsidR="00CF35AA" w:rsidRPr="00764AEE">
        <w:rPr>
          <w:i/>
          <w:iCs/>
          <w:sz w:val="24"/>
          <w:szCs w:val="24"/>
          <w:lang w:val="en-US"/>
        </w:rPr>
        <w:t>situ</w:t>
      </w:r>
      <w:r w:rsidR="00CF35AA" w:rsidRPr="00764AEE">
        <w:rPr>
          <w:sz w:val="24"/>
          <w:szCs w:val="24"/>
        </w:rPr>
        <w:t>.</w:t>
      </w:r>
      <w:r w:rsidR="00CF35AA">
        <w:rPr>
          <w:sz w:val="24"/>
          <w:szCs w:val="24"/>
        </w:rPr>
        <w:t xml:space="preserve"> Несмотря на </w:t>
      </w:r>
      <w:r w:rsidR="005F3CC5">
        <w:rPr>
          <w:sz w:val="24"/>
          <w:szCs w:val="24"/>
        </w:rPr>
        <w:t>внимание</w:t>
      </w:r>
      <w:r w:rsidR="00CF35AA">
        <w:rPr>
          <w:sz w:val="24"/>
          <w:szCs w:val="24"/>
        </w:rPr>
        <w:t xml:space="preserve"> </w:t>
      </w:r>
      <w:r w:rsidR="005F3CC5">
        <w:rPr>
          <w:sz w:val="24"/>
          <w:szCs w:val="24"/>
        </w:rPr>
        <w:t xml:space="preserve">к </w:t>
      </w:r>
      <w:r w:rsidR="00CF35AA">
        <w:rPr>
          <w:sz w:val="24"/>
          <w:szCs w:val="24"/>
        </w:rPr>
        <w:t>подобны</w:t>
      </w:r>
      <w:r w:rsidR="005F3CC5">
        <w:rPr>
          <w:sz w:val="24"/>
          <w:szCs w:val="24"/>
        </w:rPr>
        <w:t>м</w:t>
      </w:r>
      <w:r w:rsidR="00CF35AA">
        <w:rPr>
          <w:sz w:val="24"/>
          <w:szCs w:val="24"/>
        </w:rPr>
        <w:t xml:space="preserve"> явления</w:t>
      </w:r>
      <w:r w:rsidR="005F3CC5">
        <w:rPr>
          <w:sz w:val="24"/>
          <w:szCs w:val="24"/>
        </w:rPr>
        <w:t>м</w:t>
      </w:r>
      <w:r w:rsidR="00CF35AA">
        <w:rPr>
          <w:sz w:val="24"/>
          <w:szCs w:val="24"/>
        </w:rPr>
        <w:t xml:space="preserve"> в обзорных статьях по связанным тематикам, к сожалению, экспериментальные данные о подобных явлениях крайне скудны. Нужно отметить, что и динамических моделей, опирающихся на детальное знание процессов </w:t>
      </w:r>
      <w:proofErr w:type="spellStart"/>
      <w:r w:rsidR="00CF35AA" w:rsidRPr="00084031">
        <w:rPr>
          <w:b/>
          <w:bCs/>
          <w:i/>
          <w:iCs/>
          <w:sz w:val="24"/>
          <w:szCs w:val="24"/>
        </w:rPr>
        <w:t>авторадиолиза</w:t>
      </w:r>
      <w:proofErr w:type="spellEnd"/>
      <w:r w:rsidR="00CF35AA">
        <w:rPr>
          <w:sz w:val="24"/>
          <w:szCs w:val="24"/>
        </w:rPr>
        <w:t xml:space="preserve"> </w:t>
      </w:r>
      <w:r w:rsidR="00CF35AA" w:rsidRPr="00DB6660">
        <w:rPr>
          <w:b/>
          <w:bCs/>
          <w:i/>
          <w:iCs/>
          <w:sz w:val="24"/>
          <w:szCs w:val="24"/>
        </w:rPr>
        <w:t>на микроуровне</w:t>
      </w:r>
      <w:r w:rsidR="00CF35AA">
        <w:rPr>
          <w:b/>
          <w:bCs/>
          <w:i/>
          <w:iCs/>
          <w:sz w:val="24"/>
          <w:szCs w:val="24"/>
        </w:rPr>
        <w:t xml:space="preserve"> (точнее </w:t>
      </w:r>
      <w:proofErr w:type="spellStart"/>
      <w:r w:rsidR="00CF35AA">
        <w:rPr>
          <w:b/>
          <w:bCs/>
          <w:i/>
          <w:iCs/>
          <w:sz w:val="24"/>
          <w:szCs w:val="24"/>
        </w:rPr>
        <w:t>наноуровне</w:t>
      </w:r>
      <w:proofErr w:type="spellEnd"/>
      <w:r w:rsidR="00CF35AA">
        <w:rPr>
          <w:b/>
          <w:bCs/>
          <w:i/>
          <w:iCs/>
          <w:sz w:val="24"/>
          <w:szCs w:val="24"/>
        </w:rPr>
        <w:t xml:space="preserve">) </w:t>
      </w:r>
      <w:r w:rsidR="00CF35AA" w:rsidRPr="00DB6660">
        <w:rPr>
          <w:sz w:val="24"/>
          <w:szCs w:val="24"/>
        </w:rPr>
        <w:t>в</w:t>
      </w:r>
      <w:r w:rsidR="00CF35AA">
        <w:rPr>
          <w:sz w:val="24"/>
          <w:szCs w:val="24"/>
        </w:rPr>
        <w:t xml:space="preserve"> локациях радиоактивного распада </w:t>
      </w:r>
      <w:proofErr w:type="spellStart"/>
      <w:r w:rsidR="00CF35AA">
        <w:rPr>
          <w:sz w:val="24"/>
          <w:szCs w:val="24"/>
        </w:rPr>
        <w:t>металлокомплексов</w:t>
      </w:r>
      <w:proofErr w:type="spellEnd"/>
      <w:r w:rsidR="00CF35AA">
        <w:rPr>
          <w:sz w:val="24"/>
          <w:szCs w:val="24"/>
        </w:rPr>
        <w:t>, проходящих за время 10</w:t>
      </w:r>
      <w:r w:rsidR="00CF35AA" w:rsidRPr="005E0930">
        <w:rPr>
          <w:sz w:val="24"/>
          <w:szCs w:val="24"/>
          <w:vertAlign w:val="superscript"/>
        </w:rPr>
        <w:t>-15</w:t>
      </w:r>
      <w:r w:rsidR="00CF35AA">
        <w:rPr>
          <w:sz w:val="24"/>
          <w:szCs w:val="24"/>
        </w:rPr>
        <w:t xml:space="preserve"> - 10</w:t>
      </w:r>
      <w:r w:rsidR="00CF35AA" w:rsidRPr="005E0930">
        <w:rPr>
          <w:sz w:val="24"/>
          <w:szCs w:val="24"/>
          <w:vertAlign w:val="superscript"/>
        </w:rPr>
        <w:t>-9</w:t>
      </w:r>
      <w:r w:rsidR="00CF35AA" w:rsidRPr="005E0930">
        <w:rPr>
          <w:sz w:val="24"/>
          <w:szCs w:val="24"/>
        </w:rPr>
        <w:t xml:space="preserve"> с</w:t>
      </w:r>
      <w:r w:rsidR="00CF35AA" w:rsidRPr="00DB6660">
        <w:rPr>
          <w:sz w:val="24"/>
          <w:szCs w:val="24"/>
        </w:rPr>
        <w:t>,</w:t>
      </w:r>
      <w:r w:rsidR="00CF35AA">
        <w:rPr>
          <w:sz w:val="24"/>
          <w:szCs w:val="24"/>
        </w:rPr>
        <w:t xml:space="preserve"> по большому счету нет. Чаще всего рассмотрение подобных процессов происходит в рамках </w:t>
      </w:r>
      <w:r w:rsidR="00CF35AA" w:rsidRPr="005E0930">
        <w:rPr>
          <w:b/>
          <w:bCs/>
          <w:i/>
          <w:iCs/>
          <w:sz w:val="24"/>
          <w:szCs w:val="24"/>
        </w:rPr>
        <w:t>моделей радиолиза</w:t>
      </w:r>
      <w:r w:rsidR="00CF35AA">
        <w:rPr>
          <w:sz w:val="24"/>
          <w:szCs w:val="24"/>
        </w:rPr>
        <w:t xml:space="preserve">. </w:t>
      </w:r>
    </w:p>
    <w:p w14:paraId="480EFBF8" w14:textId="77777777" w:rsidR="006747B8" w:rsidRDefault="006747B8" w:rsidP="00CF3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15A070D5" w14:textId="77777777" w:rsidR="006747B8" w:rsidRDefault="006747B8" w:rsidP="00C0055E">
      <w:pPr>
        <w:pStyle w:val="a3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A6F5D">
        <w:rPr>
          <w:sz w:val="24"/>
          <w:szCs w:val="24"/>
        </w:rPr>
        <w:t xml:space="preserve">Нужно отметить, что </w:t>
      </w:r>
      <w:r>
        <w:rPr>
          <w:sz w:val="24"/>
          <w:szCs w:val="24"/>
        </w:rPr>
        <w:t>большинство</w:t>
      </w:r>
      <w:r w:rsidRPr="003A6F5D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</w:t>
      </w:r>
      <w:r w:rsidRPr="003A6F5D">
        <w:rPr>
          <w:sz w:val="24"/>
          <w:szCs w:val="24"/>
        </w:rPr>
        <w:t xml:space="preserve"> о </w:t>
      </w:r>
      <w:proofErr w:type="spellStart"/>
      <w:r w:rsidRPr="003A6F5D">
        <w:rPr>
          <w:sz w:val="24"/>
          <w:szCs w:val="24"/>
        </w:rPr>
        <w:t>авторадиолизе</w:t>
      </w:r>
      <w:proofErr w:type="spellEnd"/>
      <w:r>
        <w:rPr>
          <w:sz w:val="24"/>
          <w:szCs w:val="24"/>
        </w:rPr>
        <w:t xml:space="preserve"> после образования дырки на внутренних оболочках после радиоактивного распада</w:t>
      </w:r>
      <w:r w:rsidRPr="003A6F5D">
        <w:rPr>
          <w:sz w:val="24"/>
          <w:szCs w:val="24"/>
        </w:rPr>
        <w:t xml:space="preserve"> с изменением судьбы дочерних радионуклидов </w:t>
      </w:r>
      <w:r w:rsidRPr="00FA5150">
        <w:rPr>
          <w:color w:val="000000" w:themeColor="text1"/>
          <w:sz w:val="24"/>
          <w:szCs w:val="24"/>
        </w:rPr>
        <w:t>представлены</w:t>
      </w:r>
      <w:r>
        <w:rPr>
          <w:color w:val="FF0000"/>
          <w:sz w:val="24"/>
          <w:szCs w:val="24"/>
        </w:rPr>
        <w:t xml:space="preserve"> </w:t>
      </w:r>
      <w:r w:rsidRPr="003A6F5D">
        <w:rPr>
          <w:sz w:val="24"/>
          <w:szCs w:val="24"/>
        </w:rPr>
        <w:t>в нашем цикле работ.</w:t>
      </w:r>
    </w:p>
    <w:p w14:paraId="47154DCF" w14:textId="5084529B" w:rsidR="006747B8" w:rsidRPr="00474F5F" w:rsidRDefault="006747B8" w:rsidP="00C0055E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Наши последние данные о </w:t>
      </w:r>
      <w:r w:rsidR="001972E4">
        <w:rPr>
          <w:sz w:val="24"/>
          <w:szCs w:val="24"/>
        </w:rPr>
        <w:t xml:space="preserve">процессах с </w:t>
      </w:r>
      <w:r w:rsidRPr="003A6F5D"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ОТА</w:t>
      </w:r>
      <w:r>
        <w:rPr>
          <w:bCs/>
          <w:sz w:val="24"/>
          <w:szCs w:val="24"/>
          <w:lang w:val="en-US"/>
        </w:rPr>
        <w:t>TOC</w:t>
      </w:r>
      <w:r w:rsidRPr="003A6F5D">
        <w:rPr>
          <w:bCs/>
          <w:sz w:val="24"/>
          <w:szCs w:val="24"/>
        </w:rPr>
        <w:t>-</w:t>
      </w:r>
      <w:r w:rsidRPr="003A6F5D">
        <w:rPr>
          <w:bCs/>
          <w:sz w:val="24"/>
          <w:szCs w:val="24"/>
          <w:vertAlign w:val="superscript"/>
        </w:rPr>
        <w:t>44</w:t>
      </w:r>
      <w:proofErr w:type="spellStart"/>
      <w:r w:rsidRPr="003A6F5D">
        <w:rPr>
          <w:bCs/>
          <w:sz w:val="24"/>
          <w:szCs w:val="24"/>
          <w:vertAlign w:val="superscript"/>
          <w:lang w:val="en-US"/>
        </w:rPr>
        <w:t>m</w:t>
      </w:r>
      <w:r>
        <w:rPr>
          <w:bCs/>
          <w:sz w:val="24"/>
          <w:szCs w:val="24"/>
          <w:lang w:val="en-US"/>
        </w:rPr>
        <w:t>Sc</w:t>
      </w:r>
      <w:proofErr w:type="spellEnd"/>
      <w:r>
        <w:rPr>
          <w:bCs/>
          <w:sz w:val="24"/>
          <w:szCs w:val="24"/>
        </w:rPr>
        <w:t>/</w:t>
      </w:r>
      <w:r w:rsidRPr="00FA5150">
        <w:rPr>
          <w:bCs/>
          <w:sz w:val="24"/>
          <w:szCs w:val="24"/>
          <w:vertAlign w:val="superscript"/>
        </w:rPr>
        <w:t>44</w:t>
      </w:r>
      <w:proofErr w:type="spellStart"/>
      <w:r>
        <w:rPr>
          <w:bCs/>
          <w:sz w:val="24"/>
          <w:szCs w:val="24"/>
          <w:vertAlign w:val="superscript"/>
          <w:lang w:val="en-US"/>
        </w:rPr>
        <w:t>g</w:t>
      </w:r>
      <w:r w:rsidRPr="00FA5150"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  <w:lang w:val="en-US"/>
        </w:rPr>
        <w:t>c</w:t>
      </w:r>
      <w:proofErr w:type="spellEnd"/>
      <w:r w:rsidRPr="003A6F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принципиально изменяют общую картину. Теперь ясно, что по крайне мере в области средних </w:t>
      </w:r>
      <w:r>
        <w:rPr>
          <w:bCs/>
          <w:sz w:val="24"/>
          <w:szCs w:val="24"/>
          <w:lang w:val="en-US"/>
        </w:rPr>
        <w:t>Z</w:t>
      </w:r>
      <w:r>
        <w:rPr>
          <w:bCs/>
          <w:sz w:val="24"/>
          <w:szCs w:val="24"/>
        </w:rPr>
        <w:t xml:space="preserve"> радионуклидов, механизмы </w:t>
      </w:r>
      <w:proofErr w:type="spellStart"/>
      <w:r>
        <w:rPr>
          <w:bCs/>
          <w:sz w:val="24"/>
          <w:szCs w:val="24"/>
        </w:rPr>
        <w:t>авторадиолиза</w:t>
      </w:r>
      <w:proofErr w:type="spellEnd"/>
      <w:r>
        <w:rPr>
          <w:bCs/>
          <w:sz w:val="24"/>
          <w:szCs w:val="24"/>
        </w:rPr>
        <w:t xml:space="preserve"> для </w:t>
      </w:r>
      <w:proofErr w:type="spellStart"/>
      <w:r>
        <w:rPr>
          <w:bCs/>
          <w:sz w:val="24"/>
          <w:szCs w:val="24"/>
        </w:rPr>
        <w:t>металлокомплесов</w:t>
      </w:r>
      <w:proofErr w:type="spellEnd"/>
      <w:r>
        <w:rPr>
          <w:bCs/>
          <w:sz w:val="24"/>
          <w:szCs w:val="24"/>
        </w:rPr>
        <w:t xml:space="preserve"> могут носить </w:t>
      </w:r>
      <w:r>
        <w:rPr>
          <w:bCs/>
          <w:sz w:val="24"/>
          <w:szCs w:val="24"/>
        </w:rPr>
        <w:lastRenderedPageBreak/>
        <w:t xml:space="preserve">периодический характер, и более того, не исключена их определенная зависимость от структуры и свойств </w:t>
      </w:r>
      <w:proofErr w:type="spellStart"/>
      <w:r>
        <w:rPr>
          <w:bCs/>
          <w:sz w:val="24"/>
          <w:szCs w:val="24"/>
        </w:rPr>
        <w:t>хелатора</w:t>
      </w:r>
      <w:proofErr w:type="spellEnd"/>
      <w:r>
        <w:rPr>
          <w:bCs/>
          <w:sz w:val="24"/>
          <w:szCs w:val="24"/>
        </w:rPr>
        <w:t>.</w:t>
      </w:r>
    </w:p>
    <w:p w14:paraId="1756C68C" w14:textId="1A0D75CB" w:rsidR="006747B8" w:rsidRPr="00BD0493" w:rsidRDefault="006747B8" w:rsidP="00C0055E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 учетом того, что </w:t>
      </w:r>
      <w:r w:rsidRPr="00BD61D1">
        <w:rPr>
          <w:bCs/>
          <w:sz w:val="24"/>
          <w:szCs w:val="24"/>
        </w:rPr>
        <w:t xml:space="preserve">в </w:t>
      </w:r>
      <w:r w:rsidR="00C0055E" w:rsidRPr="00BD61D1">
        <w:rPr>
          <w:bCs/>
          <w:sz w:val="24"/>
          <w:szCs w:val="24"/>
        </w:rPr>
        <w:t>последнее время</w:t>
      </w:r>
      <w:r w:rsidRPr="00BD61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набор подходящих </w:t>
      </w:r>
      <w:proofErr w:type="spellStart"/>
      <w:r>
        <w:rPr>
          <w:bCs/>
          <w:sz w:val="24"/>
          <w:szCs w:val="24"/>
        </w:rPr>
        <w:t>хелаторов</w:t>
      </w:r>
      <w:proofErr w:type="spellEnd"/>
      <w:r>
        <w:rPr>
          <w:bCs/>
          <w:sz w:val="24"/>
          <w:szCs w:val="24"/>
        </w:rPr>
        <w:t xml:space="preserve"> явно превышает несколько десятков, а то и сотен, изучение подобных процессов с ними позволит намного лучше понять механизмы </w:t>
      </w:r>
      <w:proofErr w:type="spellStart"/>
      <w:r>
        <w:rPr>
          <w:bCs/>
          <w:sz w:val="24"/>
          <w:szCs w:val="24"/>
        </w:rPr>
        <w:t>авторадиолиза</w:t>
      </w:r>
      <w:proofErr w:type="spellEnd"/>
      <w:r>
        <w:rPr>
          <w:bCs/>
          <w:sz w:val="24"/>
          <w:szCs w:val="24"/>
        </w:rPr>
        <w:t xml:space="preserve">, и с учетом привлечения современных моделей может даже позволить уточнить спектр мягких </w:t>
      </w:r>
      <w:proofErr w:type="spellStart"/>
      <w:r>
        <w:rPr>
          <w:bCs/>
          <w:sz w:val="24"/>
          <w:szCs w:val="24"/>
        </w:rPr>
        <w:t>майтнер-оже</w:t>
      </w:r>
      <w:proofErr w:type="spellEnd"/>
      <w:r>
        <w:rPr>
          <w:bCs/>
          <w:sz w:val="24"/>
          <w:szCs w:val="24"/>
        </w:rPr>
        <w:t xml:space="preserve">- и </w:t>
      </w:r>
      <w:proofErr w:type="spellStart"/>
      <w:r>
        <w:rPr>
          <w:bCs/>
          <w:sz w:val="24"/>
          <w:szCs w:val="24"/>
        </w:rPr>
        <w:t>костера</w:t>
      </w:r>
      <w:proofErr w:type="spellEnd"/>
      <w:r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</w:rPr>
        <w:t>кронига</w:t>
      </w:r>
      <w:proofErr w:type="spellEnd"/>
      <w:r>
        <w:rPr>
          <w:bCs/>
          <w:sz w:val="24"/>
          <w:szCs w:val="24"/>
        </w:rPr>
        <w:t xml:space="preserve">-электронов. </w:t>
      </w:r>
    </w:p>
    <w:p w14:paraId="77966153" w14:textId="571147ED" w:rsidR="006747B8" w:rsidRPr="00D507F2" w:rsidRDefault="006747B8" w:rsidP="00D507F2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Изучение подобных эффектов с использованием </w:t>
      </w:r>
      <w:proofErr w:type="spellStart"/>
      <w:r>
        <w:rPr>
          <w:bCs/>
          <w:sz w:val="24"/>
          <w:szCs w:val="24"/>
        </w:rPr>
        <w:t>металлокомплексов</w:t>
      </w:r>
      <w:proofErr w:type="spellEnd"/>
      <w:r>
        <w:rPr>
          <w:bCs/>
          <w:sz w:val="24"/>
          <w:szCs w:val="24"/>
        </w:rPr>
        <w:t xml:space="preserve"> с радионуклидами может дать интересную информацию, в общем с лучшим пространственным разрешением, и для радиолиза и </w:t>
      </w:r>
      <w:proofErr w:type="spellStart"/>
      <w:r>
        <w:rPr>
          <w:bCs/>
          <w:sz w:val="24"/>
          <w:szCs w:val="24"/>
        </w:rPr>
        <w:t>авторадиолиза</w:t>
      </w:r>
      <w:proofErr w:type="spellEnd"/>
      <w:r>
        <w:rPr>
          <w:bCs/>
          <w:sz w:val="24"/>
          <w:szCs w:val="24"/>
        </w:rPr>
        <w:t xml:space="preserve"> биологических объектов. </w:t>
      </w:r>
    </w:p>
    <w:p w14:paraId="7C14AEDD" w14:textId="25AD93B7" w:rsidR="006747B8" w:rsidRDefault="00CF35AA" w:rsidP="0067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Наши исследования базировались на </w:t>
      </w:r>
      <w:r w:rsidRPr="0040169A">
        <w:rPr>
          <w:color w:val="000000" w:themeColor="text1"/>
          <w:sz w:val="24"/>
          <w:szCs w:val="24"/>
        </w:rPr>
        <w:t>изучении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металлокомплексов</w:t>
      </w:r>
      <w:proofErr w:type="spellEnd"/>
      <w:r>
        <w:rPr>
          <w:sz w:val="24"/>
          <w:szCs w:val="24"/>
        </w:rPr>
        <w:t xml:space="preserve"> м</w:t>
      </w:r>
      <w:r w:rsidRPr="00B915AA">
        <w:rPr>
          <w:sz w:val="24"/>
          <w:szCs w:val="24"/>
        </w:rPr>
        <w:t>етод</w:t>
      </w:r>
      <w:r>
        <w:rPr>
          <w:sz w:val="24"/>
          <w:szCs w:val="24"/>
        </w:rPr>
        <w:t>ом</w:t>
      </w:r>
      <w:r w:rsidRPr="00B915AA">
        <w:rPr>
          <w:sz w:val="24"/>
          <w:szCs w:val="24"/>
        </w:rPr>
        <w:t xml:space="preserve"> возмущенных угловых корреляций (</w:t>
      </w:r>
      <w:proofErr w:type="spellStart"/>
      <w:r w:rsidR="006747B8">
        <w:rPr>
          <w:rFonts w:ascii="Times New Roman" w:hAnsi="Times New Roman" w:cs="Times New Roman"/>
          <w:sz w:val="24"/>
          <w:szCs w:val="24"/>
        </w:rPr>
        <w:t>γγ</w:t>
      </w:r>
      <w:proofErr w:type="spellEnd"/>
      <w:r w:rsidR="006747B8">
        <w:rPr>
          <w:rFonts w:ascii="Times New Roman" w:hAnsi="Times New Roman" w:cs="Times New Roman"/>
          <w:sz w:val="24"/>
          <w:szCs w:val="24"/>
        </w:rPr>
        <w:t>-</w:t>
      </w:r>
      <w:r w:rsidRPr="00B915AA">
        <w:rPr>
          <w:sz w:val="24"/>
          <w:szCs w:val="24"/>
        </w:rPr>
        <w:t>ВУК)</w:t>
      </w:r>
      <w:r>
        <w:rPr>
          <w:sz w:val="24"/>
          <w:szCs w:val="24"/>
        </w:rPr>
        <w:t xml:space="preserve"> и метом радиоактивных индикаторов (в последнем случае с макроциклами, имеющими очень медленную кинетику).</w:t>
      </w:r>
      <w:r w:rsidRPr="00383425">
        <w:rPr>
          <w:sz w:val="24"/>
          <w:szCs w:val="24"/>
        </w:rPr>
        <w:t xml:space="preserve"> </w:t>
      </w:r>
      <w:r>
        <w:rPr>
          <w:sz w:val="24"/>
          <w:szCs w:val="24"/>
        </w:rPr>
        <w:t>Метод в</w:t>
      </w:r>
      <w:r w:rsidRPr="00700B6E">
        <w:rPr>
          <w:sz w:val="24"/>
          <w:szCs w:val="24"/>
        </w:rPr>
        <w:t>озмущенн</w:t>
      </w:r>
      <w:r>
        <w:rPr>
          <w:sz w:val="24"/>
          <w:szCs w:val="24"/>
        </w:rPr>
        <w:t>ых</w:t>
      </w:r>
      <w:r w:rsidRPr="00700B6E">
        <w:rPr>
          <w:sz w:val="24"/>
          <w:szCs w:val="24"/>
        </w:rPr>
        <w:t xml:space="preserve"> углов</w:t>
      </w:r>
      <w:r>
        <w:rPr>
          <w:sz w:val="24"/>
          <w:szCs w:val="24"/>
        </w:rPr>
        <w:t>ых</w:t>
      </w:r>
      <w:r w:rsidRPr="00700B6E">
        <w:rPr>
          <w:sz w:val="24"/>
          <w:szCs w:val="24"/>
        </w:rPr>
        <w:t xml:space="preserve"> корреляци</w:t>
      </w:r>
      <w:r>
        <w:rPr>
          <w:sz w:val="24"/>
          <w:szCs w:val="24"/>
        </w:rPr>
        <w:t>й</w:t>
      </w:r>
      <w:r w:rsidRPr="00700B6E">
        <w:rPr>
          <w:sz w:val="24"/>
          <w:szCs w:val="24"/>
        </w:rPr>
        <w:t xml:space="preserve"> (</w:t>
      </w:r>
      <w:proofErr w:type="spellStart"/>
      <w:r w:rsidR="006747B8">
        <w:rPr>
          <w:rFonts w:ascii="Times New Roman" w:hAnsi="Times New Roman" w:cs="Times New Roman"/>
          <w:sz w:val="24"/>
          <w:szCs w:val="24"/>
        </w:rPr>
        <w:t>γγ</w:t>
      </w:r>
      <w:proofErr w:type="spellEnd"/>
      <w:r w:rsidR="006747B8">
        <w:rPr>
          <w:sz w:val="24"/>
          <w:szCs w:val="24"/>
        </w:rPr>
        <w:t>-</w:t>
      </w:r>
      <w:r w:rsidRPr="00700B6E">
        <w:rPr>
          <w:sz w:val="24"/>
          <w:szCs w:val="24"/>
        </w:rPr>
        <w:t xml:space="preserve">ВУК) </w:t>
      </w:r>
      <w:r>
        <w:rPr>
          <w:sz w:val="24"/>
          <w:szCs w:val="24"/>
        </w:rPr>
        <w:t>оказался</w:t>
      </w:r>
      <w:r w:rsidRPr="00700B6E">
        <w:rPr>
          <w:sz w:val="24"/>
          <w:szCs w:val="24"/>
        </w:rPr>
        <w:t xml:space="preserve"> уникальным </w:t>
      </w:r>
      <w:r>
        <w:rPr>
          <w:sz w:val="24"/>
          <w:szCs w:val="24"/>
        </w:rPr>
        <w:t>при</w:t>
      </w:r>
      <w:r w:rsidRPr="00700B6E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00B6E">
        <w:rPr>
          <w:sz w:val="24"/>
          <w:szCs w:val="24"/>
        </w:rPr>
        <w:t xml:space="preserve"> поведения комплексов, образующихся между </w:t>
      </w:r>
      <w:proofErr w:type="spellStart"/>
      <w:r w:rsidRPr="00700B6E">
        <w:rPr>
          <w:sz w:val="24"/>
          <w:szCs w:val="24"/>
        </w:rPr>
        <w:t>хелатором</w:t>
      </w:r>
      <w:proofErr w:type="spellEnd"/>
      <w:r w:rsidRPr="00700B6E">
        <w:rPr>
          <w:sz w:val="24"/>
          <w:szCs w:val="24"/>
        </w:rPr>
        <w:t xml:space="preserve"> и радионуклидом</w:t>
      </w:r>
      <w:r w:rsidR="006747B8">
        <w:rPr>
          <w:sz w:val="24"/>
          <w:szCs w:val="24"/>
        </w:rPr>
        <w:t xml:space="preserve"> в </w:t>
      </w:r>
      <w:proofErr w:type="spellStart"/>
      <w:r w:rsidR="006747B8">
        <w:rPr>
          <w:sz w:val="24"/>
          <w:szCs w:val="24"/>
        </w:rPr>
        <w:t>ультрамикрок</w:t>
      </w:r>
      <w:r w:rsidR="008C0471">
        <w:rPr>
          <w:sz w:val="24"/>
          <w:szCs w:val="24"/>
        </w:rPr>
        <w:t>о</w:t>
      </w:r>
      <w:r w:rsidR="006747B8">
        <w:rPr>
          <w:sz w:val="24"/>
          <w:szCs w:val="24"/>
        </w:rPr>
        <w:t>нцентрациях</w:t>
      </w:r>
      <w:proofErr w:type="spellEnd"/>
      <w:r w:rsidR="006747B8">
        <w:rPr>
          <w:sz w:val="24"/>
          <w:szCs w:val="24"/>
        </w:rPr>
        <w:t xml:space="preserve"> (до 10</w:t>
      </w:r>
      <w:r w:rsidR="006747B8" w:rsidRPr="006747B8">
        <w:rPr>
          <w:sz w:val="24"/>
          <w:szCs w:val="24"/>
          <w:vertAlign w:val="superscript"/>
        </w:rPr>
        <w:t>-12</w:t>
      </w:r>
      <w:r w:rsidR="006747B8">
        <w:rPr>
          <w:sz w:val="24"/>
          <w:szCs w:val="24"/>
        </w:rPr>
        <w:t xml:space="preserve"> М)</w:t>
      </w:r>
      <w:r w:rsidRPr="00700B6E">
        <w:rPr>
          <w:sz w:val="24"/>
          <w:szCs w:val="24"/>
        </w:rPr>
        <w:t xml:space="preserve">. </w:t>
      </w:r>
      <w:r w:rsidR="006747B8">
        <w:rPr>
          <w:bCs/>
          <w:sz w:val="24"/>
          <w:szCs w:val="24"/>
        </w:rPr>
        <w:t>Наиболее ярко цикл работ</w:t>
      </w:r>
      <w:r w:rsidR="006747B8" w:rsidRPr="0040169A">
        <w:rPr>
          <w:bCs/>
          <w:color w:val="000000" w:themeColor="text1"/>
          <w:sz w:val="24"/>
          <w:szCs w:val="24"/>
        </w:rPr>
        <w:t xml:space="preserve"> представлен</w:t>
      </w:r>
      <w:r w:rsidR="006747B8">
        <w:rPr>
          <w:bCs/>
          <w:color w:val="FF0000"/>
          <w:sz w:val="24"/>
          <w:szCs w:val="24"/>
        </w:rPr>
        <w:t xml:space="preserve"> </w:t>
      </w:r>
      <w:r w:rsidR="006747B8">
        <w:rPr>
          <w:bCs/>
          <w:sz w:val="24"/>
          <w:szCs w:val="24"/>
        </w:rPr>
        <w:t xml:space="preserve">на рисунке </w:t>
      </w:r>
      <w:r w:rsidR="00F36B3E">
        <w:rPr>
          <w:bCs/>
          <w:sz w:val="24"/>
          <w:szCs w:val="24"/>
        </w:rPr>
        <w:t>2</w:t>
      </w:r>
      <w:r w:rsidR="006747B8">
        <w:rPr>
          <w:bCs/>
          <w:sz w:val="24"/>
          <w:szCs w:val="24"/>
        </w:rPr>
        <w:t xml:space="preserve">.  </w:t>
      </w:r>
      <w:r w:rsidR="006747B8" w:rsidRPr="0040169A">
        <w:rPr>
          <w:bCs/>
          <w:color w:val="000000" w:themeColor="text1"/>
          <w:sz w:val="24"/>
          <w:szCs w:val="24"/>
        </w:rPr>
        <w:t>Стоит</w:t>
      </w:r>
      <w:r w:rsidR="006747B8">
        <w:rPr>
          <w:bCs/>
          <w:sz w:val="24"/>
          <w:szCs w:val="24"/>
        </w:rPr>
        <w:t xml:space="preserve"> принять в расчет наши результаты, </w:t>
      </w:r>
      <w:r w:rsidR="006747B8" w:rsidRPr="0040169A">
        <w:rPr>
          <w:bCs/>
          <w:color w:val="000000" w:themeColor="text1"/>
          <w:sz w:val="24"/>
          <w:szCs w:val="24"/>
        </w:rPr>
        <w:t>где</w:t>
      </w:r>
      <w:r w:rsidR="006747B8">
        <w:rPr>
          <w:bCs/>
          <w:color w:val="FF0000"/>
          <w:sz w:val="24"/>
          <w:szCs w:val="24"/>
        </w:rPr>
        <w:t xml:space="preserve"> </w:t>
      </w:r>
      <w:r w:rsidR="006747B8">
        <w:rPr>
          <w:bCs/>
          <w:sz w:val="24"/>
          <w:szCs w:val="24"/>
        </w:rPr>
        <w:t xml:space="preserve">в случае комплексов </w:t>
      </w:r>
      <w:bookmarkStart w:id="1" w:name="_Hlk150788006"/>
      <w:r w:rsidR="006747B8">
        <w:rPr>
          <w:bCs/>
          <w:sz w:val="24"/>
          <w:szCs w:val="24"/>
          <w:lang w:val="en-US"/>
        </w:rPr>
        <w:t>DTPA</w:t>
      </w:r>
      <w:r w:rsidR="006747B8" w:rsidRPr="00F72E16">
        <w:rPr>
          <w:bCs/>
          <w:sz w:val="24"/>
          <w:szCs w:val="24"/>
        </w:rPr>
        <w:t>-</w:t>
      </w:r>
      <w:r w:rsidR="006747B8" w:rsidRPr="00F72E16">
        <w:rPr>
          <w:bCs/>
          <w:sz w:val="24"/>
          <w:szCs w:val="24"/>
          <w:vertAlign w:val="superscript"/>
        </w:rPr>
        <w:t>111</w:t>
      </w:r>
      <w:proofErr w:type="spellStart"/>
      <w:r w:rsidR="006747B8" w:rsidRPr="00F72E16">
        <w:rPr>
          <w:bCs/>
          <w:sz w:val="24"/>
          <w:szCs w:val="24"/>
          <w:vertAlign w:val="superscript"/>
          <w:lang w:val="en-US"/>
        </w:rPr>
        <w:t>m</w:t>
      </w:r>
      <w:r w:rsidR="006747B8">
        <w:rPr>
          <w:bCs/>
          <w:sz w:val="24"/>
          <w:szCs w:val="24"/>
          <w:lang w:val="en-US"/>
        </w:rPr>
        <w:t>Cd</w:t>
      </w:r>
      <w:bookmarkEnd w:id="1"/>
      <w:proofErr w:type="spellEnd"/>
      <w:r w:rsidR="006747B8">
        <w:rPr>
          <w:bCs/>
          <w:sz w:val="24"/>
          <w:szCs w:val="24"/>
        </w:rPr>
        <w:t xml:space="preserve"> (ИП</w:t>
      </w:r>
      <w:r w:rsidR="006747B8" w:rsidRPr="00F72E16">
        <w:rPr>
          <w:bCs/>
          <w:sz w:val="24"/>
          <w:szCs w:val="24"/>
        </w:rPr>
        <w:t xml:space="preserve"> </w:t>
      </w:r>
      <w:r w:rsidR="006747B8">
        <w:rPr>
          <w:bCs/>
          <w:sz w:val="24"/>
          <w:szCs w:val="24"/>
        </w:rPr>
        <w:t xml:space="preserve">переход посредством </w:t>
      </w:r>
      <w:r w:rsidR="006747B8">
        <w:rPr>
          <w:bCs/>
          <w:sz w:val="24"/>
          <w:szCs w:val="24"/>
        </w:rPr>
        <w:sym w:font="Symbol" w:char="F067"/>
      </w:r>
      <w:r w:rsidR="006747B8">
        <w:rPr>
          <w:bCs/>
          <w:sz w:val="24"/>
          <w:szCs w:val="24"/>
        </w:rPr>
        <w:t>-излучения)</w:t>
      </w:r>
      <w:r w:rsidR="006747B8" w:rsidRPr="00F72E16">
        <w:rPr>
          <w:bCs/>
          <w:sz w:val="24"/>
          <w:szCs w:val="24"/>
        </w:rPr>
        <w:t xml:space="preserve"> </w:t>
      </w:r>
      <w:r w:rsidR="006747B8">
        <w:rPr>
          <w:bCs/>
          <w:sz w:val="24"/>
          <w:szCs w:val="24"/>
        </w:rPr>
        <w:t xml:space="preserve">и </w:t>
      </w:r>
      <w:r w:rsidR="006747B8" w:rsidRPr="00F72E16">
        <w:rPr>
          <w:bCs/>
          <w:sz w:val="24"/>
          <w:szCs w:val="24"/>
          <w:lang w:val="en-US"/>
        </w:rPr>
        <w:t>DTPA</w:t>
      </w:r>
      <w:r w:rsidR="006747B8" w:rsidRPr="00F72E16">
        <w:rPr>
          <w:bCs/>
          <w:sz w:val="24"/>
          <w:szCs w:val="24"/>
        </w:rPr>
        <w:t>-</w:t>
      </w:r>
      <w:r w:rsidR="006747B8" w:rsidRPr="00F72E16">
        <w:rPr>
          <w:bCs/>
          <w:sz w:val="24"/>
          <w:szCs w:val="24"/>
          <w:vertAlign w:val="superscript"/>
        </w:rPr>
        <w:t>154</w:t>
      </w:r>
      <w:proofErr w:type="spellStart"/>
      <w:r w:rsidR="006747B8">
        <w:rPr>
          <w:bCs/>
          <w:sz w:val="24"/>
          <w:szCs w:val="24"/>
          <w:lang w:val="en-US"/>
        </w:rPr>
        <w:t>Eu</w:t>
      </w:r>
      <w:proofErr w:type="spellEnd"/>
      <w:r w:rsidR="006747B8">
        <w:rPr>
          <w:bCs/>
          <w:sz w:val="24"/>
          <w:szCs w:val="24"/>
        </w:rPr>
        <w:t xml:space="preserve"> </w:t>
      </w:r>
      <w:r w:rsidR="006747B8" w:rsidRPr="00F72E16">
        <w:rPr>
          <w:bCs/>
          <w:sz w:val="24"/>
          <w:szCs w:val="24"/>
        </w:rPr>
        <w:t>(</w:t>
      </w:r>
      <w:r w:rsidR="006747B8">
        <w:rPr>
          <w:bCs/>
          <w:sz w:val="24"/>
          <w:szCs w:val="24"/>
        </w:rPr>
        <w:sym w:font="Symbol" w:char="F062"/>
      </w:r>
      <w:r w:rsidR="006747B8" w:rsidRPr="00F72E16">
        <w:rPr>
          <w:bCs/>
          <w:sz w:val="24"/>
          <w:szCs w:val="24"/>
          <w:vertAlign w:val="superscript"/>
        </w:rPr>
        <w:t>-</w:t>
      </w:r>
      <w:r w:rsidR="006747B8" w:rsidRPr="00F72E16">
        <w:rPr>
          <w:bCs/>
          <w:sz w:val="24"/>
          <w:szCs w:val="24"/>
        </w:rPr>
        <w:t>-</w:t>
      </w:r>
      <w:r w:rsidR="006747B8">
        <w:rPr>
          <w:bCs/>
          <w:sz w:val="24"/>
          <w:szCs w:val="24"/>
        </w:rPr>
        <w:t>распад</w:t>
      </w:r>
      <w:r w:rsidR="006747B8" w:rsidRPr="00F72E16">
        <w:rPr>
          <w:bCs/>
          <w:sz w:val="24"/>
          <w:szCs w:val="24"/>
        </w:rPr>
        <w:t>)</w:t>
      </w:r>
      <w:r w:rsidR="006747B8">
        <w:rPr>
          <w:bCs/>
          <w:sz w:val="24"/>
          <w:szCs w:val="24"/>
        </w:rPr>
        <w:t xml:space="preserve"> дочерние нуклиды </w:t>
      </w:r>
      <w:r w:rsidR="006747B8" w:rsidRPr="008237FD">
        <w:rPr>
          <w:bCs/>
          <w:i/>
          <w:iCs/>
          <w:sz w:val="24"/>
          <w:szCs w:val="24"/>
        </w:rPr>
        <w:t>не выходят</w:t>
      </w:r>
      <w:r w:rsidR="006747B8">
        <w:rPr>
          <w:bCs/>
          <w:sz w:val="24"/>
          <w:szCs w:val="24"/>
        </w:rPr>
        <w:t xml:space="preserve"> из окружения материнских.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3"/>
        <w:gridCol w:w="3378"/>
      </w:tblGrid>
      <w:tr w:rsidR="00D507F2" w14:paraId="0B0F746D" w14:textId="77777777" w:rsidTr="00D507F2">
        <w:tc>
          <w:tcPr>
            <w:tcW w:w="4672" w:type="dxa"/>
          </w:tcPr>
          <w:p w14:paraId="6792796D" w14:textId="4DED8340" w:rsidR="00C4097E" w:rsidRDefault="00B9299C" w:rsidP="006747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B7EA0" wp14:editId="78BC9452">
                  <wp:extent cx="3889181" cy="2971800"/>
                  <wp:effectExtent l="0" t="0" r="0" b="0"/>
                  <wp:docPr id="8421509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070" cy="298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9494600" w14:textId="70D23FC0" w:rsidR="00C4097E" w:rsidRDefault="00D507F2" w:rsidP="006747B8">
            <w:pPr>
              <w:autoSpaceDE w:val="0"/>
              <w:autoSpaceDN w:val="0"/>
              <w:adjustRightInd w:val="0"/>
              <w:ind w:left="-15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489EE" wp14:editId="7592FDBB">
                  <wp:extent cx="2151850" cy="2876550"/>
                  <wp:effectExtent l="0" t="0" r="1270" b="0"/>
                  <wp:docPr id="135393298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932986" name="Рисунок 135393298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58" cy="291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40E597" w14:textId="795BD905" w:rsidR="006747B8" w:rsidRPr="008C0471" w:rsidRDefault="006747B8" w:rsidP="00C4097E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945B5C">
        <w:rPr>
          <w:sz w:val="24"/>
          <w:szCs w:val="24"/>
        </w:rPr>
        <w:t>2</w:t>
      </w:r>
      <w:r>
        <w:rPr>
          <w:sz w:val="24"/>
          <w:szCs w:val="24"/>
        </w:rPr>
        <w:t>. Зависимость высвобождения дочернего радионуклида (в % от доли образования начальной вакансии в атомной оболочке) из хелатного комплекса. Синим цвето</w:t>
      </w:r>
      <w:r w:rsidR="00C4097E">
        <w:rPr>
          <w:sz w:val="24"/>
          <w:szCs w:val="24"/>
        </w:rPr>
        <w:t>м</w:t>
      </w:r>
      <w:r>
        <w:rPr>
          <w:sz w:val="24"/>
          <w:szCs w:val="24"/>
        </w:rPr>
        <w:t xml:space="preserve"> обведены данные, полученные нами;</w:t>
      </w:r>
      <w:r w:rsidRPr="00566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звездочкой обозначены данные, полученные </w:t>
      </w:r>
      <w:r w:rsidR="00883D8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другими авторами, которые в согласии с нашими данными. На рисунке </w:t>
      </w:r>
      <w:r w:rsidRPr="00A75E83">
        <w:rPr>
          <w:bCs/>
          <w:sz w:val="24"/>
          <w:szCs w:val="24"/>
          <w:vertAlign w:val="superscript"/>
        </w:rPr>
        <w:t>111</w:t>
      </w:r>
      <w:r w:rsidRPr="00A75E83">
        <w:rPr>
          <w:bCs/>
          <w:sz w:val="24"/>
          <w:szCs w:val="24"/>
          <w:lang w:val="en-US"/>
        </w:rPr>
        <w:t>Cd</w:t>
      </w:r>
      <w:r>
        <w:rPr>
          <w:bCs/>
          <w:sz w:val="24"/>
          <w:szCs w:val="24"/>
        </w:rPr>
        <w:t>-</w:t>
      </w:r>
      <w:r w:rsidRPr="00A75E83">
        <w:rPr>
          <w:bCs/>
          <w:sz w:val="24"/>
          <w:szCs w:val="24"/>
          <w:lang w:val="en-US"/>
        </w:rPr>
        <w:t>DTPA</w:t>
      </w:r>
      <w:r>
        <w:rPr>
          <w:bCs/>
          <w:sz w:val="24"/>
          <w:szCs w:val="24"/>
        </w:rPr>
        <w:t xml:space="preserve"> отвечает случаю, когда материнским радионуклидом является </w:t>
      </w:r>
      <w:r w:rsidRPr="00A75E83">
        <w:rPr>
          <w:bCs/>
          <w:sz w:val="24"/>
          <w:szCs w:val="24"/>
          <w:vertAlign w:val="superscript"/>
        </w:rPr>
        <w:t>111</w:t>
      </w:r>
      <w:r>
        <w:rPr>
          <w:bCs/>
          <w:sz w:val="24"/>
          <w:szCs w:val="24"/>
          <w:lang w:val="en-US"/>
        </w:rPr>
        <w:t>In</w:t>
      </w:r>
      <w:r w:rsidRPr="008C0471">
        <w:rPr>
          <w:bCs/>
          <w:sz w:val="24"/>
          <w:szCs w:val="24"/>
        </w:rPr>
        <w:t>.</w:t>
      </w:r>
      <w:r w:rsidR="00C4097E" w:rsidRPr="008C0471">
        <w:rPr>
          <w:bCs/>
          <w:sz w:val="24"/>
          <w:szCs w:val="24"/>
        </w:rPr>
        <w:t xml:space="preserve"> Справа наглядно показана схема высвобождения дочернего радионуклида из комплекса посредством </w:t>
      </w:r>
      <w:proofErr w:type="spellStart"/>
      <w:r w:rsidR="00C4097E" w:rsidRPr="008C0471">
        <w:rPr>
          <w:bCs/>
          <w:sz w:val="24"/>
          <w:szCs w:val="24"/>
        </w:rPr>
        <w:t>постэффектов</w:t>
      </w:r>
      <w:proofErr w:type="spellEnd"/>
      <w:r w:rsidR="00C4097E" w:rsidRPr="008C0471">
        <w:rPr>
          <w:bCs/>
          <w:sz w:val="24"/>
          <w:szCs w:val="24"/>
        </w:rPr>
        <w:t>.</w:t>
      </w:r>
    </w:p>
    <w:p w14:paraId="6A25B1DF" w14:textId="77777777" w:rsidR="006747B8" w:rsidRDefault="006747B8" w:rsidP="006747B8">
      <w:pPr>
        <w:spacing w:after="120" w:line="240" w:lineRule="auto"/>
        <w:jc w:val="center"/>
        <w:rPr>
          <w:bCs/>
          <w:sz w:val="24"/>
          <w:szCs w:val="24"/>
        </w:rPr>
      </w:pPr>
    </w:p>
    <w:p w14:paraId="75F7283B" w14:textId="34377801" w:rsidR="006747B8" w:rsidRDefault="006747B8" w:rsidP="0067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Также п</w:t>
      </w:r>
      <w:r w:rsidRPr="00E6246F">
        <w:rPr>
          <w:sz w:val="24"/>
          <w:szCs w:val="24"/>
        </w:rPr>
        <w:t>редставлен цикл работ</w:t>
      </w:r>
      <w:r>
        <w:rPr>
          <w:sz w:val="24"/>
          <w:szCs w:val="24"/>
        </w:rPr>
        <w:t xml:space="preserve"> по изучению</w:t>
      </w:r>
      <w:r w:rsidRPr="00E624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авторадиолиза</w:t>
      </w:r>
      <w:proofErr w:type="spellEnd"/>
      <w:r>
        <w:rPr>
          <w:sz w:val="24"/>
          <w:szCs w:val="24"/>
        </w:rPr>
        <w:t xml:space="preserve"> пар</w:t>
      </w:r>
      <w:r w:rsidRPr="00E62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лантаноидов </w:t>
      </w:r>
      <w:r w:rsidRPr="00E6246F">
        <w:rPr>
          <w:sz w:val="24"/>
          <w:szCs w:val="24"/>
          <w:vertAlign w:val="superscript"/>
        </w:rPr>
        <w:t>140</w:t>
      </w:r>
      <w:proofErr w:type="spellStart"/>
      <w:r>
        <w:rPr>
          <w:sz w:val="24"/>
          <w:szCs w:val="24"/>
          <w:lang w:val="en-US"/>
        </w:rPr>
        <w:t>Nd</w:t>
      </w:r>
      <w:proofErr w:type="spellEnd"/>
      <w:r w:rsidRPr="00E6246F">
        <w:rPr>
          <w:sz w:val="24"/>
          <w:szCs w:val="24"/>
        </w:rPr>
        <w:t>/</w:t>
      </w:r>
      <w:r w:rsidRPr="00E6246F">
        <w:rPr>
          <w:sz w:val="24"/>
          <w:szCs w:val="24"/>
          <w:vertAlign w:val="superscript"/>
        </w:rPr>
        <w:t>140</w:t>
      </w:r>
      <w:proofErr w:type="spellStart"/>
      <w:r>
        <w:rPr>
          <w:sz w:val="24"/>
          <w:szCs w:val="24"/>
          <w:lang w:val="en-US"/>
        </w:rPr>
        <w:t>Pr</w:t>
      </w:r>
      <w:proofErr w:type="spellEnd"/>
      <w:r>
        <w:rPr>
          <w:sz w:val="24"/>
          <w:szCs w:val="24"/>
        </w:rPr>
        <w:t xml:space="preserve"> и</w:t>
      </w:r>
      <w:r w:rsidRPr="00700B6E">
        <w:rPr>
          <w:sz w:val="24"/>
          <w:szCs w:val="24"/>
        </w:rPr>
        <w:t xml:space="preserve"> </w:t>
      </w:r>
      <w:r w:rsidRPr="00DB1E4E">
        <w:rPr>
          <w:bCs/>
          <w:sz w:val="24"/>
          <w:szCs w:val="24"/>
        </w:rPr>
        <w:t xml:space="preserve">изомеров </w:t>
      </w:r>
      <w:r w:rsidRPr="00DB1E4E">
        <w:rPr>
          <w:bCs/>
          <w:sz w:val="24"/>
          <w:szCs w:val="24"/>
          <w:vertAlign w:val="superscript"/>
        </w:rPr>
        <w:t>44m</w:t>
      </w:r>
      <w:r w:rsidRPr="00DB1E4E">
        <w:rPr>
          <w:bCs/>
          <w:sz w:val="24"/>
          <w:szCs w:val="24"/>
        </w:rPr>
        <w:t>Sc/</w:t>
      </w:r>
      <w:r w:rsidRPr="00DB1E4E">
        <w:rPr>
          <w:bCs/>
          <w:sz w:val="24"/>
          <w:szCs w:val="24"/>
          <w:vertAlign w:val="superscript"/>
        </w:rPr>
        <w:t>44g</w:t>
      </w:r>
      <w:r w:rsidRPr="00DB1E4E">
        <w:rPr>
          <w:bCs/>
          <w:sz w:val="24"/>
          <w:szCs w:val="24"/>
        </w:rPr>
        <w:t>Sc</w:t>
      </w:r>
      <w:r w:rsidRPr="00122816">
        <w:rPr>
          <w:sz w:val="24"/>
          <w:szCs w:val="24"/>
        </w:rPr>
        <w:t xml:space="preserve"> </w:t>
      </w:r>
      <w:r>
        <w:rPr>
          <w:sz w:val="24"/>
          <w:szCs w:val="24"/>
        </w:rPr>
        <w:t>с помощью радиоактивных индикаторов</w:t>
      </w:r>
      <w:r w:rsidRPr="00DB1E4E">
        <w:rPr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В обоих случаях</w:t>
      </w:r>
      <w:r>
        <w:rPr>
          <w:sz w:val="24"/>
          <w:szCs w:val="24"/>
        </w:rPr>
        <w:t xml:space="preserve"> удалось разработать радионуклидные генераторы</w:t>
      </w:r>
      <w:r w:rsidRPr="00E6246F">
        <w:rPr>
          <w:sz w:val="24"/>
          <w:szCs w:val="24"/>
        </w:rPr>
        <w:t xml:space="preserve"> </w:t>
      </w:r>
      <w:r w:rsidR="00763C07">
        <w:rPr>
          <w:sz w:val="24"/>
          <w:szCs w:val="24"/>
        </w:rPr>
        <w:t xml:space="preserve">с </w:t>
      </w:r>
      <w:r w:rsidRPr="00700B6E">
        <w:rPr>
          <w:sz w:val="24"/>
          <w:szCs w:val="24"/>
        </w:rPr>
        <w:t xml:space="preserve">использованием DOTATOC в качестве </w:t>
      </w:r>
      <w:proofErr w:type="spellStart"/>
      <w:r w:rsidRPr="00700B6E">
        <w:rPr>
          <w:sz w:val="24"/>
          <w:szCs w:val="24"/>
        </w:rPr>
        <w:t>хелатора</w:t>
      </w:r>
      <w:proofErr w:type="spellEnd"/>
      <w:r w:rsidRPr="00700B6E">
        <w:rPr>
          <w:sz w:val="24"/>
          <w:szCs w:val="24"/>
        </w:rPr>
        <w:t>,</w:t>
      </w:r>
      <w:r>
        <w:rPr>
          <w:sz w:val="24"/>
          <w:szCs w:val="24"/>
        </w:rPr>
        <w:t xml:space="preserve"> сорбированного на</w:t>
      </w:r>
      <w:r w:rsidRPr="00700B6E">
        <w:rPr>
          <w:sz w:val="24"/>
          <w:szCs w:val="24"/>
        </w:rPr>
        <w:t xml:space="preserve"> картридж</w:t>
      </w:r>
      <w:r w:rsidR="003217D6">
        <w:rPr>
          <w:sz w:val="24"/>
          <w:szCs w:val="24"/>
        </w:rPr>
        <w:t>е</w:t>
      </w:r>
      <w:r w:rsidRPr="00700B6E">
        <w:rPr>
          <w:sz w:val="24"/>
          <w:szCs w:val="24"/>
        </w:rPr>
        <w:t xml:space="preserve"> </w:t>
      </w:r>
      <w:proofErr w:type="spellStart"/>
      <w:r w:rsidRPr="00700B6E">
        <w:rPr>
          <w:sz w:val="24"/>
          <w:szCs w:val="24"/>
        </w:rPr>
        <w:t>Strata</w:t>
      </w:r>
      <w:proofErr w:type="spellEnd"/>
      <w:r w:rsidRPr="00700B6E">
        <w:rPr>
          <w:sz w:val="24"/>
          <w:szCs w:val="24"/>
        </w:rPr>
        <w:t xml:space="preserve"> C-18E</w:t>
      </w:r>
      <w:r>
        <w:rPr>
          <w:sz w:val="24"/>
          <w:szCs w:val="24"/>
        </w:rPr>
        <w:t xml:space="preserve">. Нужно отметить, что </w:t>
      </w:r>
      <w:r w:rsidRPr="00E6246F">
        <w:rPr>
          <w:sz w:val="24"/>
          <w:szCs w:val="24"/>
          <w:vertAlign w:val="superscript"/>
        </w:rPr>
        <w:t>140</w:t>
      </w:r>
      <w:proofErr w:type="spellStart"/>
      <w:r w:rsidRPr="00E6246F">
        <w:rPr>
          <w:sz w:val="24"/>
          <w:szCs w:val="24"/>
          <w:lang w:val="en-US"/>
        </w:rPr>
        <w:t>Pr</w:t>
      </w:r>
      <w:proofErr w:type="spellEnd"/>
      <w:r>
        <w:rPr>
          <w:sz w:val="24"/>
          <w:szCs w:val="24"/>
        </w:rPr>
        <w:t xml:space="preserve"> и </w:t>
      </w:r>
      <w:r w:rsidRPr="00DB1E4E">
        <w:rPr>
          <w:bCs/>
          <w:sz w:val="24"/>
          <w:szCs w:val="24"/>
          <w:vertAlign w:val="superscript"/>
        </w:rPr>
        <w:lastRenderedPageBreak/>
        <w:t>44g</w:t>
      </w:r>
      <w:r w:rsidRPr="00DB1E4E">
        <w:rPr>
          <w:bCs/>
          <w:sz w:val="24"/>
          <w:szCs w:val="24"/>
        </w:rPr>
        <w:t xml:space="preserve">Sc </w:t>
      </w:r>
      <w:r>
        <w:rPr>
          <w:bCs/>
          <w:sz w:val="24"/>
          <w:szCs w:val="24"/>
        </w:rPr>
        <w:t>могут найти применение</w:t>
      </w:r>
      <w:r w:rsidRPr="00DB1E4E">
        <w:rPr>
          <w:bCs/>
          <w:sz w:val="24"/>
          <w:szCs w:val="24"/>
        </w:rPr>
        <w:t xml:space="preserve"> </w:t>
      </w:r>
      <w:r w:rsidRPr="00E6246F">
        <w:rPr>
          <w:bCs/>
          <w:sz w:val="24"/>
          <w:szCs w:val="24"/>
        </w:rPr>
        <w:t>в ядерной медицине для позитронно-эмиссионной томографии (ПЭТ)</w:t>
      </w:r>
      <w:r w:rsidRPr="00493AC2">
        <w:rPr>
          <w:bCs/>
          <w:sz w:val="24"/>
          <w:szCs w:val="24"/>
        </w:rPr>
        <w:t xml:space="preserve">, </w:t>
      </w:r>
      <w:r w:rsidRPr="0040169A">
        <w:rPr>
          <w:bCs/>
          <w:color w:val="000000" w:themeColor="text1"/>
          <w:sz w:val="24"/>
          <w:szCs w:val="24"/>
        </w:rPr>
        <w:t>и участвуют в доклинических исследованиях.</w:t>
      </w:r>
    </w:p>
    <w:p w14:paraId="733CDE46" w14:textId="77777777" w:rsidR="00CE1759" w:rsidRDefault="00CE1759" w:rsidP="00B9299C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14:paraId="7C0B6E3F" w14:textId="12ABAD9C" w:rsidR="00CE1759" w:rsidRPr="00945B5C" w:rsidRDefault="00CE1759" w:rsidP="00CE1759">
      <w:pPr>
        <w:autoSpaceDE w:val="0"/>
        <w:autoSpaceDN w:val="0"/>
        <w:adjustRightInd w:val="0"/>
        <w:spacing w:after="0" w:line="240" w:lineRule="auto"/>
        <w:ind w:firstLine="709"/>
        <w:rPr>
          <w:b/>
          <w:color w:val="000000" w:themeColor="text1"/>
          <w:sz w:val="24"/>
          <w:szCs w:val="24"/>
          <w:lang w:val="en-US"/>
        </w:rPr>
      </w:pPr>
      <w:r w:rsidRPr="00B9299C">
        <w:rPr>
          <w:b/>
          <w:color w:val="000000" w:themeColor="text1"/>
          <w:sz w:val="24"/>
          <w:szCs w:val="24"/>
        </w:rPr>
        <w:t>Список</w:t>
      </w:r>
      <w:r w:rsidRPr="00945B5C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B9299C">
        <w:rPr>
          <w:b/>
          <w:color w:val="000000" w:themeColor="text1"/>
          <w:sz w:val="24"/>
          <w:szCs w:val="24"/>
        </w:rPr>
        <w:t>цикла</w:t>
      </w:r>
      <w:r w:rsidRPr="00945B5C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B9299C">
        <w:rPr>
          <w:b/>
          <w:color w:val="000000" w:themeColor="text1"/>
          <w:sz w:val="24"/>
          <w:szCs w:val="24"/>
        </w:rPr>
        <w:t>статей</w:t>
      </w:r>
      <w:r w:rsidRPr="00945B5C">
        <w:rPr>
          <w:b/>
          <w:color w:val="000000" w:themeColor="text1"/>
          <w:sz w:val="24"/>
          <w:szCs w:val="24"/>
          <w:lang w:val="en-US"/>
        </w:rPr>
        <w:t>:</w:t>
      </w:r>
    </w:p>
    <w:p w14:paraId="4CFCF8BA" w14:textId="77777777" w:rsidR="00CE1759" w:rsidRPr="00945B5C" w:rsidRDefault="00CE1759" w:rsidP="00CE1759">
      <w:pPr>
        <w:autoSpaceDE w:val="0"/>
        <w:autoSpaceDN w:val="0"/>
        <w:adjustRightInd w:val="0"/>
        <w:spacing w:after="0" w:line="240" w:lineRule="auto"/>
        <w:ind w:firstLine="709"/>
        <w:rPr>
          <w:bCs/>
          <w:color w:val="000000" w:themeColor="text1"/>
          <w:sz w:val="24"/>
          <w:szCs w:val="24"/>
          <w:u w:val="single"/>
          <w:lang w:val="en-US"/>
        </w:rPr>
      </w:pPr>
    </w:p>
    <w:p w14:paraId="245C86B9" w14:textId="77777777" w:rsidR="00CE1759" w:rsidRPr="00FB1DC3" w:rsidRDefault="00CE1759" w:rsidP="00CE1759">
      <w:pPr>
        <w:autoSpaceDE w:val="0"/>
        <w:autoSpaceDN w:val="0"/>
        <w:adjustRightInd w:val="0"/>
        <w:spacing w:after="0" w:line="240" w:lineRule="auto"/>
        <w:rPr>
          <w:rFonts w:eastAsia="ArnoPro-Regular" w:cs="ArnoPro-Regular"/>
          <w:i/>
          <w:iCs/>
          <w:sz w:val="24"/>
          <w:szCs w:val="24"/>
          <w:lang w:val="en-US"/>
        </w:rPr>
      </w:pPr>
      <w:r>
        <w:rPr>
          <w:rFonts w:eastAsia="ArnoPro-Regular" w:cs="ArnoPro-Regular"/>
          <w:b/>
          <w:sz w:val="24"/>
          <w:szCs w:val="24"/>
          <w:lang w:val="en-US"/>
        </w:rPr>
        <w:t xml:space="preserve">1) </w:t>
      </w:r>
      <w:proofErr w:type="spellStart"/>
      <w:r w:rsidRPr="00FE2571">
        <w:rPr>
          <w:rFonts w:eastAsia="ArnoPro-Regular" w:cs="ArnoPro-Regular"/>
          <w:sz w:val="24"/>
          <w:szCs w:val="24"/>
          <w:lang w:val="en-US"/>
        </w:rPr>
        <w:t>Kurakina</w:t>
      </w:r>
      <w:proofErr w:type="spellEnd"/>
      <w:r w:rsidRPr="00FE2571">
        <w:rPr>
          <w:rFonts w:eastAsia="ArnoPro-Regular" w:cs="ArnoPro-Regular"/>
          <w:sz w:val="24"/>
          <w:szCs w:val="24"/>
          <w:lang w:val="en-US"/>
        </w:rPr>
        <w:t xml:space="preserve"> E. S.</w:t>
      </w:r>
      <w:r>
        <w:rPr>
          <w:rFonts w:eastAsia="ArnoPro-Regular" w:cs="ArnoPro-Regular"/>
          <w:sz w:val="24"/>
          <w:szCs w:val="24"/>
          <w:lang w:val="en-US"/>
        </w:rPr>
        <w:t xml:space="preserve">, </w:t>
      </w:r>
      <w:r w:rsidRPr="00FE2571">
        <w:rPr>
          <w:rFonts w:eastAsia="ArnoPro-Regular" w:cs="ArnoPro-Regular"/>
          <w:sz w:val="24"/>
          <w:szCs w:val="24"/>
          <w:lang w:val="en-US"/>
        </w:rPr>
        <w:t>Wharton L.</w:t>
      </w:r>
      <w:r>
        <w:rPr>
          <w:rFonts w:eastAsia="ArnoPro-Regular" w:cs="ArnoPro-Regular"/>
          <w:sz w:val="24"/>
          <w:szCs w:val="24"/>
          <w:lang w:val="en-US"/>
        </w:rPr>
        <w:t xml:space="preserve">, </w:t>
      </w:r>
      <w:proofErr w:type="spellStart"/>
      <w:r w:rsidRPr="00FB1DC3">
        <w:rPr>
          <w:rFonts w:eastAsia="ArnoPro-Regular" w:cs="ArnoPro-Regular"/>
          <w:sz w:val="24"/>
          <w:szCs w:val="24"/>
          <w:lang w:val="en-US"/>
        </w:rPr>
        <w:t>Khushvaktov</w:t>
      </w:r>
      <w:proofErr w:type="spellEnd"/>
      <w:r>
        <w:rPr>
          <w:rFonts w:eastAsia="ArnoPro-Regular" w:cs="ArnoPro-Regular"/>
          <w:sz w:val="24"/>
          <w:szCs w:val="24"/>
          <w:lang w:val="en-US"/>
        </w:rPr>
        <w:t xml:space="preserve"> J., </w:t>
      </w:r>
      <w:proofErr w:type="spellStart"/>
      <w:r w:rsidRPr="00FE2571">
        <w:rPr>
          <w:rFonts w:eastAsia="ArnoPro-Regular" w:cs="ArnoPro-Regular"/>
          <w:sz w:val="24"/>
          <w:szCs w:val="24"/>
          <w:lang w:val="en-US"/>
        </w:rPr>
        <w:t>Magomedbekov</w:t>
      </w:r>
      <w:proofErr w:type="spellEnd"/>
      <w:r w:rsidRPr="00FE2571">
        <w:rPr>
          <w:rFonts w:eastAsia="ArnoPro-Regular" w:cs="ArnoPro-Regular"/>
          <w:sz w:val="24"/>
          <w:szCs w:val="24"/>
          <w:lang w:val="en-US"/>
        </w:rPr>
        <w:t xml:space="preserve"> E. P.</w:t>
      </w:r>
      <w:r>
        <w:rPr>
          <w:rFonts w:eastAsia="ArnoPro-Regular" w:cs="ArnoPro-Regular"/>
          <w:sz w:val="24"/>
          <w:szCs w:val="24"/>
          <w:lang w:val="en-US"/>
        </w:rPr>
        <w:t xml:space="preserve">, </w:t>
      </w:r>
      <w:proofErr w:type="spellStart"/>
      <w:r w:rsidRPr="00FE2571">
        <w:rPr>
          <w:rFonts w:eastAsia="ArnoPro-Regular" w:cs="ArnoPro-Regular"/>
          <w:sz w:val="24"/>
          <w:szCs w:val="24"/>
          <w:lang w:val="en-US"/>
        </w:rPr>
        <w:t>Radchenko</w:t>
      </w:r>
      <w:proofErr w:type="spellEnd"/>
      <w:r w:rsidRPr="00FE2571">
        <w:rPr>
          <w:rFonts w:eastAsia="ArnoPro-Regular" w:cs="ArnoPro-Regular"/>
          <w:sz w:val="24"/>
          <w:szCs w:val="24"/>
          <w:lang w:val="en-US"/>
        </w:rPr>
        <w:t xml:space="preserve"> V</w:t>
      </w:r>
      <w:r>
        <w:rPr>
          <w:rFonts w:eastAsia="ArnoPro-Regular" w:cs="ArnoPro-Regular"/>
          <w:sz w:val="24"/>
          <w:szCs w:val="24"/>
          <w:lang w:val="en-US"/>
        </w:rPr>
        <w:t xml:space="preserve">; </w:t>
      </w:r>
      <w:proofErr w:type="spellStart"/>
      <w:r w:rsidRPr="00FE2571">
        <w:rPr>
          <w:rFonts w:eastAsia="ArnoPro-Regular" w:cs="ArnoPro-Regular"/>
          <w:sz w:val="24"/>
          <w:szCs w:val="24"/>
          <w:lang w:val="en-US"/>
        </w:rPr>
        <w:t>Filosofov</w:t>
      </w:r>
      <w:proofErr w:type="spellEnd"/>
      <w:r w:rsidRPr="00FE2571">
        <w:rPr>
          <w:rFonts w:eastAsia="ArnoPro-Regular" w:cs="ArnoPro-Regular"/>
          <w:sz w:val="24"/>
          <w:szCs w:val="24"/>
          <w:lang w:val="en-US"/>
        </w:rPr>
        <w:t xml:space="preserve"> D. V.</w:t>
      </w:r>
      <w:r>
        <w:rPr>
          <w:rFonts w:eastAsia="ArnoPro-Regular" w:cs="ArnoPro-Regular"/>
          <w:sz w:val="24"/>
          <w:szCs w:val="24"/>
          <w:lang w:val="en-US"/>
        </w:rPr>
        <w:t xml:space="preserve"> </w:t>
      </w:r>
      <w:r w:rsidRPr="00FB1DC3">
        <w:rPr>
          <w:rFonts w:eastAsia="ArnoPro-Regular" w:cs="ArnoPro-Regular"/>
          <w:b/>
          <w:bCs/>
          <w:i/>
          <w:iCs/>
          <w:sz w:val="24"/>
          <w:szCs w:val="24"/>
          <w:lang w:val="en-US"/>
        </w:rPr>
        <w:t>Separation of 44mSc/44gSc Nuclear Isomers Based on After-Effects</w:t>
      </w:r>
      <w:r>
        <w:rPr>
          <w:rFonts w:eastAsia="ArnoPro-Regular" w:cs="ArnoPro-Regular"/>
          <w:b/>
          <w:bCs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eastAsia="ArnoPro-Regular" w:cs="ArnoPro-Regular"/>
          <w:i/>
          <w:iCs/>
          <w:sz w:val="24"/>
          <w:szCs w:val="24"/>
          <w:lang w:val="en-US"/>
        </w:rPr>
        <w:t>Inorg</w:t>
      </w:r>
      <w:proofErr w:type="spellEnd"/>
      <w:r>
        <w:rPr>
          <w:rFonts w:eastAsia="ArnoPro-Regular" w:cs="ArnoPro-Regular"/>
          <w:i/>
          <w:iCs/>
          <w:sz w:val="24"/>
          <w:szCs w:val="24"/>
          <w:lang w:val="en-US"/>
        </w:rPr>
        <w:t xml:space="preserve">. Chem. 2023, </w:t>
      </w:r>
      <w:r w:rsidRPr="00FB1DC3">
        <w:rPr>
          <w:rFonts w:eastAsia="ArnoPro-Regular" w:cs="ArnoPro-Regular"/>
          <w:sz w:val="24"/>
          <w:szCs w:val="24"/>
          <w:lang w:val="en-US"/>
        </w:rPr>
        <w:t>https://doi.org/10.1021/acs.inorgchem.3c01495</w:t>
      </w:r>
      <w:r>
        <w:rPr>
          <w:rFonts w:eastAsia="ArnoPro-Regular" w:cs="ArnoPro-Regular"/>
          <w:sz w:val="24"/>
          <w:szCs w:val="24"/>
          <w:lang w:val="en-US"/>
        </w:rPr>
        <w:t>.</w:t>
      </w:r>
    </w:p>
    <w:p w14:paraId="0CA92720" w14:textId="77777777" w:rsidR="00CE1759" w:rsidRDefault="00CE1759" w:rsidP="00CE1759">
      <w:pPr>
        <w:autoSpaceDE w:val="0"/>
        <w:autoSpaceDN w:val="0"/>
        <w:adjustRightInd w:val="0"/>
        <w:spacing w:after="0" w:line="240" w:lineRule="auto"/>
        <w:rPr>
          <w:rFonts w:eastAsia="ArnoPro-Regular" w:cs="ArnoPro-Regular"/>
          <w:b/>
          <w:sz w:val="24"/>
          <w:szCs w:val="24"/>
          <w:lang w:val="en-US"/>
        </w:rPr>
      </w:pPr>
    </w:p>
    <w:p w14:paraId="504EA7C7" w14:textId="77777777" w:rsidR="00CE1759" w:rsidRPr="00FE2571" w:rsidRDefault="00CE1759" w:rsidP="00CE1759">
      <w:pPr>
        <w:autoSpaceDE w:val="0"/>
        <w:autoSpaceDN w:val="0"/>
        <w:adjustRightInd w:val="0"/>
        <w:spacing w:after="0" w:line="240" w:lineRule="auto"/>
        <w:rPr>
          <w:rFonts w:eastAsia="ArnoPro-Regular" w:cs="ArnoPro-Regular"/>
          <w:sz w:val="24"/>
          <w:szCs w:val="24"/>
          <w:lang w:val="en-US"/>
        </w:rPr>
      </w:pPr>
      <w:r>
        <w:rPr>
          <w:rFonts w:eastAsia="ArnoPro-Regular" w:cs="ArnoPro-Regular"/>
          <w:b/>
          <w:sz w:val="24"/>
          <w:szCs w:val="24"/>
          <w:lang w:val="en-US"/>
        </w:rPr>
        <w:t>2</w:t>
      </w:r>
      <w:r w:rsidRPr="00FE2571">
        <w:rPr>
          <w:rFonts w:eastAsia="ArnoPro-Regular" w:cs="ArnoPro-Regular"/>
          <w:b/>
          <w:sz w:val="24"/>
          <w:szCs w:val="24"/>
          <w:lang w:val="en-US"/>
        </w:rPr>
        <w:t>)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</w:t>
      </w:r>
      <w:proofErr w:type="spellStart"/>
      <w:r w:rsidRPr="00FE2571">
        <w:rPr>
          <w:rFonts w:eastAsia="ArnoPro-Regular" w:cs="ArnoPro-Regular"/>
          <w:sz w:val="24"/>
          <w:szCs w:val="24"/>
          <w:lang w:val="en-US"/>
        </w:rPr>
        <w:t>Kurakina</w:t>
      </w:r>
      <w:proofErr w:type="spellEnd"/>
      <w:r w:rsidRPr="00FE2571">
        <w:rPr>
          <w:rFonts w:eastAsia="ArnoPro-Regular" w:cs="ArnoPro-Regular"/>
          <w:sz w:val="24"/>
          <w:szCs w:val="24"/>
          <w:lang w:val="en-US"/>
        </w:rPr>
        <w:t xml:space="preserve"> E. S.</w:t>
      </w:r>
      <w:r>
        <w:rPr>
          <w:rFonts w:eastAsia="ArnoPro-Regular" w:cs="ArnoPro-Regular"/>
          <w:sz w:val="24"/>
          <w:szCs w:val="24"/>
          <w:lang w:val="en-US"/>
        </w:rPr>
        <w:t>,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Radchenko V.</w:t>
      </w:r>
      <w:r>
        <w:rPr>
          <w:rFonts w:eastAsia="ArnoPro-Regular" w:cs="ArnoPro-Regular"/>
          <w:sz w:val="24"/>
          <w:szCs w:val="24"/>
          <w:lang w:val="en-US"/>
        </w:rPr>
        <w:t>,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</w:t>
      </w:r>
      <w:proofErr w:type="spellStart"/>
      <w:r w:rsidRPr="00FE2571">
        <w:rPr>
          <w:rFonts w:eastAsia="ArnoPro-Regular" w:cs="ArnoPro-Regular"/>
          <w:sz w:val="24"/>
          <w:szCs w:val="24"/>
          <w:lang w:val="en-US"/>
        </w:rPr>
        <w:t>Belozub</w:t>
      </w:r>
      <w:proofErr w:type="spellEnd"/>
      <w:r w:rsidRPr="00FE2571">
        <w:rPr>
          <w:rFonts w:eastAsia="ArnoPro-Regular" w:cs="ArnoPro-Regular"/>
          <w:sz w:val="24"/>
          <w:szCs w:val="24"/>
          <w:lang w:val="en-US"/>
        </w:rPr>
        <w:t xml:space="preserve"> A. N.</w:t>
      </w:r>
      <w:r>
        <w:rPr>
          <w:rFonts w:eastAsia="ArnoPro-Regular" w:cs="ArnoPro-Regular"/>
          <w:sz w:val="24"/>
          <w:szCs w:val="24"/>
          <w:lang w:val="en-US"/>
        </w:rPr>
        <w:t>,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</w:t>
      </w:r>
      <w:proofErr w:type="spellStart"/>
      <w:r w:rsidRPr="00FE2571">
        <w:rPr>
          <w:rFonts w:eastAsia="ArnoPro-Regular" w:cs="ArnoPro-Regular"/>
          <w:sz w:val="24"/>
          <w:szCs w:val="24"/>
          <w:lang w:val="en-US"/>
        </w:rPr>
        <w:t>Bonchev</w:t>
      </w:r>
      <w:proofErr w:type="spellEnd"/>
      <w:r w:rsidRPr="00FE2571">
        <w:rPr>
          <w:rFonts w:eastAsia="ArnoPro-Regular" w:cs="ArnoPro-Regular"/>
          <w:sz w:val="24"/>
          <w:szCs w:val="24"/>
          <w:lang w:val="en-US"/>
        </w:rPr>
        <w:t xml:space="preserve"> G.</w:t>
      </w:r>
      <w:r>
        <w:rPr>
          <w:rFonts w:eastAsia="ArnoPro-Regular" w:cs="ArnoPro-Regular"/>
          <w:sz w:val="24"/>
          <w:szCs w:val="24"/>
          <w:lang w:val="en-US"/>
        </w:rPr>
        <w:t>,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</w:t>
      </w:r>
      <w:proofErr w:type="spellStart"/>
      <w:r w:rsidRPr="00FE2571">
        <w:rPr>
          <w:rFonts w:eastAsia="ArnoPro-Regular" w:cs="ArnoPro-Regular"/>
          <w:sz w:val="24"/>
          <w:szCs w:val="24"/>
          <w:lang w:val="en-US"/>
        </w:rPr>
        <w:t>Bozhikov</w:t>
      </w:r>
      <w:proofErr w:type="spellEnd"/>
      <w:r w:rsidRPr="00FE2571">
        <w:rPr>
          <w:rFonts w:eastAsia="ArnoPro-Regular" w:cs="ArnoPro-Regular"/>
          <w:sz w:val="24"/>
          <w:szCs w:val="24"/>
          <w:lang w:val="en-US"/>
        </w:rPr>
        <w:t xml:space="preserve"> G. A.</w:t>
      </w:r>
      <w:r>
        <w:rPr>
          <w:rFonts w:eastAsia="ArnoPro-Regular" w:cs="ArnoPro-Regular"/>
          <w:sz w:val="24"/>
          <w:szCs w:val="24"/>
          <w:lang w:val="en-US"/>
        </w:rPr>
        <w:t>,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Velichkov A. I.</w:t>
      </w:r>
      <w:r>
        <w:rPr>
          <w:rFonts w:eastAsia="ArnoPro-Regular" w:cs="ArnoPro-Regular"/>
          <w:sz w:val="24"/>
          <w:szCs w:val="24"/>
          <w:lang w:val="en-US"/>
        </w:rPr>
        <w:t>,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Stachura M.</w:t>
      </w:r>
      <w:r>
        <w:rPr>
          <w:rFonts w:eastAsia="ArnoPro-Regular" w:cs="ArnoPro-Regular"/>
          <w:sz w:val="24"/>
          <w:szCs w:val="24"/>
          <w:lang w:val="en-US"/>
        </w:rPr>
        <w:t>,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</w:t>
      </w:r>
      <w:proofErr w:type="spellStart"/>
      <w:r w:rsidRPr="00FE2571">
        <w:rPr>
          <w:rFonts w:eastAsia="ArnoPro-Regular" w:cs="ArnoPro-Regular"/>
          <w:sz w:val="24"/>
          <w:szCs w:val="24"/>
          <w:lang w:val="en-US"/>
        </w:rPr>
        <w:t>Karaivanov</w:t>
      </w:r>
      <w:proofErr w:type="spellEnd"/>
      <w:r w:rsidRPr="00FE2571">
        <w:rPr>
          <w:rFonts w:eastAsia="ArnoPro-Regular" w:cs="ArnoPro-Regular"/>
          <w:sz w:val="24"/>
          <w:szCs w:val="24"/>
          <w:lang w:val="en-US"/>
        </w:rPr>
        <w:t xml:space="preserve"> D. V.</w:t>
      </w:r>
      <w:r>
        <w:rPr>
          <w:rFonts w:eastAsia="ArnoPro-Regular" w:cs="ArnoPro-Regular"/>
          <w:sz w:val="24"/>
          <w:szCs w:val="24"/>
          <w:lang w:val="en-US"/>
        </w:rPr>
        <w:t>,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</w:t>
      </w:r>
      <w:proofErr w:type="spellStart"/>
      <w:r w:rsidRPr="00FE2571">
        <w:rPr>
          <w:rFonts w:eastAsia="ArnoPro-Regular" w:cs="ArnoPro-Regular"/>
          <w:sz w:val="24"/>
          <w:szCs w:val="24"/>
          <w:lang w:val="en-US"/>
        </w:rPr>
        <w:t>Magomedbekov</w:t>
      </w:r>
      <w:proofErr w:type="spellEnd"/>
      <w:r w:rsidRPr="00FE2571">
        <w:rPr>
          <w:rFonts w:eastAsia="ArnoPro-Regular" w:cs="ArnoPro-Regular"/>
          <w:sz w:val="24"/>
          <w:szCs w:val="24"/>
          <w:lang w:val="en-US"/>
        </w:rPr>
        <w:t xml:space="preserve"> E. P.</w:t>
      </w:r>
      <w:r>
        <w:rPr>
          <w:rFonts w:eastAsia="ArnoPro-Regular" w:cs="ArnoPro-Regular"/>
          <w:sz w:val="24"/>
          <w:szCs w:val="24"/>
          <w:lang w:val="en-US"/>
        </w:rPr>
        <w:t>,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</w:t>
      </w:r>
      <w:proofErr w:type="spellStart"/>
      <w:r w:rsidRPr="00FE2571">
        <w:rPr>
          <w:rFonts w:eastAsia="ArnoPro-Regular" w:cs="ArnoPro-Regular"/>
          <w:sz w:val="24"/>
          <w:szCs w:val="24"/>
          <w:lang w:val="en-US"/>
        </w:rPr>
        <w:t>Filosofov</w:t>
      </w:r>
      <w:proofErr w:type="spellEnd"/>
      <w:r w:rsidRPr="00FE2571">
        <w:rPr>
          <w:rFonts w:eastAsia="ArnoPro-Regular" w:cs="ArnoPro-Regular"/>
          <w:sz w:val="24"/>
          <w:szCs w:val="24"/>
          <w:lang w:val="en-US"/>
        </w:rPr>
        <w:t xml:space="preserve"> D. V.</w:t>
      </w:r>
      <w:r>
        <w:rPr>
          <w:rFonts w:eastAsia="ArnoPro-Regular" w:cs="ArnoPro-Regular"/>
          <w:sz w:val="24"/>
          <w:szCs w:val="24"/>
          <w:lang w:val="en-US"/>
        </w:rPr>
        <w:t xml:space="preserve"> </w:t>
      </w:r>
      <w:r w:rsidRPr="00FE2571">
        <w:rPr>
          <w:rFonts w:eastAsia="ArnoPro-Regular" w:cs="ArnoPro-Regular"/>
          <w:b/>
          <w:i/>
          <w:sz w:val="24"/>
          <w:szCs w:val="24"/>
          <w:lang w:val="en-US"/>
        </w:rPr>
        <w:t>Perturbed Angular Correlation as a Tool to Study Precursors for Radiopharmaceuticals.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</w:t>
      </w:r>
      <w:proofErr w:type="spellStart"/>
      <w:r w:rsidRPr="00FE2571">
        <w:rPr>
          <w:rFonts w:eastAsia="ArnoPro-Regular" w:cs="ArnoPro-Italic"/>
          <w:i/>
          <w:iCs/>
          <w:sz w:val="24"/>
          <w:szCs w:val="24"/>
          <w:lang w:val="en-US"/>
        </w:rPr>
        <w:t>Inorg</w:t>
      </w:r>
      <w:proofErr w:type="spellEnd"/>
      <w:r w:rsidRPr="00FE2571">
        <w:rPr>
          <w:rFonts w:eastAsia="ArnoPro-Regular" w:cs="ArnoPro-Italic"/>
          <w:i/>
          <w:iCs/>
          <w:sz w:val="24"/>
          <w:szCs w:val="24"/>
          <w:lang w:val="en-US"/>
        </w:rPr>
        <w:t>. Chem.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 </w:t>
      </w:r>
      <w:r w:rsidRPr="00FE2571">
        <w:rPr>
          <w:rFonts w:eastAsia="ArnoPro-Regular" w:cs="ArnoPro-Smbd"/>
          <w:sz w:val="24"/>
          <w:szCs w:val="24"/>
          <w:lang w:val="en-US"/>
        </w:rPr>
        <w:t>2020</w:t>
      </w:r>
      <w:r w:rsidRPr="00FE2571">
        <w:rPr>
          <w:rFonts w:eastAsia="ArnoPro-Regular" w:cs="ArnoPro-Regular"/>
          <w:sz w:val="24"/>
          <w:szCs w:val="24"/>
          <w:lang w:val="en-US"/>
        </w:rPr>
        <w:t xml:space="preserve">, </w:t>
      </w:r>
      <w:r w:rsidRPr="00FE2571">
        <w:rPr>
          <w:rFonts w:eastAsia="ArnoPro-Regular" w:cs="ArnoPro-Italic"/>
          <w:i/>
          <w:iCs/>
          <w:sz w:val="24"/>
          <w:szCs w:val="24"/>
          <w:lang w:val="en-US"/>
        </w:rPr>
        <w:t xml:space="preserve">59 </w:t>
      </w:r>
      <w:r w:rsidRPr="00FE2571">
        <w:rPr>
          <w:rFonts w:eastAsia="ArnoPro-Regular" w:cs="ArnoPro-Regular"/>
          <w:sz w:val="24"/>
          <w:szCs w:val="24"/>
          <w:lang w:val="en-US"/>
        </w:rPr>
        <w:t>(17), 12209</w:t>
      </w:r>
      <w:r w:rsidRPr="00FE2571">
        <w:rPr>
          <w:rFonts w:eastAsia="STIXGeneral-Regular" w:cs="STIXGeneral-Regular"/>
          <w:sz w:val="24"/>
          <w:szCs w:val="24"/>
          <w:lang w:val="en-US"/>
        </w:rPr>
        <w:t>−</w:t>
      </w:r>
      <w:r w:rsidRPr="00FE2571">
        <w:rPr>
          <w:rFonts w:eastAsia="ArnoPro-Regular" w:cs="ArnoPro-Regular"/>
          <w:sz w:val="24"/>
          <w:szCs w:val="24"/>
          <w:lang w:val="en-US"/>
        </w:rPr>
        <w:t>12217. 431.</w:t>
      </w:r>
    </w:p>
    <w:p w14:paraId="74875D20" w14:textId="77777777" w:rsidR="00CE1759" w:rsidRPr="00FE2571" w:rsidRDefault="00CE1759" w:rsidP="00CE1759">
      <w:pPr>
        <w:autoSpaceDE w:val="0"/>
        <w:autoSpaceDN w:val="0"/>
        <w:adjustRightInd w:val="0"/>
        <w:spacing w:after="0" w:line="240" w:lineRule="auto"/>
        <w:rPr>
          <w:rFonts w:eastAsia="ArnoPro-Regular" w:cs="ArnoPro-Regular"/>
          <w:sz w:val="24"/>
          <w:szCs w:val="24"/>
          <w:lang w:val="en-US"/>
        </w:rPr>
      </w:pPr>
    </w:p>
    <w:p w14:paraId="080C7AAE" w14:textId="579D256E" w:rsidR="00CE1759" w:rsidRDefault="00CE1759" w:rsidP="00CE1759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  <w:lang w:val="en-US"/>
        </w:rPr>
      </w:pPr>
      <w:r>
        <w:rPr>
          <w:rFonts w:cs="Martel-Regular"/>
          <w:b/>
          <w:sz w:val="24"/>
          <w:szCs w:val="24"/>
          <w:lang w:val="en-US"/>
        </w:rPr>
        <w:t>3</w:t>
      </w:r>
      <w:r w:rsidRPr="00FE2571">
        <w:rPr>
          <w:rFonts w:cs="Martel-Regular"/>
          <w:b/>
          <w:sz w:val="24"/>
          <w:szCs w:val="24"/>
          <w:lang w:val="en-US"/>
        </w:rPr>
        <w:t>)</w:t>
      </w:r>
      <w:r w:rsidRPr="00FE2571">
        <w:rPr>
          <w:rFonts w:cs="Martel-Regular"/>
          <w:sz w:val="24"/>
          <w:szCs w:val="24"/>
          <w:lang w:val="en-US"/>
        </w:rPr>
        <w:t xml:space="preserve"> </w:t>
      </w:r>
      <w:proofErr w:type="spellStart"/>
      <w:r w:rsidR="00A32D24" w:rsidRPr="00A32D24">
        <w:rPr>
          <w:rFonts w:cs="Martel-Regular"/>
          <w:sz w:val="24"/>
          <w:szCs w:val="24"/>
          <w:lang w:val="en-US"/>
        </w:rPr>
        <w:t>Zhernosekov</w:t>
      </w:r>
      <w:proofErr w:type="spellEnd"/>
      <w:r w:rsidR="00A32D24" w:rsidRPr="00A32D24">
        <w:rPr>
          <w:rFonts w:cs="Martel-Regular"/>
          <w:sz w:val="24"/>
          <w:szCs w:val="24"/>
          <w:lang w:val="en-US"/>
        </w:rPr>
        <w:t xml:space="preserve"> K. P., </w:t>
      </w:r>
      <w:proofErr w:type="spellStart"/>
      <w:r w:rsidR="00A32D24" w:rsidRPr="00A32D24">
        <w:rPr>
          <w:rFonts w:cs="Martel-Regular"/>
          <w:sz w:val="24"/>
          <w:szCs w:val="24"/>
          <w:lang w:val="en-US"/>
        </w:rPr>
        <w:t>Filosofov</w:t>
      </w:r>
      <w:proofErr w:type="spellEnd"/>
      <w:r w:rsidR="00A32D24" w:rsidRPr="00A32D24">
        <w:rPr>
          <w:rFonts w:cs="Martel-Regular"/>
          <w:sz w:val="24"/>
          <w:szCs w:val="24"/>
          <w:lang w:val="en-US"/>
        </w:rPr>
        <w:t xml:space="preserve"> D. V., Qaim S. M., Rosch, F. </w:t>
      </w:r>
      <w:r w:rsidR="00A32D24" w:rsidRPr="00A32D24">
        <w:rPr>
          <w:rFonts w:cs="Martel-Regular"/>
          <w:b/>
          <w:bCs/>
          <w:i/>
          <w:iCs/>
          <w:sz w:val="24"/>
          <w:szCs w:val="24"/>
          <w:lang w:val="en-US"/>
        </w:rPr>
        <w:t xml:space="preserve">A 140Nd/140Pr radionuclide generator based on </w:t>
      </w:r>
      <w:proofErr w:type="spellStart"/>
      <w:r w:rsidR="00A32D24" w:rsidRPr="00A32D24">
        <w:rPr>
          <w:rFonts w:cs="Martel-Regular"/>
          <w:b/>
          <w:bCs/>
          <w:i/>
          <w:iCs/>
          <w:sz w:val="24"/>
          <w:szCs w:val="24"/>
          <w:lang w:val="en-US"/>
        </w:rPr>
        <w:t>physico</w:t>
      </w:r>
      <w:proofErr w:type="spellEnd"/>
      <w:r w:rsidR="00A32D24" w:rsidRPr="00A32D24">
        <w:rPr>
          <w:rFonts w:cs="Martel-Regular"/>
          <w:b/>
          <w:bCs/>
          <w:i/>
          <w:iCs/>
          <w:sz w:val="24"/>
          <w:szCs w:val="24"/>
          <w:lang w:val="en-US"/>
        </w:rPr>
        <w:t>-chemical transitions in 140Pr complexes after electron capture decay of 140Nd-DOTA</w:t>
      </w:r>
      <w:r w:rsidR="00A32D24" w:rsidRPr="00A32D24">
        <w:rPr>
          <w:rFonts w:cs="Martel-Regular"/>
          <w:sz w:val="24"/>
          <w:szCs w:val="24"/>
          <w:lang w:val="en-US"/>
        </w:rPr>
        <w:t xml:space="preserve">. </w:t>
      </w:r>
      <w:proofErr w:type="spellStart"/>
      <w:r w:rsidR="00A32D24" w:rsidRPr="00A32D24">
        <w:rPr>
          <w:rFonts w:cs="Martel-Regular"/>
          <w:sz w:val="24"/>
          <w:szCs w:val="24"/>
          <w:lang w:val="en-US"/>
        </w:rPr>
        <w:t>Radiochimica</w:t>
      </w:r>
      <w:proofErr w:type="spellEnd"/>
      <w:r w:rsidR="00A32D24" w:rsidRPr="00A32D24">
        <w:rPr>
          <w:rFonts w:cs="Martel-Regular"/>
          <w:sz w:val="24"/>
          <w:szCs w:val="24"/>
          <w:lang w:val="en-US"/>
        </w:rPr>
        <w:t xml:space="preserve"> </w:t>
      </w:r>
      <w:proofErr w:type="spellStart"/>
      <w:r w:rsidR="00A32D24" w:rsidRPr="00A32D24">
        <w:rPr>
          <w:rFonts w:cs="Martel-Regular"/>
          <w:sz w:val="24"/>
          <w:szCs w:val="24"/>
          <w:lang w:val="en-US"/>
        </w:rPr>
        <w:t>Acta</w:t>
      </w:r>
      <w:proofErr w:type="spellEnd"/>
      <w:r w:rsidR="00A32D24" w:rsidRPr="00A32D24">
        <w:rPr>
          <w:rFonts w:cs="Martel-Regular"/>
          <w:sz w:val="24"/>
          <w:szCs w:val="24"/>
          <w:lang w:val="en-US"/>
        </w:rPr>
        <w:t>, 2007, 95(6), 319–327. https://doi.org/10.1524/ract.2007.95.6.319</w:t>
      </w:r>
    </w:p>
    <w:p w14:paraId="61CB27F8" w14:textId="77777777" w:rsidR="00CE1759" w:rsidRDefault="00CE1759" w:rsidP="00CE1759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  <w:lang w:val="en-US"/>
        </w:rPr>
      </w:pPr>
    </w:p>
    <w:p w14:paraId="49C94F3A" w14:textId="7E26EA2E" w:rsidR="00CE1759" w:rsidRPr="00FE2571" w:rsidRDefault="00CE1759" w:rsidP="00CE175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  <w:bCs/>
          <w:sz w:val="24"/>
          <w:szCs w:val="24"/>
          <w:lang w:val="en-US"/>
        </w:rPr>
      </w:pPr>
      <w:r>
        <w:rPr>
          <w:rFonts w:cs="Courier"/>
          <w:sz w:val="24"/>
          <w:szCs w:val="24"/>
          <w:lang w:val="en-US"/>
        </w:rPr>
        <w:t>4)</w:t>
      </w:r>
      <w:r w:rsidRPr="00D62D74">
        <w:rPr>
          <w:lang w:val="en-US"/>
        </w:rPr>
        <w:t xml:space="preserve"> </w:t>
      </w:r>
      <w:proofErr w:type="spellStart"/>
      <w:r w:rsidR="00A32D24" w:rsidRPr="00A32D24">
        <w:rPr>
          <w:rFonts w:cs="Courier"/>
          <w:sz w:val="24"/>
          <w:szCs w:val="24"/>
          <w:lang w:val="en-US"/>
        </w:rPr>
        <w:t>Brudanin</w:t>
      </w:r>
      <w:proofErr w:type="spellEnd"/>
      <w:r w:rsidR="00A32D24" w:rsidRPr="00A32D24">
        <w:rPr>
          <w:rFonts w:cs="Courier"/>
          <w:sz w:val="24"/>
          <w:szCs w:val="24"/>
          <w:lang w:val="en-US"/>
        </w:rPr>
        <w:t xml:space="preserve"> V. B., </w:t>
      </w:r>
      <w:proofErr w:type="spellStart"/>
      <w:r w:rsidR="00A32D24" w:rsidRPr="00A32D24">
        <w:rPr>
          <w:rFonts w:cs="Courier"/>
          <w:sz w:val="24"/>
          <w:szCs w:val="24"/>
          <w:lang w:val="en-US"/>
        </w:rPr>
        <w:t>Filossofov</w:t>
      </w:r>
      <w:proofErr w:type="spellEnd"/>
      <w:r w:rsidR="00A32D24" w:rsidRPr="00A32D24">
        <w:rPr>
          <w:rFonts w:cs="Courier"/>
          <w:sz w:val="24"/>
          <w:szCs w:val="24"/>
          <w:lang w:val="en-US"/>
        </w:rPr>
        <w:t xml:space="preserve"> D. V., </w:t>
      </w:r>
      <w:proofErr w:type="spellStart"/>
      <w:r w:rsidR="00A32D24" w:rsidRPr="00A32D24">
        <w:rPr>
          <w:rFonts w:cs="Courier"/>
          <w:sz w:val="24"/>
          <w:szCs w:val="24"/>
          <w:lang w:val="en-US"/>
        </w:rPr>
        <w:t>Kochetov</w:t>
      </w:r>
      <w:proofErr w:type="spellEnd"/>
      <w:r w:rsidR="00A32D24" w:rsidRPr="00A32D24">
        <w:rPr>
          <w:rFonts w:cs="Courier"/>
          <w:sz w:val="24"/>
          <w:szCs w:val="24"/>
          <w:lang w:val="en-US"/>
        </w:rPr>
        <w:t xml:space="preserve"> 0. I., Korolev N. A., Milanov M., 0strovskiy I. V., Pavlov V. N., </w:t>
      </w:r>
      <w:proofErr w:type="spellStart"/>
      <w:r w:rsidR="00A32D24" w:rsidRPr="00A32D24">
        <w:rPr>
          <w:rFonts w:cs="Courier"/>
          <w:sz w:val="24"/>
          <w:szCs w:val="24"/>
          <w:lang w:val="en-US"/>
        </w:rPr>
        <w:t>Salamatin</w:t>
      </w:r>
      <w:proofErr w:type="spellEnd"/>
      <w:r w:rsidR="00A32D24" w:rsidRPr="00A32D24">
        <w:rPr>
          <w:rFonts w:cs="Courier"/>
          <w:sz w:val="24"/>
          <w:szCs w:val="24"/>
          <w:lang w:val="en-US"/>
        </w:rPr>
        <w:t xml:space="preserve"> A. V., </w:t>
      </w:r>
      <w:proofErr w:type="spellStart"/>
      <w:r w:rsidR="00A32D24" w:rsidRPr="00A32D24">
        <w:rPr>
          <w:rFonts w:cs="Courier"/>
          <w:sz w:val="24"/>
          <w:szCs w:val="24"/>
          <w:lang w:val="en-US"/>
        </w:rPr>
        <w:t>Timkin</w:t>
      </w:r>
      <w:proofErr w:type="spellEnd"/>
      <w:r w:rsidR="00A32D24" w:rsidRPr="00A32D24">
        <w:rPr>
          <w:rFonts w:cs="Courier"/>
          <w:sz w:val="24"/>
          <w:szCs w:val="24"/>
          <w:lang w:val="en-US"/>
        </w:rPr>
        <w:t xml:space="preserve"> V. V., Velichkov A. I., Fomicheva L. N., </w:t>
      </w:r>
      <w:proofErr w:type="spellStart"/>
      <w:r w:rsidR="00A32D24" w:rsidRPr="00A32D24">
        <w:rPr>
          <w:rFonts w:cs="Courier"/>
          <w:sz w:val="24"/>
          <w:szCs w:val="24"/>
          <w:lang w:val="en-US"/>
        </w:rPr>
        <w:t>Tsvyaschenko</w:t>
      </w:r>
      <w:proofErr w:type="spellEnd"/>
      <w:r w:rsidR="00A32D24" w:rsidRPr="00A32D24">
        <w:rPr>
          <w:rFonts w:cs="Courier"/>
          <w:sz w:val="24"/>
          <w:szCs w:val="24"/>
          <w:lang w:val="en-US"/>
        </w:rPr>
        <w:t xml:space="preserve"> A. V., Akselrod Z. Z. </w:t>
      </w:r>
      <w:r w:rsidR="00A32D24" w:rsidRPr="00A32D24">
        <w:rPr>
          <w:rFonts w:cs="Courier"/>
          <w:b/>
          <w:i/>
          <w:sz w:val="24"/>
          <w:szCs w:val="24"/>
          <w:lang w:val="en-US"/>
        </w:rPr>
        <w:t>PAC spectrometer for condensed matter investigation</w:t>
      </w:r>
      <w:r w:rsidR="00A32D24" w:rsidRPr="00A32D24">
        <w:rPr>
          <w:rFonts w:cs="Courier"/>
          <w:sz w:val="24"/>
          <w:szCs w:val="24"/>
          <w:lang w:val="en-US"/>
        </w:rPr>
        <w:t>. Nuclear Instruments and Methods in Physics Research A 547, 2005, 389-399.</w:t>
      </w:r>
    </w:p>
    <w:p w14:paraId="4AF140C2" w14:textId="77777777" w:rsidR="00CE1759" w:rsidRDefault="00CE1759" w:rsidP="00CE17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sz w:val="24"/>
          <w:szCs w:val="24"/>
          <w:lang w:val="en-US"/>
        </w:rPr>
      </w:pPr>
    </w:p>
    <w:p w14:paraId="244E2067" w14:textId="77777777" w:rsidR="00CE1759" w:rsidRDefault="00CE1759" w:rsidP="00CE17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sz w:val="24"/>
          <w:szCs w:val="24"/>
          <w:lang w:val="en-US"/>
        </w:rPr>
      </w:pPr>
    </w:p>
    <w:p w14:paraId="643DE5A9" w14:textId="77777777" w:rsidR="00CE1759" w:rsidRPr="00FE2571" w:rsidRDefault="00CE1759" w:rsidP="00CE17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sz w:val="24"/>
          <w:szCs w:val="24"/>
          <w:lang w:val="en-US"/>
        </w:rPr>
      </w:pPr>
    </w:p>
    <w:p w14:paraId="4159A339" w14:textId="77777777" w:rsidR="00CE1759" w:rsidRPr="002247C3" w:rsidRDefault="00CE1759" w:rsidP="00CE1759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en-US"/>
        </w:rPr>
      </w:pPr>
    </w:p>
    <w:p w14:paraId="154793A0" w14:textId="77777777" w:rsidR="006747B8" w:rsidRPr="002247C3" w:rsidRDefault="006747B8" w:rsidP="006747B8">
      <w:pPr>
        <w:spacing w:after="120" w:line="240" w:lineRule="auto"/>
        <w:jc w:val="center"/>
        <w:rPr>
          <w:sz w:val="24"/>
          <w:szCs w:val="24"/>
          <w:lang w:val="en-US"/>
        </w:rPr>
      </w:pPr>
    </w:p>
    <w:p w14:paraId="025EC9A3" w14:textId="522E0B19" w:rsidR="003C3F74" w:rsidRPr="002247C3" w:rsidRDefault="003C3F74" w:rsidP="00CF35AA">
      <w:pPr>
        <w:spacing w:after="0"/>
        <w:ind w:firstLine="567"/>
        <w:jc w:val="both"/>
        <w:rPr>
          <w:sz w:val="24"/>
          <w:szCs w:val="24"/>
          <w:lang w:val="en-US"/>
        </w:rPr>
      </w:pPr>
    </w:p>
    <w:sectPr w:rsidR="003C3F74" w:rsidRPr="0022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no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noPro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noPro-Smb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TIXGeneral-Regular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artel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7F0"/>
    <w:multiLevelType w:val="hybridMultilevel"/>
    <w:tmpl w:val="8BD4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50A"/>
    <w:multiLevelType w:val="hybridMultilevel"/>
    <w:tmpl w:val="47F28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D4C04"/>
    <w:multiLevelType w:val="hybridMultilevel"/>
    <w:tmpl w:val="83F0163C"/>
    <w:lvl w:ilvl="0" w:tplc="BAA86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74"/>
    <w:rsid w:val="001548B5"/>
    <w:rsid w:val="001972E4"/>
    <w:rsid w:val="001F340F"/>
    <w:rsid w:val="002247C3"/>
    <w:rsid w:val="003217D6"/>
    <w:rsid w:val="003C3F74"/>
    <w:rsid w:val="005C1E1C"/>
    <w:rsid w:val="005F3CC5"/>
    <w:rsid w:val="006747B8"/>
    <w:rsid w:val="00763C07"/>
    <w:rsid w:val="007A683B"/>
    <w:rsid w:val="00880AB7"/>
    <w:rsid w:val="00883D84"/>
    <w:rsid w:val="008C0471"/>
    <w:rsid w:val="00945B5C"/>
    <w:rsid w:val="00A32D24"/>
    <w:rsid w:val="00A36430"/>
    <w:rsid w:val="00A60EA3"/>
    <w:rsid w:val="00A97938"/>
    <w:rsid w:val="00B31717"/>
    <w:rsid w:val="00B9299C"/>
    <w:rsid w:val="00BD61D1"/>
    <w:rsid w:val="00C0055E"/>
    <w:rsid w:val="00C4097E"/>
    <w:rsid w:val="00CE1759"/>
    <w:rsid w:val="00CF35AA"/>
    <w:rsid w:val="00D349A6"/>
    <w:rsid w:val="00D507F2"/>
    <w:rsid w:val="00F36B3E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E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B8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a4">
    <w:name w:val="Placeholder Text"/>
    <w:basedOn w:val="a0"/>
    <w:uiPriority w:val="99"/>
    <w:semiHidden/>
    <w:rsid w:val="006747B8"/>
    <w:rPr>
      <w:color w:val="666666"/>
    </w:rPr>
  </w:style>
  <w:style w:type="table" w:styleId="a5">
    <w:name w:val="Table Grid"/>
    <w:basedOn w:val="a1"/>
    <w:uiPriority w:val="39"/>
    <w:rsid w:val="00C4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B8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a4">
    <w:name w:val="Placeholder Text"/>
    <w:basedOn w:val="a0"/>
    <w:uiPriority w:val="99"/>
    <w:semiHidden/>
    <w:rsid w:val="006747B8"/>
    <w:rPr>
      <w:color w:val="666666"/>
    </w:rPr>
  </w:style>
  <w:style w:type="table" w:styleId="a5">
    <w:name w:val="Table Grid"/>
    <w:basedOn w:val="a1"/>
    <w:uiPriority w:val="39"/>
    <w:rsid w:val="00C4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75E0-2972-4417-B6F8-27842986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2023-11-20T07:58:00Z</cp:lastPrinted>
  <dcterms:created xsi:type="dcterms:W3CDTF">2023-11-15T10:14:00Z</dcterms:created>
  <dcterms:modified xsi:type="dcterms:W3CDTF">2023-11-20T07:58:00Z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http://www.zotero.org/styles/nuclear-medicine-and-biology</vt:lpwstr>
  </property>
  <property fmtid="{D5CDD505-2E9C-101B-9397-08002B2CF9AE}" pid="15" name="Mendeley Recent Style Name 6_1">
    <vt:lpwstr>Nuclear Medicine and Biology</vt:lpwstr>
  </property>
  <property fmtid="{D5CDD505-2E9C-101B-9397-08002B2CF9AE}" pid="16" name="Mendeley Recent Style Id 7_1">
    <vt:lpwstr>http://www.zotero.org/styles/russian-chemical-reviews</vt:lpwstr>
  </property>
  <property fmtid="{D5CDD505-2E9C-101B-9397-08002B2CF9AE}" pid="17" name="Mendeley Recent Style Name 7_1">
    <vt:lpwstr>Russian Chemical Reviews</vt:lpwstr>
  </property>
  <property fmtid="{D5CDD505-2E9C-101B-9397-08002B2CF9AE}" pid="18" name="Mendeley Recent Style Id 8_1">
    <vt:lpwstr>http://www.zotero.org/styles/gost-r-7-0-5-2008-numeric</vt:lpwstr>
  </property>
  <property fmtid="{D5CDD505-2E9C-101B-9397-08002B2CF9AE}" pid="19" name="Mendeley Recent Style Name 8_1">
    <vt:lpwstr>Russian GOST R 7.0.5-2008 (numeric)</vt:lpwstr>
  </property>
  <property fmtid="{D5CDD505-2E9C-101B-9397-08002B2CF9AE}" pid="20" name="Mendeley Recent Style Id 9_1">
    <vt:lpwstr>http://www.zotero.org/styles/gost-r-7-0-5-2008-numeric-alphabetical</vt:lpwstr>
  </property>
  <property fmtid="{D5CDD505-2E9C-101B-9397-08002B2CF9AE}" pid="21" name="Mendeley Recent Style Name 9_1">
    <vt:lpwstr>Russian GOST R 7.0.5-2008 (numeric, sorted alphabetically, Russian)</vt:lpwstr>
  </property>
</Properties>
</file>