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CE07E" w14:textId="324B4697" w:rsidR="00133B2D" w:rsidRPr="00133B2D" w:rsidRDefault="00133B2D" w:rsidP="00133B2D">
      <w:pPr>
        <w:spacing w:before="120" w:after="12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0"/>
          <w14:ligatures w14:val="none"/>
        </w:rPr>
        <w:t>Моделирование</w:t>
      </w:r>
      <w:r w:rsidRPr="00133B2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0"/>
          <w14:ligatures w14:val="none"/>
        </w:rPr>
        <w:t>источника</w:t>
      </w:r>
      <w:r w:rsidRPr="00133B2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0"/>
          <w14:ligatures w14:val="none"/>
        </w:rPr>
        <w:t>атомарного поляризованного пучка</w:t>
      </w:r>
      <w:r w:rsidRPr="00133B2D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0"/>
          <w14:ligatures w14:val="none"/>
        </w:rPr>
        <w:t xml:space="preserve"> </w:t>
      </w:r>
    </w:p>
    <w:p w14:paraId="1BAD317E" w14:textId="16129966" w:rsidR="00133B2D" w:rsidRDefault="00133B2D" w:rsidP="00133B2D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6"/>
          <w:szCs w:val="20"/>
          <w:vertAlign w:val="superscrip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В. Ларионов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val="en-US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, А. Васильев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val="en-US"/>
          <w14:ligatures w14:val="none"/>
        </w:rPr>
        <w:t>a</w:t>
      </w:r>
      <w:r w:rsidRPr="00133B2D"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,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 К. Ившин</w:t>
      </w:r>
      <w:r w:rsidRPr="00BF2BFA">
        <w:rPr>
          <w:rFonts w:ascii="Times New Roman" w:eastAsia="Times New Roman" w:hAnsi="Times New Roman" w:cs="Times New Roman"/>
          <w:b/>
          <w:kern w:val="0"/>
          <w:sz w:val="26"/>
          <w:szCs w:val="20"/>
          <w:vertAlign w:val="superscript"/>
          <w:lang w:val="en-US"/>
          <w14:ligatures w14:val="none"/>
        </w:rPr>
        <w:t>b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, А. Рождественский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val="en-US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, В. Трофимов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:vertAlign w:val="superscript"/>
          <w:lang w:val="en-US"/>
          <w14:ligatures w14:val="none"/>
        </w:rPr>
        <w:t>a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, А. Соловьев</w:t>
      </w:r>
      <w:r w:rsidRPr="00BF2BFA">
        <w:rPr>
          <w:rFonts w:ascii="Times New Roman" w:eastAsia="Times New Roman" w:hAnsi="Times New Roman" w:cs="Times New Roman"/>
          <w:b/>
          <w:kern w:val="0"/>
          <w:sz w:val="26"/>
          <w:szCs w:val="20"/>
          <w:vertAlign w:val="superscript"/>
          <w:lang w:val="en-US"/>
          <w14:ligatures w14:val="none"/>
        </w:rPr>
        <w:t>b</w:t>
      </w:r>
      <w:r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 xml:space="preserve">, В. </w:t>
      </w: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  <w:t>Фимушкин</w:t>
      </w:r>
      <w:proofErr w:type="spellEnd"/>
      <w:r w:rsidRPr="00BF2BFA">
        <w:rPr>
          <w:rFonts w:ascii="Times New Roman" w:eastAsia="Times New Roman" w:hAnsi="Times New Roman" w:cs="Times New Roman"/>
          <w:b/>
          <w:kern w:val="0"/>
          <w:sz w:val="26"/>
          <w:szCs w:val="20"/>
          <w:vertAlign w:val="superscript"/>
          <w:lang w:val="en-US"/>
          <w14:ligatures w14:val="none"/>
        </w:rPr>
        <w:t>b</w:t>
      </w:r>
    </w:p>
    <w:p w14:paraId="42E2D331" w14:textId="77777777" w:rsidR="00133B2D" w:rsidRPr="00133B2D" w:rsidRDefault="00133B2D" w:rsidP="00133B2D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14:ligatures w14:val="none"/>
        </w:rPr>
      </w:pPr>
    </w:p>
    <w:p w14:paraId="5E508204" w14:textId="43DA099A" w:rsidR="00133B2D" w:rsidRPr="00133B2D" w:rsidRDefault="00133B2D" w:rsidP="00133B2D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6"/>
          <w:szCs w:val="20"/>
          <w:vertAlign w:val="superscript"/>
          <w:lang w:val="en-US"/>
          <w14:ligatures w14:val="none"/>
        </w:rPr>
        <w:t>a</w:t>
      </w:r>
      <w:r w:rsidRPr="00321C81"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  <w:t xml:space="preserve">НИЦ «Курчатовский Институт» - ПИЯФ, </w:t>
      </w:r>
      <w:r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  <w:t>Гатчина</w:t>
      </w:r>
      <w:r w:rsidRPr="00321C81"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  <w:t>Россия</w:t>
      </w:r>
      <w:r w:rsidRPr="00321C81"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  <w:t xml:space="preserve">, </w:t>
      </w:r>
      <w:r w:rsidRPr="00133B2D"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  <w:t xml:space="preserve"> </w:t>
      </w:r>
    </w:p>
    <w:p w14:paraId="5198CC16" w14:textId="77777777" w:rsidR="00133B2D" w:rsidRPr="00BF2BFA" w:rsidRDefault="00133B2D" w:rsidP="00133B2D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i/>
          <w:kern w:val="0"/>
          <w:sz w:val="26"/>
          <w:szCs w:val="20"/>
          <w:lang w:val="en-US"/>
          <w14:ligatures w14:val="none"/>
        </w:rPr>
      </w:pPr>
      <w:r w:rsidRPr="00BF2BFA">
        <w:rPr>
          <w:rFonts w:ascii="Times New Roman" w:eastAsia="Times New Roman" w:hAnsi="Times New Roman" w:cs="Times New Roman"/>
          <w:i/>
          <w:kern w:val="0"/>
          <w:sz w:val="26"/>
          <w:szCs w:val="20"/>
          <w:lang w:val="en-US"/>
          <w14:ligatures w14:val="none"/>
        </w:rPr>
        <w:t xml:space="preserve">e-mail: </w:t>
      </w:r>
      <w:hyperlink r:id="rId4" w:history="1">
        <w:r w:rsidRPr="000D2E8F">
          <w:rPr>
            <w:rStyle w:val="ac"/>
            <w:rFonts w:ascii="Times New Roman" w:eastAsia="Times New Roman" w:hAnsi="Times New Roman" w:cs="Times New Roman"/>
            <w:kern w:val="0"/>
            <w:sz w:val="28"/>
            <w:szCs w:val="28"/>
            <w:lang w:val="en-US"/>
            <w14:ligatures w14:val="none"/>
          </w:rPr>
          <w:t xml:space="preserve">larionov_ve@pnpi.nrcki.ru </w:t>
        </w:r>
      </w:hyperlink>
    </w:p>
    <w:p w14:paraId="6DDA52C3" w14:textId="0CEA942B" w:rsidR="00133B2D" w:rsidRPr="00133B2D" w:rsidRDefault="00133B2D" w:rsidP="00133B2D">
      <w:pPr>
        <w:spacing w:before="120" w:after="240" w:line="240" w:lineRule="auto"/>
        <w:ind w:firstLine="567"/>
        <w:jc w:val="center"/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</w:pPr>
      <w:r>
        <w:rPr>
          <w:rFonts w:ascii="Times New Roman" w:eastAsia="Times New Roman" w:hAnsi="Times New Roman" w:cs="Times New Roman"/>
          <w:i/>
          <w:kern w:val="0"/>
          <w:sz w:val="26"/>
          <w:szCs w:val="20"/>
          <w:vertAlign w:val="superscript"/>
          <w:lang w:val="en-US"/>
          <w14:ligatures w14:val="none"/>
        </w:rPr>
        <w:t>b</w:t>
      </w:r>
      <w:r w:rsidRPr="00133B2D"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  <w:t xml:space="preserve">Объединенный институт ядерных исследований, </w:t>
      </w:r>
      <w:r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  <w:t>Дубна</w:t>
      </w:r>
      <w:r w:rsidRPr="00133B2D"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  <w:t>Россия</w:t>
      </w:r>
    </w:p>
    <w:p w14:paraId="563B6D49" w14:textId="77777777" w:rsidR="00133B2D" w:rsidRPr="00133B2D" w:rsidRDefault="00133B2D" w:rsidP="00133B2D">
      <w:pPr>
        <w:spacing w:before="120" w:after="240" w:line="240" w:lineRule="auto"/>
        <w:ind w:firstLine="567"/>
        <w:jc w:val="center"/>
        <w:rPr>
          <w:rFonts w:ascii="Times New Roman" w:eastAsia="Times New Roman" w:hAnsi="Times New Roman" w:cs="Times New Roman"/>
          <w:i/>
          <w:kern w:val="0"/>
          <w:sz w:val="26"/>
          <w:szCs w:val="20"/>
          <w14:ligatures w14:val="none"/>
        </w:rPr>
      </w:pPr>
    </w:p>
    <w:p w14:paraId="2E6F9F2B" w14:textId="5B2844D8" w:rsidR="00850B98" w:rsidRPr="00850B98" w:rsidRDefault="007C6446" w:rsidP="00850B9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>Аннотация</w:t>
      </w:r>
      <w:r w:rsidR="00133B2D" w:rsidRPr="00133B2D">
        <w:rPr>
          <w:rFonts w:ascii="Times New Roman" w:eastAsia="Times New Roman" w:hAnsi="Times New Roman" w:cs="Times New Roman"/>
          <w:b/>
          <w:color w:val="000000"/>
          <w:kern w:val="0"/>
          <w:sz w:val="20"/>
          <w:szCs w:val="20"/>
          <w14:ligatures w14:val="none"/>
        </w:rPr>
        <w:t xml:space="preserve"> –</w:t>
      </w:r>
      <w:r w:rsidR="00133B2D" w:rsidRPr="00133B2D">
        <w:t xml:space="preserve"> </w:t>
      </w:r>
      <w:r w:rsidR="00850B98" w:rsidRPr="00850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Использование ядерной поляризации дейтронов в термоядерном синтезе представляет собой один из перспективных подходов к увеличению сечения реакции. Интенсивность поляризованных источников для таких применений является ключевой задачей. Данная работа посвящена моделированию источника поляризованных атомных пучков (PABS, </w:t>
      </w:r>
      <w:proofErr w:type="spellStart"/>
      <w:r w:rsidR="00850B98" w:rsidRPr="00850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Polarized</w:t>
      </w:r>
      <w:proofErr w:type="spellEnd"/>
      <w:r w:rsidR="00850B98" w:rsidRPr="00850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Atomic </w:t>
      </w:r>
      <w:proofErr w:type="spellStart"/>
      <w:r w:rsidR="00850B98" w:rsidRPr="00850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Beam</w:t>
      </w:r>
      <w:proofErr w:type="spellEnd"/>
      <w:r w:rsidR="00850B98" w:rsidRPr="00850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Source).</w:t>
      </w:r>
    </w:p>
    <w:p w14:paraId="70454B66" w14:textId="0B39F729" w:rsidR="0069305B" w:rsidRPr="00133B2D" w:rsidRDefault="00850B98" w:rsidP="00850B98">
      <w:pPr>
        <w:spacing w:before="120" w:after="120" w:line="240" w:lineRule="auto"/>
        <w:jc w:val="both"/>
      </w:pPr>
      <w:r w:rsidRPr="00850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Корректная математическая модель позволяет определить методы повышения интенсивности PABS. Исследование проводится в рамках эксперимента по ядерной физике </w:t>
      </w:r>
      <w:proofErr w:type="spellStart"/>
      <w:r w:rsidRPr="00850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PolFusion</w:t>
      </w:r>
      <w:proofErr w:type="spellEnd"/>
      <w:r w:rsidRPr="00850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(</w:t>
      </w:r>
      <w:proofErr w:type="spellStart"/>
      <w:r w:rsidRPr="00850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Polarized</w:t>
      </w:r>
      <w:proofErr w:type="spellEnd"/>
      <w:r w:rsidRPr="00850B98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 Fusion). Работа включает разработку начального генератора, моделирование спин-сепарирующих магнитных линз и блоков сверхтонких переходов, а также проверку функциональности программы моделирования поляризатора.</w:t>
      </w:r>
    </w:p>
    <w:sectPr w:rsidR="0069305B" w:rsidRPr="0013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2D"/>
    <w:rsid w:val="00133B2D"/>
    <w:rsid w:val="0069305B"/>
    <w:rsid w:val="007C6446"/>
    <w:rsid w:val="00850B98"/>
    <w:rsid w:val="008D1F1E"/>
    <w:rsid w:val="009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5CC8"/>
  <w15:chartTrackingRefBased/>
  <w15:docId w15:val="{45E26288-C17A-4F56-B806-0BDD05E9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B2D"/>
  </w:style>
  <w:style w:type="paragraph" w:styleId="1">
    <w:name w:val="heading 1"/>
    <w:basedOn w:val="a"/>
    <w:next w:val="a"/>
    <w:link w:val="10"/>
    <w:uiPriority w:val="9"/>
    <w:qFormat/>
    <w:rsid w:val="00133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3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3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3B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3B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3B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3B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3B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3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3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3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3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3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3B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3B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3B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3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3B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33B2D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33B2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rionov_ve@pnpi.nrcki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Ларионов</dc:creator>
  <cp:keywords/>
  <dc:description/>
  <cp:lastModifiedBy>Vladislav Ларионов</cp:lastModifiedBy>
  <cp:revision>1</cp:revision>
  <dcterms:created xsi:type="dcterms:W3CDTF">2025-03-07T08:47:00Z</dcterms:created>
  <dcterms:modified xsi:type="dcterms:W3CDTF">2025-03-07T09:31:00Z</dcterms:modified>
</cp:coreProperties>
</file>