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7E" w:rsidRDefault="00C5217E" w:rsidP="00B507F0">
      <w:pPr>
        <w:pStyle w:val="Author"/>
        <w:rPr>
          <w:rFonts w:cs="Arial"/>
          <w:bCs/>
          <w:caps/>
          <w:szCs w:val="32"/>
          <w:lang w:val="en-US"/>
        </w:rPr>
      </w:pPr>
      <w:r w:rsidRPr="00C5217E">
        <w:rPr>
          <w:rFonts w:cs="Arial"/>
          <w:bCs/>
          <w:caps/>
          <w:szCs w:val="32"/>
          <w:lang w:val="en-US"/>
        </w:rPr>
        <w:t xml:space="preserve">POSSIBILITIES OF A NOVEL APPROACH TO OBTAIN </w:t>
      </w:r>
      <w:r w:rsidRPr="001A0D88">
        <w:rPr>
          <w:rFonts w:cs="Arial"/>
          <w:bCs/>
          <w:caps/>
          <w:szCs w:val="32"/>
          <w:vertAlign w:val="superscript"/>
          <w:lang w:val="en-US"/>
        </w:rPr>
        <w:t>223</w:t>
      </w:r>
      <w:r w:rsidRPr="00C5217E">
        <w:rPr>
          <w:rFonts w:cs="Arial"/>
          <w:bCs/>
          <w:caps/>
          <w:szCs w:val="32"/>
          <w:lang w:val="en-US"/>
        </w:rPr>
        <w:t>RA BY IRRADIATING A TARGET CONTAINING ALUMINIUM OXIDE (III) AS A MATERIAL WITH HIGH SORPTION PROPERTIES</w:t>
      </w:r>
    </w:p>
    <w:p w:rsidR="00C5217E" w:rsidRDefault="00C5217E" w:rsidP="00C5217E">
      <w:pPr>
        <w:pStyle w:val="Author"/>
        <w:rPr>
          <w:lang w:val="en-US"/>
        </w:rPr>
      </w:pPr>
      <w:r>
        <w:rPr>
          <w:lang w:val="en-US"/>
        </w:rPr>
        <w:t>S. A. Konarev</w:t>
      </w:r>
      <w:r w:rsidRPr="00316C17">
        <w:rPr>
          <w:vertAlign w:val="superscript"/>
          <w:lang w:val="en-US"/>
        </w:rPr>
        <w:t>1</w:t>
      </w:r>
      <w:r>
        <w:rPr>
          <w:lang w:val="en-US"/>
        </w:rPr>
        <w:t xml:space="preserve">, I.V. </w:t>
      </w:r>
      <w:r w:rsidRPr="00637915">
        <w:rPr>
          <w:lang w:val="en-US"/>
        </w:rPr>
        <w:t>Bezdenezhnykh</w:t>
      </w:r>
      <w:r w:rsidRPr="00316C17">
        <w:rPr>
          <w:vertAlign w:val="superscript"/>
          <w:lang w:val="en-US"/>
        </w:rPr>
        <w:t>2</w:t>
      </w:r>
      <w:r>
        <w:rPr>
          <w:lang w:val="en-US"/>
        </w:rPr>
        <w:t xml:space="preserve">, M.S. </w:t>
      </w:r>
      <w:r w:rsidRPr="00637915">
        <w:rPr>
          <w:lang w:val="en-US"/>
        </w:rPr>
        <w:t>Cherepnev</w:t>
      </w:r>
      <w:r w:rsidRPr="00316C17">
        <w:rPr>
          <w:vertAlign w:val="superscript"/>
          <w:lang w:val="en-US"/>
        </w:rPr>
        <w:t>1</w:t>
      </w:r>
    </w:p>
    <w:p w:rsidR="00C5217E" w:rsidRDefault="00C5217E" w:rsidP="00C5217E">
      <w:pPr>
        <w:pStyle w:val="Address"/>
        <w:spacing w:after="0" w:line="360" w:lineRule="auto"/>
        <w:rPr>
          <w:lang w:val="en-US"/>
        </w:rPr>
      </w:pPr>
      <w:r w:rsidRPr="00316C17">
        <w:rPr>
          <w:i w:val="0"/>
          <w:vertAlign w:val="superscript"/>
          <w:lang w:val="en-US"/>
        </w:rPr>
        <w:t>1</w:t>
      </w:r>
      <w:r>
        <w:rPr>
          <w:lang w:val="en-US"/>
        </w:rPr>
        <w:t>School of Nuclear Science and Engineering, Tomsk Polytechnic University, 634050, Tomsk, Russia</w:t>
      </w:r>
    </w:p>
    <w:p w:rsidR="00C5217E" w:rsidRDefault="00C5217E" w:rsidP="00C5217E">
      <w:pPr>
        <w:pStyle w:val="Address"/>
        <w:rPr>
          <w:lang w:val="en-US"/>
        </w:rPr>
      </w:pPr>
      <w:r w:rsidRPr="00316C17">
        <w:rPr>
          <w:vertAlign w:val="superscript"/>
          <w:lang w:val="en-US"/>
        </w:rPr>
        <w:t>2</w:t>
      </w:r>
      <w:r w:rsidR="001A0D88">
        <w:rPr>
          <w:lang w:val="en-US"/>
        </w:rPr>
        <w:t xml:space="preserve">Radiation Safety Department, </w:t>
      </w:r>
      <w:r w:rsidRPr="00637915">
        <w:rPr>
          <w:lang w:val="en-US"/>
        </w:rPr>
        <w:t>Tomsk Regional Oncological</w:t>
      </w:r>
      <w:r>
        <w:rPr>
          <w:lang w:val="en-US"/>
        </w:rPr>
        <w:t xml:space="preserve"> </w:t>
      </w:r>
      <w:r w:rsidRPr="00637915">
        <w:rPr>
          <w:lang w:val="en-US"/>
        </w:rPr>
        <w:t>Dispensary</w:t>
      </w:r>
      <w:r w:rsidR="001A0D88">
        <w:rPr>
          <w:lang w:val="en-US"/>
        </w:rPr>
        <w:t>,</w:t>
      </w:r>
    </w:p>
    <w:p w:rsidR="001A0D88" w:rsidRPr="008E63DF" w:rsidRDefault="001A0D88" w:rsidP="001A0D88">
      <w:pPr>
        <w:pStyle w:val="Address"/>
        <w:ind w:firstLine="0"/>
        <w:rPr>
          <w:lang w:val="en-US"/>
        </w:rPr>
      </w:pPr>
      <w:r>
        <w:rPr>
          <w:lang w:val="en-US"/>
        </w:rPr>
        <w:t>634050, Tomsk, Russia</w:t>
      </w:r>
    </w:p>
    <w:p w:rsidR="003715EB" w:rsidRDefault="003715EB" w:rsidP="008D6103">
      <w:pPr>
        <w:pStyle w:val="Address"/>
        <w:spacing w:before="240"/>
        <w:rPr>
          <w:lang w:val="en-US"/>
        </w:rPr>
      </w:pPr>
      <w:r>
        <w:rPr>
          <w:lang w:val="en-US"/>
        </w:rPr>
        <w:t xml:space="preserve">e-mail: </w:t>
      </w:r>
      <w:r w:rsidRPr="003715EB">
        <w:rPr>
          <w:lang w:val="en-US"/>
        </w:rPr>
        <w:t>konarev_sergey@tpu.ru</w:t>
      </w:r>
    </w:p>
    <w:p w:rsidR="003715EB" w:rsidRDefault="003715EB" w:rsidP="00C072B8">
      <w:pPr>
        <w:pStyle w:val="Abstract"/>
        <w:rPr>
          <w:lang w:val="en-US"/>
        </w:rPr>
      </w:pPr>
      <w:r w:rsidRPr="00D7750C">
        <w:rPr>
          <w:b/>
          <w:lang w:val="en-US"/>
        </w:rPr>
        <w:t xml:space="preserve">Abstract </w:t>
      </w:r>
      <w:r w:rsidRPr="00D7750C">
        <w:rPr>
          <w:b/>
          <w:color w:val="000000"/>
          <w:lang w:val="en-US"/>
        </w:rPr>
        <w:t xml:space="preserve">– </w:t>
      </w:r>
      <w:r w:rsidR="00D7750C" w:rsidRPr="00D7750C">
        <w:rPr>
          <w:lang w:val="en-US"/>
        </w:rPr>
        <w:t>This study presents a</w:t>
      </w:r>
      <w:r w:rsidR="00C5217E">
        <w:rPr>
          <w:lang w:val="en-US"/>
        </w:rPr>
        <w:t xml:space="preserve"> novel approach for production of</w:t>
      </w:r>
      <w:r w:rsidR="00D7750C" w:rsidRPr="00D7750C">
        <w:rPr>
          <w:lang w:val="en-US"/>
        </w:rPr>
        <w:t xml:space="preserve"> a </w:t>
      </w:r>
      <w:r w:rsidR="00C5217E">
        <w:rPr>
          <w:lang w:val="en-US"/>
        </w:rPr>
        <w:t xml:space="preserve">perspective radionuclide </w:t>
      </w:r>
      <w:r w:rsidR="00C5217E">
        <w:rPr>
          <w:vertAlign w:val="superscript"/>
          <w:lang w:val="en-US"/>
        </w:rPr>
        <w:t>223</w:t>
      </w:r>
      <w:r w:rsidR="00C5217E">
        <w:rPr>
          <w:lang w:val="en-US"/>
        </w:rPr>
        <w:t>Ra</w:t>
      </w:r>
      <w:r w:rsidR="00D7750C" w:rsidRPr="00D7750C">
        <w:rPr>
          <w:lang w:val="en-US"/>
        </w:rPr>
        <w:t xml:space="preserve">, utilizing aluminium oxide (III) </w:t>
      </w:r>
      <w:r w:rsidR="00C5217E">
        <w:rPr>
          <w:lang w:val="en-US"/>
        </w:rPr>
        <w:t xml:space="preserve">as a material with </w:t>
      </w:r>
      <w:r w:rsidR="00D7750C" w:rsidRPr="00D7750C">
        <w:rPr>
          <w:lang w:val="en-US"/>
        </w:rPr>
        <w:t>exceptional sorption properties. The method involves the optimized preparation of aluminium oxid</w:t>
      </w:r>
      <w:r w:rsidR="00C5217E">
        <w:rPr>
          <w:lang w:val="en-US"/>
        </w:rPr>
        <w:t>e (III) to maximize its sorption</w:t>
      </w:r>
      <w:r w:rsidR="00D7750C" w:rsidRPr="00D7750C">
        <w:rPr>
          <w:lang w:val="en-US"/>
        </w:rPr>
        <w:t xml:space="preserve"> capacity for </w:t>
      </w:r>
      <w:r w:rsidR="00C5217E">
        <w:rPr>
          <w:vertAlign w:val="superscript"/>
          <w:lang w:val="en-US"/>
        </w:rPr>
        <w:t>223</w:t>
      </w:r>
      <w:r w:rsidR="00D7750C" w:rsidRPr="00D7750C">
        <w:rPr>
          <w:lang w:val="en-US"/>
        </w:rPr>
        <w:t>Ra, followed by a series of controlled reactions</w:t>
      </w:r>
      <w:r w:rsidR="00C5217E">
        <w:rPr>
          <w:lang w:val="en-US"/>
        </w:rPr>
        <w:t xml:space="preserve"> to ensure the stability and </w:t>
      </w:r>
      <w:r w:rsidR="00D7750C" w:rsidRPr="00D7750C">
        <w:rPr>
          <w:lang w:val="en-US"/>
        </w:rPr>
        <w:t xml:space="preserve">availability </w:t>
      </w:r>
      <w:r w:rsidR="00C5217E">
        <w:rPr>
          <w:lang w:val="en-US"/>
        </w:rPr>
        <w:t>of the final</w:t>
      </w:r>
      <w:r w:rsidR="00D7750C" w:rsidRPr="00D7750C">
        <w:rPr>
          <w:lang w:val="en-US"/>
        </w:rPr>
        <w:t xml:space="preserve"> product. Preliminary results indicate significant improvements in the yield and purity of </w:t>
      </w:r>
      <w:r w:rsidR="00C5217E">
        <w:rPr>
          <w:vertAlign w:val="superscript"/>
          <w:lang w:val="en-US"/>
        </w:rPr>
        <w:t>223</w:t>
      </w:r>
      <w:r w:rsidR="00C5217E">
        <w:rPr>
          <w:lang w:val="en-US"/>
        </w:rPr>
        <w:t>Ra</w:t>
      </w:r>
      <w:r w:rsidR="00D7750C" w:rsidRPr="00D7750C">
        <w:rPr>
          <w:lang w:val="en-US"/>
        </w:rPr>
        <w:t>, making this method a promising alternative for producing h</w:t>
      </w:r>
      <w:r w:rsidR="00C5217E">
        <w:rPr>
          <w:lang w:val="en-US"/>
        </w:rPr>
        <w:t>igh-quality product</w:t>
      </w:r>
      <w:r w:rsidR="00D7750C" w:rsidRPr="00D7750C">
        <w:rPr>
          <w:lang w:val="en-US"/>
        </w:rPr>
        <w:t xml:space="preserve"> for medical applications.</w:t>
      </w:r>
    </w:p>
    <w:p w:rsidR="00D7750C" w:rsidRDefault="00D7750C" w:rsidP="00B507F0">
      <w:pPr>
        <w:pStyle w:val="Heading"/>
        <w:rPr>
          <w:lang w:val="en-US"/>
        </w:rPr>
      </w:pPr>
      <w:r>
        <w:rPr>
          <w:lang w:val="en-US"/>
        </w:rPr>
        <w:t>introduction</w:t>
      </w:r>
    </w:p>
    <w:p w:rsidR="00CC5BF1" w:rsidRDefault="00C5217E" w:rsidP="00CC5BF1">
      <w:pPr>
        <w:ind w:firstLine="567"/>
        <w:rPr>
          <w:lang w:val="en"/>
        </w:rPr>
      </w:pPr>
      <w:r>
        <w:rPr>
          <w:lang w:val="en"/>
        </w:rPr>
        <w:t>R</w:t>
      </w:r>
      <w:r w:rsidR="003602A8" w:rsidRPr="003602A8">
        <w:rPr>
          <w:lang w:val="en"/>
        </w:rPr>
        <w:t>adium chloride</w:t>
      </w:r>
      <w:r w:rsidR="001A0D88" w:rsidRPr="001A0D88">
        <w:rPr>
          <w:lang w:val="en-US"/>
        </w:rPr>
        <w:t xml:space="preserve"> </w:t>
      </w:r>
      <w:r w:rsidR="001A0D88">
        <w:rPr>
          <w:lang w:val="en-US"/>
        </w:rPr>
        <w:t xml:space="preserve">is similar in chemical properties to </w:t>
      </w:r>
      <w:r w:rsidR="003602A8" w:rsidRPr="003602A8">
        <w:rPr>
          <w:lang w:val="en"/>
        </w:rPr>
        <w:t>calcium</w:t>
      </w:r>
      <w:r w:rsidR="001A0D88">
        <w:rPr>
          <w:lang w:val="en"/>
        </w:rPr>
        <w:t xml:space="preserve"> chloride, so it also</w:t>
      </w:r>
      <w:r w:rsidR="003602A8" w:rsidRPr="003602A8">
        <w:rPr>
          <w:lang w:val="en"/>
        </w:rPr>
        <w:t xml:space="preserve"> forms a complex compound with the bone mineral hydroxyapatite. </w:t>
      </w:r>
      <w:r w:rsidR="001A0D88">
        <w:rPr>
          <w:lang w:val="en"/>
        </w:rPr>
        <w:t>This means</w:t>
      </w:r>
      <w:r>
        <w:rPr>
          <w:lang w:val="en"/>
        </w:rPr>
        <w:t xml:space="preserve"> that</w:t>
      </w:r>
      <w:r w:rsidR="001A0D88">
        <w:rPr>
          <w:lang w:val="en"/>
        </w:rPr>
        <w:t xml:space="preserve"> the introduction of </w:t>
      </w:r>
      <w:r w:rsidR="008E63DF">
        <w:rPr>
          <w:lang w:val="en"/>
        </w:rPr>
        <w:t xml:space="preserve">an </w:t>
      </w:r>
      <w:r w:rsidRPr="003602A8">
        <w:rPr>
          <w:lang w:val="en"/>
        </w:rPr>
        <w:t>α</w:t>
      </w:r>
      <w:r>
        <w:rPr>
          <w:lang w:val="en"/>
        </w:rPr>
        <w:t xml:space="preserve">-decaying </w:t>
      </w:r>
      <w:r w:rsidR="003602A8" w:rsidRPr="003602A8">
        <w:rPr>
          <w:lang w:val="en"/>
        </w:rPr>
        <w:t xml:space="preserve">radium isotope </w:t>
      </w:r>
      <w:r>
        <w:rPr>
          <w:lang w:val="en"/>
        </w:rPr>
        <w:t>in</w:t>
      </w:r>
      <w:r w:rsidR="001A0D88">
        <w:rPr>
          <w:lang w:val="en"/>
        </w:rPr>
        <w:t>to the</w:t>
      </w:r>
      <w:r>
        <w:rPr>
          <w:lang w:val="en"/>
        </w:rPr>
        <w:t xml:space="preserve"> human body</w:t>
      </w:r>
      <w:r w:rsidR="001A0D88">
        <w:rPr>
          <w:lang w:val="en"/>
        </w:rPr>
        <w:t xml:space="preserve"> in the form of chloride will</w:t>
      </w:r>
      <w:r>
        <w:rPr>
          <w:lang w:val="en"/>
        </w:rPr>
        <w:t xml:space="preserve"> </w:t>
      </w:r>
      <w:r w:rsidR="001A0D88">
        <w:rPr>
          <w:lang w:val="en"/>
        </w:rPr>
        <w:t>selectively affect</w:t>
      </w:r>
      <w:r w:rsidR="003602A8" w:rsidRPr="003602A8">
        <w:rPr>
          <w:lang w:val="en"/>
        </w:rPr>
        <w:t xml:space="preserve"> bone tissue, in particular metastatic foci of prostate cancer</w:t>
      </w:r>
      <w:r w:rsidR="001A0D88">
        <w:rPr>
          <w:lang w:val="en"/>
        </w:rPr>
        <w:t xml:space="preserve"> in the bones</w:t>
      </w:r>
      <w:r w:rsidR="003602A8" w:rsidRPr="003602A8">
        <w:rPr>
          <w:lang w:val="en"/>
        </w:rPr>
        <w:t xml:space="preserve">. The high linear </w:t>
      </w:r>
      <w:r w:rsidR="001A0D88">
        <w:rPr>
          <w:lang w:val="en"/>
        </w:rPr>
        <w:t xml:space="preserve">energy </w:t>
      </w:r>
      <w:r w:rsidR="003602A8" w:rsidRPr="003602A8">
        <w:rPr>
          <w:lang w:val="en"/>
        </w:rPr>
        <w:t xml:space="preserve">value of α-particle transfer </w:t>
      </w:r>
      <w:r>
        <w:rPr>
          <w:lang w:val="en"/>
        </w:rPr>
        <w:t>of</w:t>
      </w:r>
      <w:r w:rsidR="003602A8" w:rsidRPr="003602A8">
        <w:rPr>
          <w:lang w:val="en"/>
        </w:rPr>
        <w:t xml:space="preserve"> about 80 keV</w:t>
      </w:r>
      <w:r>
        <w:rPr>
          <w:lang w:val="en"/>
        </w:rPr>
        <w:t>/μm leads to a high amount</w:t>
      </w:r>
      <w:r w:rsidR="001A0D88">
        <w:rPr>
          <w:lang w:val="en"/>
        </w:rPr>
        <w:t xml:space="preserve"> of double-strand breaks in </w:t>
      </w:r>
      <w:r w:rsidR="003602A8" w:rsidRPr="003602A8">
        <w:rPr>
          <w:lang w:val="en"/>
        </w:rPr>
        <w:t>DNA molecule</w:t>
      </w:r>
      <w:r>
        <w:rPr>
          <w:lang w:val="en"/>
        </w:rPr>
        <w:t>s</w:t>
      </w:r>
      <w:r w:rsidR="003602A8" w:rsidRPr="003602A8">
        <w:rPr>
          <w:lang w:val="en"/>
        </w:rPr>
        <w:t xml:space="preserve"> and causes a strong cytotoxic effect.</w:t>
      </w:r>
      <w:r w:rsidR="003602A8">
        <w:rPr>
          <w:lang w:val="en"/>
        </w:rPr>
        <w:t xml:space="preserve"> </w:t>
      </w:r>
      <w:r w:rsidR="001A0D88">
        <w:rPr>
          <w:lang w:val="en"/>
        </w:rPr>
        <w:t>So,</w:t>
      </w:r>
      <w:r w:rsidR="00D7750C" w:rsidRPr="00D7750C">
        <w:rPr>
          <w:lang w:val="en"/>
        </w:rPr>
        <w:t xml:space="preserve"> such therapy can be used for the selective dest</w:t>
      </w:r>
      <w:r w:rsidR="008E63DF">
        <w:rPr>
          <w:lang w:val="en"/>
        </w:rPr>
        <w:t>ruction of</w:t>
      </w:r>
      <w:r w:rsidR="001A0D88">
        <w:rPr>
          <w:lang w:val="en"/>
        </w:rPr>
        <w:t xml:space="preserve"> </w:t>
      </w:r>
      <w:r w:rsidR="00D7750C" w:rsidRPr="00D7750C">
        <w:rPr>
          <w:lang w:val="en"/>
        </w:rPr>
        <w:t>cancer cells without affecting healthy</w:t>
      </w:r>
      <w:r w:rsidR="00CC5BF1">
        <w:rPr>
          <w:lang w:val="en"/>
        </w:rPr>
        <w:t xml:space="preserve"> organs and tissues [1]. </w:t>
      </w:r>
    </w:p>
    <w:p w:rsidR="00D7750C" w:rsidRDefault="00D7750C" w:rsidP="00CC5BF1">
      <w:pPr>
        <w:ind w:firstLine="567"/>
        <w:rPr>
          <w:lang w:val="en"/>
        </w:rPr>
      </w:pPr>
      <w:r w:rsidRPr="00D7750C">
        <w:rPr>
          <w:lang w:val="en"/>
        </w:rPr>
        <w:t>One of the isotope</w:t>
      </w:r>
      <w:r w:rsidR="00C5217E">
        <w:rPr>
          <w:lang w:val="en"/>
        </w:rPr>
        <w:t>s</w:t>
      </w:r>
      <w:r w:rsidRPr="00D7750C">
        <w:rPr>
          <w:lang w:val="en"/>
        </w:rPr>
        <w:t xml:space="preserve"> fo</w:t>
      </w:r>
      <w:r w:rsidR="00E73E52">
        <w:rPr>
          <w:lang w:val="en"/>
        </w:rPr>
        <w:t>r radionuclide therapy of bone</w:t>
      </w:r>
      <w:r w:rsidRPr="00D7750C">
        <w:rPr>
          <w:lang w:val="en"/>
        </w:rPr>
        <w:t xml:space="preserve"> metastasis in castration-resistant</w:t>
      </w:r>
      <w:r w:rsidR="0033281B">
        <w:rPr>
          <w:lang w:val="en"/>
        </w:rPr>
        <w:t xml:space="preserve"> prostate cancer is the </w:t>
      </w:r>
      <w:r w:rsidR="00C5217E">
        <w:rPr>
          <w:vertAlign w:val="superscript"/>
          <w:lang w:val="en"/>
        </w:rPr>
        <w:t>223</w:t>
      </w:r>
      <w:r w:rsidR="00C5217E">
        <w:rPr>
          <w:lang w:val="en"/>
        </w:rPr>
        <w:t>Ra</w:t>
      </w:r>
      <w:r w:rsidR="0033281B">
        <w:rPr>
          <w:lang w:val="en"/>
        </w:rPr>
        <w:t xml:space="preserve"> </w:t>
      </w:r>
      <w:r w:rsidR="0033281B" w:rsidRPr="00D7750C">
        <w:rPr>
          <w:lang w:val="en"/>
        </w:rPr>
        <w:t>isotope</w:t>
      </w:r>
      <w:r w:rsidRPr="00D7750C">
        <w:rPr>
          <w:lang w:val="en"/>
        </w:rPr>
        <w:t xml:space="preserve">. The usage of </w:t>
      </w:r>
      <w:r w:rsidR="0033281B">
        <w:rPr>
          <w:vertAlign w:val="superscript"/>
          <w:lang w:val="en"/>
        </w:rPr>
        <w:t>223</w:t>
      </w:r>
      <w:r w:rsidR="0033281B">
        <w:rPr>
          <w:lang w:val="en"/>
        </w:rPr>
        <w:t xml:space="preserve">Ra </w:t>
      </w:r>
      <w:r w:rsidRPr="00D7750C">
        <w:rPr>
          <w:lang w:val="en"/>
        </w:rPr>
        <w:t xml:space="preserve">is </w:t>
      </w:r>
      <w:r w:rsidR="0033281B">
        <w:rPr>
          <w:lang w:val="en"/>
        </w:rPr>
        <w:t xml:space="preserve">based on </w:t>
      </w:r>
      <w:r w:rsidR="00E73E52">
        <w:rPr>
          <w:lang w:val="en"/>
        </w:rPr>
        <w:t xml:space="preserve">the </w:t>
      </w:r>
      <w:r w:rsidR="0033281B">
        <w:rPr>
          <w:lang w:val="en"/>
        </w:rPr>
        <w:t>high accumulation of its chloride i</w:t>
      </w:r>
      <w:r w:rsidR="00E73E52">
        <w:rPr>
          <w:lang w:val="en"/>
        </w:rPr>
        <w:t>n</w:t>
      </w:r>
      <w:r w:rsidR="0033281B">
        <w:rPr>
          <w:lang w:val="en"/>
        </w:rPr>
        <w:t xml:space="preserve"> </w:t>
      </w:r>
      <w:r w:rsidRPr="00D7750C">
        <w:rPr>
          <w:lang w:val="en"/>
        </w:rPr>
        <w:t>osseous issue foci.</w:t>
      </w:r>
      <w:r>
        <w:rPr>
          <w:lang w:val="en"/>
        </w:rPr>
        <w:t xml:space="preserve"> </w:t>
      </w:r>
      <w:r w:rsidR="0033281B">
        <w:rPr>
          <w:lang w:val="en"/>
        </w:rPr>
        <w:t xml:space="preserve">As for </w:t>
      </w:r>
      <w:r w:rsidR="00CC5BF1">
        <w:rPr>
          <w:lang w:val="en"/>
        </w:rPr>
        <w:t xml:space="preserve">the </w:t>
      </w:r>
      <w:r w:rsidR="00E73E52">
        <w:rPr>
          <w:lang w:val="en"/>
        </w:rPr>
        <w:t>nuclear</w:t>
      </w:r>
      <w:r w:rsidR="00CC5BF1">
        <w:rPr>
          <w:lang w:val="en"/>
        </w:rPr>
        <w:t xml:space="preserve"> parameters of </w:t>
      </w:r>
      <w:r w:rsidR="0033281B">
        <w:rPr>
          <w:vertAlign w:val="superscript"/>
          <w:lang w:val="en"/>
        </w:rPr>
        <w:t>223</w:t>
      </w:r>
      <w:r w:rsidR="0033281B">
        <w:rPr>
          <w:lang w:val="en"/>
        </w:rPr>
        <w:t>R</w:t>
      </w:r>
      <w:r w:rsidR="00C176E2">
        <w:rPr>
          <w:lang w:val="en"/>
        </w:rPr>
        <w:t>a</w:t>
      </w:r>
      <w:r w:rsidRPr="00D7750C">
        <w:rPr>
          <w:lang w:val="en"/>
        </w:rPr>
        <w:t>, it releases four high-energy alpha particles</w:t>
      </w:r>
      <w:r w:rsidR="00E73E52">
        <w:rPr>
          <w:lang w:val="en"/>
        </w:rPr>
        <w:t>,</w:t>
      </w:r>
      <w:r w:rsidRPr="00D7750C">
        <w:rPr>
          <w:lang w:val="en"/>
        </w:rPr>
        <w:t xml:space="preserve"> 93% of which are formed during the decay of short-lived nuclides</w:t>
      </w:r>
      <w:r w:rsidR="00CC5BF1">
        <w:rPr>
          <w:lang w:val="en"/>
        </w:rPr>
        <w:t xml:space="preserve"> [1].</w:t>
      </w:r>
    </w:p>
    <w:p w:rsidR="00CC5BF1" w:rsidRPr="003602A8" w:rsidRDefault="00CC5BF1" w:rsidP="00CC5BF1">
      <w:pPr>
        <w:ind w:firstLine="567"/>
        <w:rPr>
          <w:lang w:val="en-US"/>
        </w:rPr>
      </w:pPr>
      <w:r w:rsidRPr="00D7750C">
        <w:rPr>
          <w:lang w:val="en"/>
        </w:rPr>
        <w:t>The demand for this radionuclide exceeds supply</w:t>
      </w:r>
      <w:r w:rsidR="008E63DF">
        <w:rPr>
          <w:lang w:val="en"/>
        </w:rPr>
        <w:t>, since only</w:t>
      </w:r>
      <w:r w:rsidR="00660D69">
        <w:rPr>
          <w:lang w:val="en"/>
        </w:rPr>
        <w:t xml:space="preserve"> </w:t>
      </w:r>
      <w:r w:rsidR="00660D69">
        <w:rPr>
          <w:lang w:val="en-US"/>
        </w:rPr>
        <w:t>one</w:t>
      </w:r>
      <w:r w:rsidR="00E81D6D">
        <w:rPr>
          <w:lang w:val="en-US"/>
        </w:rPr>
        <w:t xml:space="preserve"> of</w:t>
      </w:r>
      <w:bookmarkStart w:id="0" w:name="_GoBack"/>
      <w:bookmarkEnd w:id="0"/>
      <w:r w:rsidRPr="00D7750C">
        <w:rPr>
          <w:lang w:val="en"/>
        </w:rPr>
        <w:t xml:space="preserve"> the ex</w:t>
      </w:r>
      <w:r w:rsidR="0033281B">
        <w:rPr>
          <w:lang w:val="en"/>
        </w:rPr>
        <w:t xml:space="preserve">isting methods for obtaining </w:t>
      </w:r>
      <w:r w:rsidR="0033281B">
        <w:rPr>
          <w:vertAlign w:val="superscript"/>
          <w:lang w:val="en"/>
        </w:rPr>
        <w:t>223</w:t>
      </w:r>
      <w:r w:rsidR="0033281B">
        <w:rPr>
          <w:lang w:val="en"/>
        </w:rPr>
        <w:t>Ra</w:t>
      </w:r>
      <w:r w:rsidRPr="00D7750C">
        <w:rPr>
          <w:lang w:val="en"/>
        </w:rPr>
        <w:t xml:space="preserve"> is currently widely used, which is based on the generator</w:t>
      </w:r>
      <w:r w:rsidR="0033281B">
        <w:rPr>
          <w:lang w:val="en"/>
        </w:rPr>
        <w:t xml:space="preserve"> method of its production from </w:t>
      </w:r>
      <w:r w:rsidR="0033281B">
        <w:rPr>
          <w:vertAlign w:val="superscript"/>
          <w:lang w:val="en"/>
        </w:rPr>
        <w:t>227</w:t>
      </w:r>
      <w:r w:rsidR="0033281B">
        <w:rPr>
          <w:lang w:val="en"/>
        </w:rPr>
        <w:t>Ac</w:t>
      </w:r>
      <w:r w:rsidRPr="00D7750C">
        <w:rPr>
          <w:lang w:val="en"/>
        </w:rPr>
        <w:t>.</w:t>
      </w:r>
      <w:r w:rsidR="003602A8">
        <w:rPr>
          <w:lang w:val="en"/>
        </w:rPr>
        <w:t xml:space="preserve"> </w:t>
      </w:r>
    </w:p>
    <w:p w:rsidR="00CC5BF1" w:rsidRPr="008D6103" w:rsidRDefault="008E63DF" w:rsidP="00F54449">
      <w:pPr>
        <w:ind w:firstLine="567"/>
        <w:rPr>
          <w:lang w:val="en-US"/>
        </w:rPr>
      </w:pPr>
      <w:r>
        <w:rPr>
          <w:lang w:val="en-US"/>
        </w:rPr>
        <w:t>The purpose of this</w:t>
      </w:r>
      <w:r w:rsidR="00CC5BF1" w:rsidRPr="00CC5BF1">
        <w:rPr>
          <w:lang w:val="en-US"/>
        </w:rPr>
        <w:t xml:space="preserve"> research</w:t>
      </w:r>
      <w:r>
        <w:rPr>
          <w:lang w:val="en-US"/>
        </w:rPr>
        <w:t xml:space="preserve"> is to develop a new promising method for producing</w:t>
      </w:r>
      <w:r w:rsidR="0033281B">
        <w:rPr>
          <w:lang w:val="en-US"/>
        </w:rPr>
        <w:t xml:space="preserve"> </w:t>
      </w:r>
      <w:r w:rsidR="0033281B">
        <w:rPr>
          <w:vertAlign w:val="superscript"/>
          <w:lang w:val="en-US"/>
        </w:rPr>
        <w:t>223</w:t>
      </w:r>
      <w:r w:rsidR="0033281B">
        <w:rPr>
          <w:lang w:val="en-US"/>
        </w:rPr>
        <w:t>R</w:t>
      </w:r>
      <w:r w:rsidR="00C176E2">
        <w:rPr>
          <w:lang w:val="en-US"/>
        </w:rPr>
        <w:t xml:space="preserve">a </w:t>
      </w:r>
      <w:r w:rsidR="00E73E52">
        <w:rPr>
          <w:lang w:val="en-US"/>
        </w:rPr>
        <w:t>using aluminium</w:t>
      </w:r>
      <w:r w:rsidR="00CC5BF1" w:rsidRPr="00CC5BF1">
        <w:rPr>
          <w:lang w:val="en-US"/>
        </w:rPr>
        <w:t xml:space="preserve"> oxide (III) as a substanc</w:t>
      </w:r>
      <w:r w:rsidR="00CC5BF1">
        <w:rPr>
          <w:lang w:val="en-US"/>
        </w:rPr>
        <w:t>e with high sorption proper</w:t>
      </w:r>
      <w:r w:rsidR="00F54449">
        <w:rPr>
          <w:lang w:val="en-US"/>
        </w:rPr>
        <w:t>ties.</w:t>
      </w:r>
      <w:r w:rsidR="00F54449" w:rsidRPr="00F54449">
        <w:rPr>
          <w:lang w:val="en-US"/>
        </w:rPr>
        <w:t xml:space="preserve"> This material will serve as a target in a research nuclear </w:t>
      </w:r>
      <w:r w:rsidR="0033281B">
        <w:rPr>
          <w:lang w:val="en-US"/>
        </w:rPr>
        <w:t xml:space="preserve">reactor for the production of </w:t>
      </w:r>
      <w:r w:rsidR="0033281B">
        <w:rPr>
          <w:vertAlign w:val="superscript"/>
          <w:lang w:val="en-US"/>
        </w:rPr>
        <w:t>223</w:t>
      </w:r>
      <w:r w:rsidR="0033281B">
        <w:rPr>
          <w:lang w:val="en-US"/>
        </w:rPr>
        <w:t>Ra.</w:t>
      </w:r>
    </w:p>
    <w:p w:rsidR="00F54449" w:rsidRDefault="0033281B" w:rsidP="00C072B8">
      <w:pPr>
        <w:pStyle w:val="Heading"/>
        <w:rPr>
          <w:lang w:val="en-US"/>
        </w:rPr>
      </w:pPr>
      <w:r>
        <w:rPr>
          <w:lang w:val="en-US"/>
        </w:rPr>
        <w:lastRenderedPageBreak/>
        <w:t>MATERIALS AND METHODS</w:t>
      </w:r>
    </w:p>
    <w:p w:rsidR="00C57A9E" w:rsidRDefault="00C57A9E" w:rsidP="00B507F0">
      <w:pPr>
        <w:ind w:firstLine="567"/>
        <w:rPr>
          <w:rFonts w:eastAsia="Calibri"/>
          <w:lang w:val="en-US"/>
        </w:rPr>
      </w:pPr>
      <w:r w:rsidRPr="00C57A9E">
        <w:rPr>
          <w:rFonts w:eastAsia="Calibri"/>
          <w:lang w:val="en-US"/>
        </w:rPr>
        <w:t xml:space="preserve">The </w:t>
      </w:r>
      <w:r w:rsidR="0033281B">
        <w:rPr>
          <w:rFonts w:eastAsia="Calibri"/>
          <w:lang w:val="en-US"/>
        </w:rPr>
        <w:t>overall process</w:t>
      </w:r>
      <w:r w:rsidRPr="00C57A9E">
        <w:rPr>
          <w:rFonts w:eastAsia="Calibri"/>
          <w:lang w:val="en-US"/>
        </w:rPr>
        <w:t xml:space="preserve"> is expected to be as follows</w:t>
      </w:r>
      <w:r w:rsidR="00E73E52">
        <w:rPr>
          <w:rFonts w:eastAsia="Calibri"/>
          <w:lang w:val="en-US"/>
        </w:rPr>
        <w:t>:</w:t>
      </w:r>
    </w:p>
    <w:p w:rsidR="00E73E52" w:rsidRPr="002A06B9" w:rsidRDefault="00064534" w:rsidP="00E73E52">
      <w:pPr>
        <w:pStyle w:val="EquationNoNum"/>
        <w:rPr>
          <w:color w:val="000000" w:themeColor="text1"/>
          <w:szCs w:val="24"/>
          <w:lang w:val="en-GB"/>
        </w:rPr>
      </w:pPr>
      <m:oMath>
        <m:sPre>
          <m:sPrePr>
            <m:ctrlPr>
              <w:rPr>
                <w:rFonts w:ascii="Cambria Math" w:hAnsi="Cambria Math"/>
                <w:color w:val="000000" w:themeColor="text1"/>
                <w:szCs w:val="24"/>
                <w:lang w:val="en-GB"/>
              </w:rPr>
            </m:ctrlPr>
          </m:sPrePr>
          <m:sub/>
          <m:sup>
            <m:r>
              <m:rPr>
                <m:sty m:val="p"/>
              </m:rPr>
              <w:rPr>
                <w:rFonts w:ascii="Cambria Math" w:hAnsi="Cambria Math"/>
                <w:color w:val="000000" w:themeColor="text1"/>
                <w:szCs w:val="24"/>
                <w:lang w:val="en-GB"/>
              </w:rPr>
              <m:t>222</m:t>
            </m:r>
          </m:sup>
          <m:e>
            <m:r>
              <m:rPr>
                <m:sty m:val="p"/>
              </m:rPr>
              <w:rPr>
                <w:rFonts w:ascii="Cambria Math" w:hAnsi="Cambria Math"/>
                <w:color w:val="000000" w:themeColor="text1"/>
                <w:szCs w:val="24"/>
              </w:rPr>
              <m:t>Rn</m:t>
            </m:r>
          </m:e>
        </m:sPre>
        <m:r>
          <m:rPr>
            <m:sty m:val="p"/>
          </m:rPr>
          <w:rPr>
            <w:rFonts w:ascii="Cambria Math" w:hAnsi="Cambria Math"/>
            <w:color w:val="000000" w:themeColor="text1"/>
            <w:szCs w:val="24"/>
            <w:lang w:val="en-GB"/>
          </w:rPr>
          <m:t>+</m:t>
        </m:r>
        <m:r>
          <m:rPr>
            <m:sty m:val="p"/>
          </m:rPr>
          <w:rPr>
            <w:rFonts w:ascii="Cambria Math" w:hAnsi="Cambria Math"/>
            <w:color w:val="000000" w:themeColor="text1"/>
            <w:szCs w:val="24"/>
          </w:rPr>
          <m:t>n=</m:t>
        </m:r>
        <m:sPre>
          <m:sPrePr>
            <m:ctrlPr>
              <w:rPr>
                <w:rFonts w:ascii="Cambria Math" w:hAnsi="Cambria Math"/>
                <w:color w:val="000000" w:themeColor="text1"/>
                <w:szCs w:val="24"/>
                <w:lang w:val="en-GB"/>
              </w:rPr>
            </m:ctrlPr>
          </m:sPrePr>
          <m:sub/>
          <m:sup>
            <m:r>
              <m:rPr>
                <m:sty m:val="p"/>
              </m:rPr>
              <w:rPr>
                <w:rFonts w:ascii="Cambria Math" w:hAnsi="Cambria Math"/>
                <w:color w:val="000000" w:themeColor="text1"/>
                <w:szCs w:val="24"/>
                <w:lang w:val="en-GB"/>
              </w:rPr>
              <m:t>223</m:t>
            </m:r>
          </m:sup>
          <m:e>
            <m:r>
              <m:rPr>
                <m:sty m:val="p"/>
              </m:rPr>
              <w:rPr>
                <w:rFonts w:ascii="Cambria Math" w:hAnsi="Cambria Math"/>
                <w:color w:val="000000" w:themeColor="text1"/>
                <w:szCs w:val="24"/>
              </w:rPr>
              <m:t>Rn</m:t>
            </m:r>
          </m:e>
        </m:sPre>
        <m:r>
          <m:rPr>
            <m:sty m:val="p"/>
          </m:rPr>
          <w:rPr>
            <w:rFonts w:ascii="Cambria Math" w:hAnsi="Cambria Math"/>
            <w:color w:val="000000" w:themeColor="text1"/>
            <w:szCs w:val="24"/>
            <w:lang w:val="en-GB"/>
          </w:rPr>
          <m:t>+</m:t>
        </m:r>
        <m:r>
          <m:rPr>
            <m:sty m:val="p"/>
          </m:rPr>
          <w:rPr>
            <w:rFonts w:ascii="Cambria Math" w:hAnsi="Cambria Math" w:hint="eastAsia"/>
            <w:color w:val="000000" w:themeColor="text1"/>
            <w:szCs w:val="24"/>
            <w:lang w:val="en-GB"/>
          </w:rPr>
          <m:t>γ</m:t>
        </m:r>
      </m:oMath>
      <w:r w:rsidR="00E73E52" w:rsidRPr="002A06B9">
        <w:rPr>
          <w:color w:val="000000" w:themeColor="text1"/>
          <w:szCs w:val="24"/>
          <w:lang w:val="en-GB"/>
        </w:rPr>
        <w:t xml:space="preserve"> </w:t>
      </w:r>
      <w:r w:rsidR="00E73E52">
        <w:rPr>
          <w:color w:val="000000" w:themeColor="text1"/>
          <w:szCs w:val="24"/>
          <w:lang w:val="en-GB"/>
        </w:rPr>
        <w:t xml:space="preserve">- </w:t>
      </w:r>
      <w:r w:rsidR="00E73E52" w:rsidRPr="002A06B9">
        <w:rPr>
          <w:color w:val="000000" w:themeColor="text1"/>
          <w:szCs w:val="24"/>
          <w:lang w:val="en-GB"/>
        </w:rPr>
        <w:t>neutron capture</w:t>
      </w:r>
      <w:r w:rsidR="00E73E52">
        <w:rPr>
          <w:color w:val="000000" w:themeColor="text1"/>
          <w:szCs w:val="24"/>
          <w:lang w:val="en-GB"/>
        </w:rPr>
        <w:t xml:space="preserve"> (1)</w:t>
      </w:r>
    </w:p>
    <w:p w:rsidR="00E73E52" w:rsidRPr="002A06B9" w:rsidRDefault="00064534" w:rsidP="00E73E52">
      <w:pPr>
        <w:pStyle w:val="EquationNoNum"/>
        <w:rPr>
          <w:color w:val="000000" w:themeColor="text1"/>
          <w:szCs w:val="24"/>
          <w:lang w:val="en-GB"/>
        </w:rPr>
      </w:pPr>
      <m:oMath>
        <m:sPre>
          <m:sPrePr>
            <m:ctrlPr>
              <w:rPr>
                <w:rFonts w:ascii="Cambria Math" w:hAnsi="Cambria Math"/>
                <w:color w:val="000000" w:themeColor="text1"/>
                <w:szCs w:val="24"/>
                <w:lang w:val="en-GB"/>
              </w:rPr>
            </m:ctrlPr>
          </m:sPrePr>
          <m:sub/>
          <m:sup>
            <m:r>
              <m:rPr>
                <m:sty m:val="p"/>
              </m:rPr>
              <w:rPr>
                <w:rFonts w:ascii="Cambria Math" w:hAnsi="Cambria Math"/>
                <w:color w:val="000000" w:themeColor="text1"/>
                <w:szCs w:val="24"/>
                <w:lang w:val="en-GB"/>
              </w:rPr>
              <m:t>222</m:t>
            </m:r>
          </m:sup>
          <m:e>
            <m:r>
              <m:rPr>
                <m:sty m:val="p"/>
              </m:rPr>
              <w:rPr>
                <w:rFonts w:ascii="Cambria Math" w:hAnsi="Cambria Math"/>
                <w:color w:val="000000" w:themeColor="text1"/>
                <w:szCs w:val="24"/>
              </w:rPr>
              <m:t>Rn</m:t>
            </m:r>
          </m:e>
        </m:sPre>
        <m:r>
          <m:rPr>
            <m:sty m:val="p"/>
          </m:rPr>
          <w:rPr>
            <w:rFonts w:ascii="Cambria Math" w:hAnsi="Cambria Math"/>
            <w:color w:val="000000" w:themeColor="text1"/>
            <w:szCs w:val="24"/>
            <w:lang w:val="en-GB"/>
          </w:rPr>
          <m:t>+</m:t>
        </m:r>
        <m:sSup>
          <m:sSupPr>
            <m:ctrlPr>
              <w:rPr>
                <w:rFonts w:ascii="Cambria Math" w:hAnsi="Cambria Math"/>
                <w:color w:val="000000" w:themeColor="text1"/>
                <w:szCs w:val="24"/>
              </w:rPr>
            </m:ctrlPr>
          </m:sSupPr>
          <m:e>
            <m:r>
              <m:rPr>
                <m:sty m:val="p"/>
              </m:rPr>
              <w:rPr>
                <w:rFonts w:ascii="Cambria Math" w:hAnsi="Cambria Math"/>
                <w:color w:val="000000" w:themeColor="text1"/>
                <w:szCs w:val="24"/>
              </w:rPr>
              <m:t>e</m:t>
            </m:r>
          </m:e>
          <m:sup>
            <m:r>
              <m:rPr>
                <m:sty m:val="p"/>
              </m:rPr>
              <w:rPr>
                <w:rFonts w:ascii="Cambria Math" w:hAnsi="Cambria Math"/>
                <w:color w:val="000000" w:themeColor="text1"/>
                <w:szCs w:val="24"/>
              </w:rPr>
              <m:t>-</m:t>
            </m:r>
          </m:sup>
        </m:sSup>
        <m:r>
          <m:rPr>
            <m:sty m:val="p"/>
          </m:rPr>
          <w:rPr>
            <w:rFonts w:ascii="Cambria Math" w:hAnsi="Cambria Math"/>
            <w:color w:val="000000" w:themeColor="text1"/>
            <w:szCs w:val="24"/>
          </w:rPr>
          <m:t>=</m:t>
        </m:r>
        <m:sPre>
          <m:sPrePr>
            <m:ctrlPr>
              <w:rPr>
                <w:rFonts w:ascii="Cambria Math" w:hAnsi="Cambria Math"/>
                <w:color w:val="000000" w:themeColor="text1"/>
                <w:szCs w:val="24"/>
                <w:lang w:val="en-GB"/>
              </w:rPr>
            </m:ctrlPr>
          </m:sPrePr>
          <m:sub/>
          <m:sup>
            <m:r>
              <m:rPr>
                <m:sty m:val="p"/>
              </m:rPr>
              <w:rPr>
                <w:rFonts w:ascii="Cambria Math" w:hAnsi="Cambria Math"/>
                <w:color w:val="000000" w:themeColor="text1"/>
                <w:szCs w:val="24"/>
                <w:lang w:val="en-GB"/>
              </w:rPr>
              <m:t>223</m:t>
            </m:r>
          </m:sup>
          <m:e>
            <m:r>
              <m:rPr>
                <m:sty m:val="p"/>
              </m:rPr>
              <w:rPr>
                <w:rFonts w:ascii="Cambria Math" w:hAnsi="Cambria Math"/>
                <w:color w:val="000000" w:themeColor="text1"/>
                <w:szCs w:val="24"/>
              </w:rPr>
              <m:t>Fr</m:t>
            </m:r>
          </m:e>
        </m:sPre>
        <m:r>
          <m:rPr>
            <m:sty m:val="p"/>
          </m:rPr>
          <w:rPr>
            <w:rFonts w:ascii="Cambria Math" w:hAnsi="Cambria Math"/>
            <w:color w:val="000000" w:themeColor="text1"/>
            <w:szCs w:val="24"/>
            <w:lang w:val="en-GB"/>
          </w:rPr>
          <m:t>+</m:t>
        </m:r>
        <m:sSub>
          <m:sSubPr>
            <m:ctrlPr>
              <w:rPr>
                <w:rFonts w:ascii="Cambria Math" w:hAnsi="Cambria Math"/>
                <w:color w:val="000000" w:themeColor="text1"/>
                <w:szCs w:val="24"/>
                <w:lang w:val="en-GB"/>
              </w:rPr>
            </m:ctrlPr>
          </m:sSubPr>
          <m:e>
            <m:r>
              <m:rPr>
                <m:sty m:val="p"/>
              </m:rPr>
              <w:rPr>
                <w:rFonts w:ascii="Cambria Math" w:hAnsi="Cambria Math" w:hint="eastAsia"/>
                <w:color w:val="000000" w:themeColor="text1"/>
                <w:szCs w:val="24"/>
                <w:lang w:val="en-GB"/>
              </w:rPr>
              <m:t>ν</m:t>
            </m:r>
          </m:e>
          <m:sub>
            <m:r>
              <m:rPr>
                <m:sty m:val="p"/>
              </m:rPr>
              <w:rPr>
                <w:rFonts w:ascii="Cambria Math" w:hAnsi="Cambria Math"/>
                <w:color w:val="000000" w:themeColor="text1"/>
                <w:szCs w:val="24"/>
              </w:rPr>
              <m:t>e</m:t>
            </m:r>
          </m:sub>
        </m:sSub>
      </m:oMath>
      <w:r w:rsidR="00E73E52">
        <w:rPr>
          <w:color w:val="000000" w:themeColor="text1"/>
          <w:szCs w:val="24"/>
          <w:lang w:val="en-GB"/>
        </w:rPr>
        <w:t xml:space="preserve"> - electron capture (2)</w:t>
      </w:r>
    </w:p>
    <w:p w:rsidR="00C57A9E" w:rsidRPr="00E73E52" w:rsidRDefault="00064534" w:rsidP="00E73E52">
      <w:pPr>
        <w:pStyle w:val="EquationNoNum"/>
        <w:rPr>
          <w:color w:val="000000" w:themeColor="text1"/>
          <w:szCs w:val="24"/>
          <w:lang w:val="en-GB"/>
        </w:rPr>
      </w:pPr>
      <m:oMath>
        <m:sPre>
          <m:sPrePr>
            <m:ctrlPr>
              <w:rPr>
                <w:rFonts w:ascii="Cambria Math" w:hAnsi="Cambria Math"/>
                <w:color w:val="000000" w:themeColor="text1"/>
                <w:szCs w:val="24"/>
                <w:lang w:val="en-GB"/>
              </w:rPr>
            </m:ctrlPr>
          </m:sPrePr>
          <m:sub/>
          <m:sup>
            <m:r>
              <m:rPr>
                <m:sty m:val="p"/>
              </m:rPr>
              <w:rPr>
                <w:rFonts w:ascii="Cambria Math" w:hAnsi="Cambria Math"/>
                <w:color w:val="000000" w:themeColor="text1"/>
                <w:szCs w:val="24"/>
                <w:lang w:val="en-GB"/>
              </w:rPr>
              <m:t>223</m:t>
            </m:r>
          </m:sup>
          <m:e>
            <m:r>
              <m:rPr>
                <m:sty m:val="p"/>
              </m:rPr>
              <w:rPr>
                <w:rFonts w:ascii="Cambria Math" w:hAnsi="Cambria Math"/>
                <w:color w:val="000000" w:themeColor="text1"/>
                <w:szCs w:val="24"/>
              </w:rPr>
              <m:t>Fr</m:t>
            </m:r>
          </m:e>
        </m:sPre>
        <m:r>
          <m:rPr>
            <m:sty m:val="p"/>
          </m:rPr>
          <w:rPr>
            <w:rFonts w:ascii="Cambria Math" w:hAnsi="Cambria Math"/>
            <w:color w:val="000000" w:themeColor="text1"/>
            <w:szCs w:val="24"/>
            <w:lang w:val="en-GB"/>
          </w:rPr>
          <m:t>+</m:t>
        </m:r>
        <m:sSup>
          <m:sSupPr>
            <m:ctrlPr>
              <w:rPr>
                <w:rFonts w:ascii="Cambria Math" w:hAnsi="Cambria Math"/>
                <w:color w:val="000000" w:themeColor="text1"/>
                <w:szCs w:val="24"/>
              </w:rPr>
            </m:ctrlPr>
          </m:sSupPr>
          <m:e>
            <m:r>
              <m:rPr>
                <m:sty m:val="p"/>
              </m:rPr>
              <w:rPr>
                <w:rFonts w:ascii="Cambria Math" w:hAnsi="Cambria Math"/>
                <w:color w:val="000000" w:themeColor="text1"/>
                <w:szCs w:val="24"/>
              </w:rPr>
              <m:t>e</m:t>
            </m:r>
          </m:e>
          <m:sup>
            <m:r>
              <m:rPr>
                <m:sty m:val="p"/>
              </m:rPr>
              <w:rPr>
                <w:rFonts w:ascii="Cambria Math" w:hAnsi="Cambria Math"/>
                <w:color w:val="000000" w:themeColor="text1"/>
                <w:szCs w:val="24"/>
              </w:rPr>
              <m:t>-</m:t>
            </m:r>
          </m:sup>
        </m:sSup>
        <m:r>
          <m:rPr>
            <m:sty m:val="p"/>
          </m:rPr>
          <w:rPr>
            <w:rFonts w:ascii="Cambria Math" w:hAnsi="Cambria Math"/>
            <w:color w:val="000000" w:themeColor="text1"/>
            <w:szCs w:val="24"/>
          </w:rPr>
          <m:t>=</m:t>
        </m:r>
        <m:sPre>
          <m:sPrePr>
            <m:ctrlPr>
              <w:rPr>
                <w:rFonts w:ascii="Cambria Math" w:hAnsi="Cambria Math"/>
                <w:color w:val="000000" w:themeColor="text1"/>
                <w:szCs w:val="24"/>
                <w:lang w:val="en-GB"/>
              </w:rPr>
            </m:ctrlPr>
          </m:sPrePr>
          <m:sub/>
          <m:sup>
            <m:r>
              <m:rPr>
                <m:sty m:val="p"/>
              </m:rPr>
              <w:rPr>
                <w:rFonts w:ascii="Cambria Math" w:hAnsi="Cambria Math"/>
                <w:color w:val="000000" w:themeColor="text1"/>
                <w:szCs w:val="24"/>
                <w:lang w:val="en-GB"/>
              </w:rPr>
              <m:t>223</m:t>
            </m:r>
          </m:sup>
          <m:e>
            <m:r>
              <m:rPr>
                <m:sty m:val="p"/>
              </m:rPr>
              <w:rPr>
                <w:rFonts w:ascii="Cambria Math" w:hAnsi="Cambria Math"/>
                <w:color w:val="000000" w:themeColor="text1"/>
                <w:szCs w:val="24"/>
              </w:rPr>
              <m:t>Ra</m:t>
            </m:r>
          </m:e>
        </m:sPre>
        <m:r>
          <m:rPr>
            <m:sty m:val="p"/>
          </m:rPr>
          <w:rPr>
            <w:rFonts w:ascii="Cambria Math" w:hAnsi="Cambria Math"/>
            <w:color w:val="000000" w:themeColor="text1"/>
            <w:szCs w:val="24"/>
            <w:lang w:val="en-GB"/>
          </w:rPr>
          <m:t>+</m:t>
        </m:r>
        <m:sSub>
          <m:sSubPr>
            <m:ctrlPr>
              <w:rPr>
                <w:rFonts w:ascii="Cambria Math" w:hAnsi="Cambria Math"/>
                <w:color w:val="000000" w:themeColor="text1"/>
                <w:szCs w:val="24"/>
                <w:lang w:val="en-GB"/>
              </w:rPr>
            </m:ctrlPr>
          </m:sSubPr>
          <m:e>
            <m:r>
              <m:rPr>
                <m:sty m:val="p"/>
              </m:rPr>
              <w:rPr>
                <w:rFonts w:ascii="Cambria Math" w:hAnsi="Cambria Math" w:hint="eastAsia"/>
                <w:color w:val="000000" w:themeColor="text1"/>
                <w:szCs w:val="24"/>
                <w:lang w:val="en-GB"/>
              </w:rPr>
              <m:t>ν</m:t>
            </m:r>
          </m:e>
          <m:sub>
            <m:r>
              <m:rPr>
                <m:sty m:val="p"/>
              </m:rPr>
              <w:rPr>
                <w:rFonts w:ascii="Cambria Math" w:hAnsi="Cambria Math"/>
                <w:color w:val="000000" w:themeColor="text1"/>
                <w:szCs w:val="24"/>
              </w:rPr>
              <m:t>e</m:t>
            </m:r>
          </m:sub>
        </m:sSub>
      </m:oMath>
      <w:r w:rsidR="00E73E52">
        <w:rPr>
          <w:color w:val="000000" w:themeColor="text1"/>
          <w:szCs w:val="24"/>
          <w:lang w:val="en-GB"/>
        </w:rPr>
        <w:t xml:space="preserve"> - electron capture (3)</w:t>
      </w:r>
    </w:p>
    <w:p w:rsidR="00E73E52" w:rsidRDefault="00E73E52" w:rsidP="00E73E52">
      <w:pPr>
        <w:pStyle w:val="EquationNoNum"/>
        <w:tabs>
          <w:tab w:val="left" w:pos="567"/>
        </w:tabs>
        <w:ind w:firstLine="567"/>
        <w:jc w:val="both"/>
        <w:rPr>
          <w:rFonts w:eastAsia="Calibri"/>
          <w:noProof w:val="0"/>
          <w:szCs w:val="24"/>
          <w:lang w:eastAsia="en-US"/>
        </w:rPr>
      </w:pPr>
      <w:r w:rsidRPr="00E73E52">
        <w:rPr>
          <w:rFonts w:eastAsia="Calibri"/>
          <w:noProof w:val="0"/>
          <w:szCs w:val="24"/>
          <w:lang w:eastAsia="en-US"/>
        </w:rPr>
        <w:t>The theoretical calculation was carried out by formulating a system of linear differential equations and subsequently solving it using Wolfram Mathematica, a computational software environment for model</w:t>
      </w:r>
      <w:r w:rsidR="008E63DF">
        <w:rPr>
          <w:rFonts w:eastAsia="Calibri"/>
          <w:noProof w:val="0"/>
          <w:szCs w:val="24"/>
          <w:lang w:eastAsia="en-US"/>
        </w:rPr>
        <w:t>l</w:t>
      </w:r>
      <w:r w:rsidRPr="00E73E52">
        <w:rPr>
          <w:rFonts w:eastAsia="Calibri"/>
          <w:noProof w:val="0"/>
          <w:szCs w:val="24"/>
          <w:lang w:eastAsia="en-US"/>
        </w:rPr>
        <w:t>ing and per</w:t>
      </w:r>
      <w:r w:rsidR="008E63DF">
        <w:rPr>
          <w:rFonts w:eastAsia="Calibri"/>
          <w:noProof w:val="0"/>
          <w:szCs w:val="24"/>
          <w:lang w:eastAsia="en-US"/>
        </w:rPr>
        <w:t>forming mathematical iterations:</w:t>
      </w:r>
    </w:p>
    <w:p w:rsidR="008E63DF" w:rsidRDefault="00064534" w:rsidP="008E63DF">
      <w:pPr>
        <w:pStyle w:val="EquationNoNum"/>
        <w:tabs>
          <w:tab w:val="left" w:pos="567"/>
        </w:tabs>
        <w:rPr>
          <w:rFonts w:eastAsia="Calibri"/>
          <w:noProof w:val="0"/>
          <w:szCs w:val="24"/>
          <w:lang w:val="en-GB" w:eastAsia="en-US"/>
        </w:rPr>
      </w:pPr>
      <m:oMath>
        <m:f>
          <m:fPr>
            <m:ctrlPr>
              <w:rPr>
                <w:rFonts w:ascii="Cambria Math" w:eastAsia="Calibri" w:hAnsi="Cambria Math"/>
                <w:i/>
                <w:noProof w:val="0"/>
                <w:szCs w:val="24"/>
                <w:lang w:val="en-GB" w:eastAsia="en-US"/>
              </w:rPr>
            </m:ctrlPr>
          </m:fPr>
          <m:num>
            <m:r>
              <w:rPr>
                <w:rFonts w:ascii="Cambria Math" w:eastAsia="Calibri" w:hAnsi="Cambria Math"/>
                <w:noProof w:val="0"/>
                <w:szCs w:val="24"/>
                <w:lang w:val="en-GB" w:eastAsia="en-US"/>
              </w:rPr>
              <m:t>dN(</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222</m:t>
                </m:r>
              </m:sup>
              <m:e>
                <m:r>
                  <w:rPr>
                    <w:rFonts w:ascii="Cambria Math" w:eastAsia="Calibri" w:hAnsi="Cambria Math"/>
                    <w:noProof w:val="0"/>
                    <w:szCs w:val="24"/>
                    <w:lang w:val="en-GB" w:eastAsia="en-US"/>
                  </w:rPr>
                  <m:t>Rn</m:t>
                </m:r>
              </m:e>
            </m:sPre>
            <m:r>
              <w:rPr>
                <w:rFonts w:ascii="Cambria Math" w:eastAsia="Calibri" w:hAnsi="Cambria Math"/>
                <w:noProof w:val="0"/>
                <w:szCs w:val="24"/>
                <w:lang w:val="en-GB" w:eastAsia="en-US"/>
              </w:rPr>
              <m:t>)</m:t>
            </m:r>
          </m:num>
          <m:den>
            <m:r>
              <w:rPr>
                <w:rFonts w:ascii="Cambria Math" w:eastAsia="Calibri" w:hAnsi="Cambria Math"/>
                <w:noProof w:val="0"/>
                <w:szCs w:val="24"/>
                <w:lang w:val="en-GB" w:eastAsia="en-US"/>
              </w:rPr>
              <m:t>dt</m:t>
            </m:r>
          </m:den>
        </m:f>
        <m:r>
          <w:rPr>
            <w:rFonts w:ascii="Cambria Math" w:eastAsia="Calibri" w:hAnsi="Cambria Math"/>
            <w:noProof w:val="0"/>
            <w:szCs w:val="24"/>
            <w:lang w:val="en-GB" w:eastAsia="en-US"/>
          </w:rPr>
          <m:t>=-λ(</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222</m:t>
            </m:r>
          </m:sup>
          <m:e>
            <m:r>
              <w:rPr>
                <w:rFonts w:ascii="Cambria Math" w:eastAsia="Calibri" w:hAnsi="Cambria Math"/>
                <w:noProof w:val="0"/>
                <w:szCs w:val="24"/>
                <w:lang w:val="en-GB" w:eastAsia="en-US"/>
              </w:rPr>
              <m:t>Rn)∙</m:t>
            </m:r>
          </m:e>
        </m:sPre>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222</m:t>
                </m:r>
              </m:sup>
              <m:e>
                <m:r>
                  <w:rPr>
                    <w:rFonts w:ascii="Cambria Math" w:eastAsia="Calibri" w:hAnsi="Cambria Math"/>
                    <w:noProof w:val="0"/>
                    <w:szCs w:val="24"/>
                    <w:lang w:val="en-GB" w:eastAsia="en-US"/>
                  </w:rPr>
                  <m:t>Rn</m:t>
                </m:r>
              </m:e>
            </m:sPre>
          </m:e>
        </m:d>
        <m:r>
          <w:rPr>
            <w:rFonts w:ascii="Cambria Math" w:eastAsia="Calibri" w:hAnsi="Cambria Math"/>
            <w:noProof w:val="0"/>
            <w:szCs w:val="24"/>
            <w:lang w:val="en-GB" w:eastAsia="en-US"/>
          </w:rPr>
          <m:t>-</m:t>
        </m:r>
        <m:sSub>
          <m:sSubPr>
            <m:ctrlPr>
              <w:rPr>
                <w:rFonts w:ascii="Cambria Math" w:eastAsia="Calibri" w:hAnsi="Cambria Math"/>
                <w:i/>
                <w:noProof w:val="0"/>
                <w:szCs w:val="24"/>
                <w:lang w:val="en-GB" w:eastAsia="en-US"/>
              </w:rPr>
            </m:ctrlPr>
          </m:sSubPr>
          <m:e>
            <m:r>
              <w:rPr>
                <w:rFonts w:ascii="Cambria Math" w:eastAsia="Calibri" w:hAnsi="Cambria Math"/>
                <w:noProof w:val="0"/>
                <w:szCs w:val="24"/>
                <w:lang w:val="en-GB" w:eastAsia="en-US"/>
              </w:rPr>
              <m:t>σ</m:t>
            </m:r>
          </m:e>
          <m:sub>
            <m:r>
              <w:rPr>
                <w:rFonts w:ascii="Cambria Math" w:eastAsia="Calibri" w:hAnsi="Cambria Math"/>
                <w:noProof w:val="0"/>
                <w:szCs w:val="24"/>
                <w:lang w:val="en-GB" w:eastAsia="en-US"/>
              </w:rPr>
              <m:t>s</m:t>
            </m:r>
          </m:sub>
        </m:sSub>
        <m:r>
          <w:rPr>
            <w:rFonts w:ascii="Cambria Math" w:eastAsia="Calibri" w:hAnsi="Cambria Math"/>
            <w:noProof w:val="0"/>
            <w:szCs w:val="24"/>
            <w:lang w:val="en-GB" w:eastAsia="en-US"/>
          </w:rPr>
          <m:t>∙</m:t>
        </m:r>
        <m:sSub>
          <m:sSubPr>
            <m:ctrlPr>
              <w:rPr>
                <w:rFonts w:ascii="Cambria Math" w:eastAsia="Calibri" w:hAnsi="Cambria Math"/>
                <w:noProof w:val="0"/>
                <w:szCs w:val="24"/>
                <w:lang w:val="en-GB" w:eastAsia="en-US"/>
              </w:rPr>
            </m:ctrlPr>
          </m:sSubPr>
          <m:e>
            <m:r>
              <m:rPr>
                <m:sty m:val="p"/>
              </m:rPr>
              <w:rPr>
                <w:rFonts w:ascii="Cambria Math" w:eastAsia="Calibri" w:hAnsi="Cambria Math"/>
                <w:lang w:val="en-GB"/>
              </w:rPr>
              <m:t>Φ</m:t>
            </m:r>
          </m:e>
          <m:sub>
            <m:r>
              <w:rPr>
                <w:rFonts w:ascii="Cambria Math" w:eastAsia="Calibri" w:hAnsi="Cambria Math"/>
                <w:noProof w:val="0"/>
                <w:szCs w:val="24"/>
                <w:lang w:val="en-GB" w:eastAsia="en-US"/>
              </w:rPr>
              <m:t>s</m:t>
            </m:r>
          </m:sub>
        </m:sSub>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222</m:t>
                </m:r>
              </m:sup>
              <m:e>
                <m:r>
                  <w:rPr>
                    <w:rFonts w:ascii="Cambria Math" w:eastAsia="Calibri" w:hAnsi="Cambria Math"/>
                    <w:noProof w:val="0"/>
                    <w:szCs w:val="24"/>
                    <w:lang w:val="en-GB" w:eastAsia="en-US"/>
                  </w:rPr>
                  <m:t>Rn</m:t>
                </m:r>
              </m:e>
            </m:sPre>
          </m:e>
        </m:d>
      </m:oMath>
      <w:r w:rsidR="008E63DF">
        <w:rPr>
          <w:rFonts w:eastAsia="Calibri"/>
          <w:noProof w:val="0"/>
          <w:szCs w:val="24"/>
          <w:lang w:val="en-GB" w:eastAsia="en-US"/>
        </w:rPr>
        <w:t xml:space="preserve"> (4);</w:t>
      </w:r>
    </w:p>
    <w:p w:rsidR="008E63DF" w:rsidRDefault="00064534" w:rsidP="008E63DF">
      <w:pPr>
        <w:pStyle w:val="EquationNoNum"/>
        <w:tabs>
          <w:tab w:val="left" w:pos="567"/>
        </w:tabs>
        <w:rPr>
          <w:szCs w:val="24"/>
          <w:lang w:val="en-GB" w:eastAsia="en-US"/>
        </w:rPr>
      </w:pPr>
      <m:oMath>
        <m:f>
          <m:fPr>
            <m:ctrlPr>
              <w:rPr>
                <w:rFonts w:ascii="Cambria Math" w:eastAsia="Calibri" w:hAnsi="Cambria Math"/>
                <w:i/>
                <w:noProof w:val="0"/>
                <w:szCs w:val="24"/>
                <w:lang w:val="en-GB" w:eastAsia="en-US"/>
              </w:rPr>
            </m:ctrlPr>
          </m:fPr>
          <m:num>
            <m:r>
              <w:rPr>
                <w:rFonts w:ascii="Cambria Math" w:eastAsia="Calibri" w:hAnsi="Cambria Math"/>
                <w:noProof w:val="0"/>
                <w:szCs w:val="24"/>
                <w:lang w:val="en-GB" w:eastAsia="en-US"/>
              </w:rPr>
              <m:t>dN(</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Rn</m:t>
                </m:r>
              </m:e>
            </m:sPre>
            <m:r>
              <w:rPr>
                <w:rFonts w:ascii="Cambria Math" w:eastAsia="Calibri" w:hAnsi="Cambria Math"/>
                <w:noProof w:val="0"/>
                <w:szCs w:val="24"/>
                <w:lang w:val="en-GB" w:eastAsia="en-US"/>
              </w:rPr>
              <m:t>)</m:t>
            </m:r>
          </m:num>
          <m:den>
            <m:r>
              <w:rPr>
                <w:rFonts w:ascii="Cambria Math" w:eastAsia="Calibri" w:hAnsi="Cambria Math"/>
                <w:noProof w:val="0"/>
                <w:szCs w:val="24"/>
                <w:lang w:val="en-GB" w:eastAsia="en-US"/>
              </w:rPr>
              <m:t>dt</m:t>
            </m:r>
          </m:den>
        </m:f>
        <m:r>
          <w:rPr>
            <w:rFonts w:ascii="Cambria Math" w:eastAsia="Calibri" w:hAnsi="Cambria Math"/>
            <w:noProof w:val="0"/>
            <w:szCs w:val="24"/>
            <w:lang w:val="en-GB" w:eastAsia="en-US"/>
          </w:rPr>
          <m:t>=</m:t>
        </m:r>
        <m:sSub>
          <m:sSubPr>
            <m:ctrlPr>
              <w:rPr>
                <w:rFonts w:ascii="Cambria Math" w:eastAsia="Calibri" w:hAnsi="Cambria Math"/>
                <w:i/>
                <w:noProof w:val="0"/>
                <w:szCs w:val="24"/>
                <w:lang w:val="en-GB" w:eastAsia="en-US"/>
              </w:rPr>
            </m:ctrlPr>
          </m:sSubPr>
          <m:e>
            <m:r>
              <w:rPr>
                <w:rFonts w:ascii="Cambria Math" w:eastAsia="Calibri" w:hAnsi="Cambria Math"/>
                <w:noProof w:val="0"/>
                <w:szCs w:val="24"/>
                <w:lang w:val="en-GB" w:eastAsia="en-US"/>
              </w:rPr>
              <m:t>σ</m:t>
            </m:r>
          </m:e>
          <m:sub>
            <m:r>
              <w:rPr>
                <w:rFonts w:ascii="Cambria Math" w:eastAsia="Calibri" w:hAnsi="Cambria Math"/>
                <w:noProof w:val="0"/>
                <w:szCs w:val="24"/>
                <w:lang w:val="en-GB" w:eastAsia="en-US"/>
              </w:rPr>
              <m:t>s</m:t>
            </m:r>
          </m:sub>
        </m:sSub>
        <m:r>
          <w:rPr>
            <w:rFonts w:ascii="Cambria Math" w:eastAsia="Calibri" w:hAnsi="Cambria Math"/>
            <w:noProof w:val="0"/>
            <w:szCs w:val="24"/>
            <w:lang w:val="en-GB" w:eastAsia="en-US"/>
          </w:rPr>
          <m:t>∙</m:t>
        </m:r>
        <m:sSub>
          <m:sSubPr>
            <m:ctrlPr>
              <w:rPr>
                <w:rFonts w:ascii="Cambria Math" w:eastAsia="Calibri" w:hAnsi="Cambria Math"/>
                <w:noProof w:val="0"/>
                <w:szCs w:val="24"/>
                <w:lang w:val="en-GB" w:eastAsia="en-US"/>
              </w:rPr>
            </m:ctrlPr>
          </m:sSubPr>
          <m:e>
            <m:r>
              <m:rPr>
                <m:sty m:val="p"/>
              </m:rPr>
              <w:rPr>
                <w:rFonts w:ascii="Cambria Math" w:eastAsia="Calibri" w:hAnsi="Cambria Math"/>
                <w:noProof w:val="0"/>
                <w:szCs w:val="24"/>
                <w:lang w:val="en-GB" w:eastAsia="en-US"/>
              </w:rPr>
              <m:t>Φ</m:t>
            </m:r>
          </m:e>
          <m:sub>
            <m:r>
              <w:rPr>
                <w:rFonts w:ascii="Cambria Math" w:eastAsia="Calibri" w:hAnsi="Cambria Math"/>
                <w:noProof w:val="0"/>
                <w:szCs w:val="24"/>
                <w:lang w:val="en-GB" w:eastAsia="en-US"/>
              </w:rPr>
              <m:t>s</m:t>
            </m:r>
          </m:sub>
        </m:sSub>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222</m:t>
                </m:r>
              </m:sup>
              <m:e>
                <m:r>
                  <w:rPr>
                    <w:rFonts w:ascii="Cambria Math" w:eastAsia="Calibri" w:hAnsi="Cambria Math"/>
                    <w:noProof w:val="0"/>
                    <w:szCs w:val="24"/>
                    <w:lang w:val="en-GB" w:eastAsia="en-US"/>
                  </w:rPr>
                  <m:t>Rn</m:t>
                </m:r>
              </m:e>
            </m:sPre>
          </m:e>
        </m:d>
        <m:r>
          <w:rPr>
            <w:rFonts w:ascii="Cambria Math" w:eastAsia="Calibri" w:hAnsi="Cambria Math"/>
            <w:noProof w:val="0"/>
            <w:szCs w:val="24"/>
            <w:lang w:val="en-GB" w:eastAsia="en-US"/>
          </w:rPr>
          <m:t>-λ(</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Rn)∙</m:t>
            </m:r>
          </m:e>
        </m:sPre>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Rn</m:t>
                </m:r>
              </m:e>
            </m:sPre>
          </m:e>
        </m:d>
      </m:oMath>
      <w:r w:rsidR="008E63DF">
        <w:rPr>
          <w:szCs w:val="24"/>
          <w:lang w:val="en-GB" w:eastAsia="en-US"/>
        </w:rPr>
        <w:t xml:space="preserve"> (5);</w:t>
      </w:r>
    </w:p>
    <w:p w:rsidR="008E63DF" w:rsidRDefault="00064534" w:rsidP="008E63DF">
      <w:pPr>
        <w:pStyle w:val="EquationNoNum"/>
        <w:tabs>
          <w:tab w:val="left" w:pos="567"/>
        </w:tabs>
        <w:rPr>
          <w:szCs w:val="24"/>
          <w:lang w:val="en-GB" w:eastAsia="en-US"/>
        </w:rPr>
      </w:pPr>
      <m:oMath>
        <m:f>
          <m:fPr>
            <m:ctrlPr>
              <w:rPr>
                <w:rFonts w:ascii="Cambria Math" w:eastAsia="Calibri" w:hAnsi="Cambria Math"/>
                <w:i/>
                <w:noProof w:val="0"/>
                <w:szCs w:val="24"/>
                <w:lang w:val="en-GB" w:eastAsia="en-US"/>
              </w:rPr>
            </m:ctrlPr>
          </m:fPr>
          <m:num>
            <m:r>
              <w:rPr>
                <w:rFonts w:ascii="Cambria Math" w:eastAsia="Calibri" w:hAnsi="Cambria Math"/>
                <w:noProof w:val="0"/>
                <w:szCs w:val="24"/>
                <w:lang w:val="en-GB" w:eastAsia="en-US"/>
              </w:rPr>
              <m:t>dN(</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Fr</m:t>
                </m:r>
              </m:e>
            </m:sPre>
            <m:r>
              <w:rPr>
                <w:rFonts w:ascii="Cambria Math" w:eastAsia="Calibri" w:hAnsi="Cambria Math"/>
                <w:noProof w:val="0"/>
                <w:szCs w:val="24"/>
                <w:lang w:val="en-GB" w:eastAsia="en-US"/>
              </w:rPr>
              <m:t>)</m:t>
            </m:r>
          </m:num>
          <m:den>
            <m:r>
              <w:rPr>
                <w:rFonts w:ascii="Cambria Math" w:eastAsia="Calibri" w:hAnsi="Cambria Math"/>
                <w:noProof w:val="0"/>
                <w:szCs w:val="24"/>
                <w:lang w:val="en-GB" w:eastAsia="en-US"/>
              </w:rPr>
              <m:t>dt</m:t>
            </m:r>
          </m:den>
        </m:f>
        <m:r>
          <w:rPr>
            <w:rFonts w:ascii="Cambria Math" w:eastAsia="Calibri" w:hAnsi="Cambria Math"/>
            <w:noProof w:val="0"/>
            <w:szCs w:val="24"/>
            <w:lang w:val="en-GB" w:eastAsia="en-US"/>
          </w:rPr>
          <m:t>=λ(</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Rn)∙</m:t>
            </m:r>
          </m:e>
        </m:sPre>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Rn</m:t>
                </m:r>
              </m:e>
            </m:sPre>
          </m:e>
        </m:d>
        <m:r>
          <w:rPr>
            <w:rFonts w:ascii="Cambria Math" w:eastAsia="Calibri" w:hAnsi="Cambria Math"/>
            <w:noProof w:val="0"/>
            <w:szCs w:val="24"/>
            <w:lang w:val="en-GB" w:eastAsia="en-US"/>
          </w:rPr>
          <m:t>-λ(</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Fr)∙</m:t>
            </m:r>
          </m:e>
        </m:sPre>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Fr</m:t>
                </m:r>
              </m:e>
            </m:sPre>
          </m:e>
        </m:d>
      </m:oMath>
      <w:r w:rsidR="008E63DF">
        <w:rPr>
          <w:szCs w:val="24"/>
          <w:lang w:val="en-GB" w:eastAsia="en-US"/>
        </w:rPr>
        <w:t xml:space="preserve"> (6);</w:t>
      </w:r>
    </w:p>
    <w:p w:rsidR="008E63DF" w:rsidRDefault="00064534" w:rsidP="008E63DF">
      <w:pPr>
        <w:pStyle w:val="EquationNoNum"/>
        <w:tabs>
          <w:tab w:val="left" w:pos="567"/>
        </w:tabs>
        <w:rPr>
          <w:rFonts w:eastAsia="Calibri"/>
          <w:noProof w:val="0"/>
          <w:szCs w:val="24"/>
          <w:lang w:eastAsia="en-US"/>
        </w:rPr>
      </w:pPr>
      <m:oMath>
        <m:f>
          <m:fPr>
            <m:ctrlPr>
              <w:rPr>
                <w:rFonts w:ascii="Cambria Math" w:eastAsia="Calibri" w:hAnsi="Cambria Math"/>
                <w:i/>
                <w:noProof w:val="0"/>
                <w:szCs w:val="24"/>
                <w:lang w:val="en-GB" w:eastAsia="en-US"/>
              </w:rPr>
            </m:ctrlPr>
          </m:fPr>
          <m:num>
            <m:r>
              <w:rPr>
                <w:rFonts w:ascii="Cambria Math" w:eastAsia="Calibri" w:hAnsi="Cambria Math"/>
                <w:noProof w:val="0"/>
                <w:szCs w:val="24"/>
                <w:lang w:val="en-GB" w:eastAsia="en-US"/>
              </w:rPr>
              <m:t>dN(</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Ra</m:t>
                </m:r>
              </m:e>
            </m:sPre>
            <m:r>
              <w:rPr>
                <w:rFonts w:ascii="Cambria Math" w:eastAsia="Calibri" w:hAnsi="Cambria Math"/>
                <w:noProof w:val="0"/>
                <w:szCs w:val="24"/>
                <w:lang w:val="en-GB" w:eastAsia="en-US"/>
              </w:rPr>
              <m:t>)</m:t>
            </m:r>
          </m:num>
          <m:den>
            <m:r>
              <w:rPr>
                <w:rFonts w:ascii="Cambria Math" w:eastAsia="Calibri" w:hAnsi="Cambria Math"/>
                <w:noProof w:val="0"/>
                <w:szCs w:val="24"/>
                <w:lang w:val="en-GB" w:eastAsia="en-US"/>
              </w:rPr>
              <m:t>dt</m:t>
            </m:r>
          </m:den>
        </m:f>
        <m:r>
          <w:rPr>
            <w:rFonts w:ascii="Cambria Math" w:eastAsia="Calibri" w:hAnsi="Cambria Math"/>
            <w:noProof w:val="0"/>
            <w:szCs w:val="24"/>
            <w:lang w:val="en-GB" w:eastAsia="en-US"/>
          </w:rPr>
          <m:t>=λ(</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Fr)∙</m:t>
            </m:r>
          </m:e>
        </m:sPre>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Fr</m:t>
                </m:r>
              </m:e>
            </m:sPre>
          </m:e>
        </m:d>
        <m:r>
          <w:rPr>
            <w:rFonts w:ascii="Cambria Math" w:eastAsia="Calibri" w:hAnsi="Cambria Math"/>
            <w:noProof w:val="0"/>
            <w:szCs w:val="24"/>
            <w:lang w:val="en-GB" w:eastAsia="en-US"/>
          </w:rPr>
          <m:t>-λ(</m:t>
        </m:r>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Ra)∙</m:t>
            </m:r>
          </m:e>
        </m:sPre>
        <m:r>
          <w:rPr>
            <w:rFonts w:ascii="Cambria Math" w:eastAsia="Calibri" w:hAnsi="Cambria Math"/>
            <w:noProof w:val="0"/>
            <w:szCs w:val="24"/>
            <w:lang w:val="en-GB" w:eastAsia="en-US"/>
          </w:rPr>
          <m:t>N</m:t>
        </m:r>
        <m:d>
          <m:dPr>
            <m:ctrlPr>
              <w:rPr>
                <w:rFonts w:ascii="Cambria Math" w:eastAsia="Calibri" w:hAnsi="Cambria Math"/>
                <w:i/>
                <w:noProof w:val="0"/>
                <w:szCs w:val="24"/>
                <w:lang w:val="en-GB" w:eastAsia="en-US"/>
              </w:rPr>
            </m:ctrlPr>
          </m:dPr>
          <m:e>
            <m:sPre>
              <m:sPrePr>
                <m:ctrlPr>
                  <w:rPr>
                    <w:rFonts w:ascii="Cambria Math" w:eastAsia="Calibri" w:hAnsi="Cambria Math"/>
                    <w:i/>
                    <w:noProof w:val="0"/>
                    <w:szCs w:val="24"/>
                    <w:lang w:val="en-GB" w:eastAsia="en-US"/>
                  </w:rPr>
                </m:ctrlPr>
              </m:sPrePr>
              <m:sub/>
              <m:sup>
                <m:r>
                  <w:rPr>
                    <w:rFonts w:ascii="Cambria Math" w:eastAsia="Calibri" w:hAnsi="Cambria Math"/>
                    <w:noProof w:val="0"/>
                    <w:szCs w:val="24"/>
                    <w:lang w:val="en-GB" w:eastAsia="en-US"/>
                  </w:rPr>
                  <m:t>223</m:t>
                </m:r>
              </m:sup>
              <m:e>
                <m:r>
                  <w:rPr>
                    <w:rFonts w:ascii="Cambria Math" w:eastAsia="Calibri" w:hAnsi="Cambria Math"/>
                    <w:noProof w:val="0"/>
                    <w:szCs w:val="24"/>
                    <w:lang w:val="en-GB" w:eastAsia="en-US"/>
                  </w:rPr>
                  <m:t>Ra</m:t>
                </m:r>
              </m:e>
            </m:sPre>
          </m:e>
        </m:d>
      </m:oMath>
      <w:r w:rsidR="008E63DF">
        <w:rPr>
          <w:szCs w:val="24"/>
          <w:lang w:val="en-GB" w:eastAsia="en-US"/>
        </w:rPr>
        <w:t xml:space="preserve"> (7)</w:t>
      </w:r>
    </w:p>
    <w:p w:rsidR="00687049" w:rsidRPr="00045D56" w:rsidRDefault="008E63DF" w:rsidP="00045D56">
      <w:pPr>
        <w:pStyle w:val="EquationNoNum"/>
        <w:tabs>
          <w:tab w:val="clear" w:pos="4536"/>
          <w:tab w:val="clear" w:pos="9078"/>
          <w:tab w:val="left" w:pos="567"/>
        </w:tabs>
        <w:spacing w:after="0"/>
        <w:ind w:firstLine="567"/>
        <w:jc w:val="left"/>
        <w:rPr>
          <w:lang w:val="en-GB"/>
        </w:rPr>
      </w:pPr>
      <w:r>
        <w:rPr>
          <w:lang w:val="en-GB"/>
        </w:rPr>
        <w:t>where N is the number of nuclei,</w:t>
      </w:r>
      <w:r w:rsidR="004D4028">
        <w:rPr>
          <w:lang w:val="en-GB"/>
        </w:rPr>
        <w:t xml:space="preserve"> </w:t>
      </w:r>
      <w:r w:rsidRPr="00DB6774">
        <w:rPr>
          <w:lang w:val="en-GB"/>
        </w:rPr>
        <w:t>λ</w:t>
      </w:r>
      <w:r>
        <w:rPr>
          <w:lang w:val="en-GB"/>
        </w:rPr>
        <w:t xml:space="preserve"> is the decay constant,</w:t>
      </w:r>
      <w:r w:rsidR="004D4028">
        <w:rPr>
          <w:lang w:val="en-GB"/>
        </w:rPr>
        <w:t xml:space="preserve"> </w:t>
      </w:r>
      <w:r w:rsidRPr="00021D94">
        <w:rPr>
          <w:lang w:val="en-GB"/>
        </w:rPr>
        <w:t>σ</w:t>
      </w:r>
      <w:r w:rsidRPr="00FC5ADC">
        <w:rPr>
          <w:vertAlign w:val="subscript"/>
          <w:lang w:val="en-GB"/>
        </w:rPr>
        <w:t>s</w:t>
      </w:r>
      <w:r>
        <w:rPr>
          <w:lang w:val="en-GB"/>
        </w:rPr>
        <w:t xml:space="preserve"> is the</w:t>
      </w:r>
      <w:r w:rsidRPr="00626AB2">
        <w:t xml:space="preserve"> </w:t>
      </w:r>
      <w:r w:rsidR="00660D69">
        <w:t>corresponding</w:t>
      </w:r>
      <w:r w:rsidR="00660D69">
        <w:rPr>
          <w:lang w:val="en-GB"/>
        </w:rPr>
        <w:t xml:space="preserve"> neutron</w:t>
      </w:r>
      <w:r>
        <w:rPr>
          <w:lang w:val="en-GB"/>
        </w:rPr>
        <w:t xml:space="preserve"> </w:t>
      </w:r>
      <w:r>
        <w:t>cross section and resonance integral</w:t>
      </w:r>
      <w:r w:rsidR="004D4028">
        <w:rPr>
          <w:lang w:val="en-GB"/>
        </w:rPr>
        <w:t xml:space="preserve">, </w:t>
      </w:r>
      <w:r w:rsidRPr="00021D94">
        <w:rPr>
          <w:lang w:val="en-GB"/>
        </w:rPr>
        <w:t>Φ</w:t>
      </w:r>
      <w:r w:rsidRPr="00FC5ADC">
        <w:rPr>
          <w:vertAlign w:val="subscript"/>
          <w:lang w:val="en-GB"/>
        </w:rPr>
        <w:t>s</w:t>
      </w:r>
      <w:r>
        <w:rPr>
          <w:lang w:val="en-GB"/>
        </w:rPr>
        <w:t xml:space="preserve"> is the neutron flux.</w:t>
      </w:r>
    </w:p>
    <w:p w:rsidR="00243043" w:rsidRPr="00243043" w:rsidRDefault="00C662BC" w:rsidP="00B507F0">
      <w:pPr>
        <w:ind w:firstLine="567"/>
        <w:rPr>
          <w:lang w:val="en-US"/>
        </w:rPr>
      </w:pPr>
      <w:r>
        <w:rPr>
          <w:lang w:val="en-US"/>
        </w:rPr>
        <w:t>The initial radioactivity</w:t>
      </w:r>
      <w:r w:rsidR="00243043" w:rsidRPr="00243043">
        <w:rPr>
          <w:lang w:val="en-US"/>
        </w:rPr>
        <w:t xml:space="preserve"> of </w:t>
      </w:r>
      <w:r w:rsidR="00243043" w:rsidRPr="00243043">
        <w:rPr>
          <w:vertAlign w:val="superscript"/>
          <w:lang w:val="en-US"/>
        </w:rPr>
        <w:t>222</w:t>
      </w:r>
      <w:r w:rsidR="00243043">
        <w:rPr>
          <w:lang w:val="en-US"/>
        </w:rPr>
        <w:t>Rn</w:t>
      </w:r>
      <w:r>
        <w:rPr>
          <w:lang w:val="en-US"/>
        </w:rPr>
        <w:t xml:space="preserve"> was determined by γ-spectrometric measurements</w:t>
      </w:r>
      <w:r w:rsidR="00243043">
        <w:rPr>
          <w:lang w:val="en-US"/>
        </w:rPr>
        <w:t xml:space="preserve"> to be </w:t>
      </w:r>
      <w:r>
        <w:rPr>
          <w:lang w:val="en-US"/>
        </w:rPr>
        <w:t>1570±80 Bq</w:t>
      </w:r>
      <w:r w:rsidR="00243043" w:rsidRPr="00243043">
        <w:rPr>
          <w:lang w:val="en-US"/>
        </w:rPr>
        <w:t>.</w:t>
      </w:r>
    </w:p>
    <w:p w:rsidR="00534D31" w:rsidRPr="00534D31" w:rsidRDefault="00534D31" w:rsidP="00B507F0">
      <w:pPr>
        <w:ind w:firstLine="567"/>
        <w:rPr>
          <w:lang w:val="en-US"/>
        </w:rPr>
      </w:pPr>
      <w:r w:rsidRPr="00534D31">
        <w:rPr>
          <w:lang w:val="en-US"/>
        </w:rPr>
        <w:t xml:space="preserve">The simulation parameters </w:t>
      </w:r>
      <w:r>
        <w:rPr>
          <w:lang w:val="en-US"/>
        </w:rPr>
        <w:t>included a Pu-Be</w:t>
      </w:r>
      <w:r w:rsidRPr="00534D31">
        <w:rPr>
          <w:lang w:val="en-US"/>
        </w:rPr>
        <w:t xml:space="preserve"> neutron source with an average fast neutron flux of 3.17</w:t>
      </w:r>
      <w:r w:rsidRPr="00603BB4">
        <w:rPr>
          <w:sz w:val="18"/>
          <w:szCs w:val="18"/>
          <w:lang w:val="en-US"/>
        </w:rPr>
        <w:t>·</w:t>
      </w:r>
      <w:r w:rsidRPr="00534D31">
        <w:rPr>
          <w:lang w:val="en-US"/>
        </w:rPr>
        <w:t xml:space="preserve">10⁶ </w:t>
      </w:r>
      <w:r w:rsidR="008E63DF">
        <w:rPr>
          <w:lang w:val="en-US"/>
        </w:rPr>
        <w:t>cm</w:t>
      </w:r>
      <w:r w:rsidR="008E63DF">
        <w:rPr>
          <w:vertAlign w:val="superscript"/>
          <w:lang w:val="en-US"/>
        </w:rPr>
        <w:t>-2</w:t>
      </w:r>
      <w:r w:rsidRPr="00534D31">
        <w:rPr>
          <w:lang w:val="en-US"/>
        </w:rPr>
        <w:t xml:space="preserve">s⁻¹ and </w:t>
      </w:r>
      <w:r>
        <w:rPr>
          <w:lang w:val="en-US"/>
        </w:rPr>
        <w:t xml:space="preserve">mean neutron energy of 3.4 MeV based on </w:t>
      </w:r>
      <w:r w:rsidRPr="00534D31">
        <w:rPr>
          <w:lang w:val="en-US"/>
        </w:rPr>
        <w:t>characteristic</w:t>
      </w:r>
      <w:r w:rsidR="00C662BC">
        <w:rPr>
          <w:lang w:val="en-US"/>
        </w:rPr>
        <w:t>s</w:t>
      </w:r>
      <w:r w:rsidRPr="00534D31">
        <w:rPr>
          <w:lang w:val="en-US"/>
        </w:rPr>
        <w:t xml:space="preserve"> of Pu-Be spectra, typically ranging</w:t>
      </w:r>
      <w:r>
        <w:rPr>
          <w:lang w:val="en-US"/>
        </w:rPr>
        <w:t xml:space="preserve"> 1-10 MeV with </w:t>
      </w:r>
      <w:r w:rsidR="00C662BC">
        <w:rPr>
          <w:lang w:val="en-US"/>
        </w:rPr>
        <w:t xml:space="preserve">an average of </w:t>
      </w:r>
      <w:r w:rsidR="008E63DF">
        <w:rPr>
          <w:lang w:val="en-GB"/>
        </w:rPr>
        <w:t>≈</w:t>
      </w:r>
      <w:r>
        <w:rPr>
          <w:lang w:val="en-US"/>
        </w:rPr>
        <w:t>3-5 MeV</w:t>
      </w:r>
      <w:r w:rsidR="00C662BC">
        <w:rPr>
          <w:lang w:val="en-US"/>
        </w:rPr>
        <w:t>, corresponding</w:t>
      </w:r>
      <w:r>
        <w:rPr>
          <w:lang w:val="en-US"/>
        </w:rPr>
        <w:t xml:space="preserve"> </w:t>
      </w:r>
      <w:r w:rsidR="00C662BC">
        <w:rPr>
          <w:lang w:val="en-US"/>
        </w:rPr>
        <w:t>to the characteristics of the</w:t>
      </w:r>
      <w:r w:rsidRPr="00534D31">
        <w:rPr>
          <w:lang w:val="en-US"/>
        </w:rPr>
        <w:t xml:space="preserve"> ISO 8529-1 referen</w:t>
      </w:r>
      <w:r>
        <w:rPr>
          <w:lang w:val="en-US"/>
        </w:rPr>
        <w:t>ce neutron field specifications.</w:t>
      </w:r>
    </w:p>
    <w:p w:rsidR="00C4669E" w:rsidRDefault="00C4669E" w:rsidP="00B507F0">
      <w:pPr>
        <w:ind w:firstLine="567"/>
        <w:rPr>
          <w:lang w:val="en-US"/>
        </w:rPr>
      </w:pPr>
      <w:r w:rsidRPr="00C4669E">
        <w:rPr>
          <w:lang w:val="en-US"/>
        </w:rPr>
        <w:t xml:space="preserve">The resonance integrals and cross-section values </w:t>
      </w:r>
      <w:r w:rsidR="00660D69">
        <w:rPr>
          <w:lang w:val="en-US"/>
        </w:rPr>
        <w:t>are</w:t>
      </w:r>
      <w:r w:rsidRPr="00C4669E">
        <w:rPr>
          <w:lang w:val="en-US"/>
        </w:rPr>
        <w:t xml:space="preserve"> derived from the nuclear data </w:t>
      </w:r>
      <w:r w:rsidR="002B6093">
        <w:rPr>
          <w:lang w:val="en-US"/>
        </w:rPr>
        <w:t xml:space="preserve"> </w:t>
      </w:r>
      <w:r w:rsidRPr="00C4669E">
        <w:rPr>
          <w:lang w:val="en-US"/>
        </w:rPr>
        <w:t xml:space="preserve">library </w:t>
      </w:r>
      <w:r w:rsidR="009F2F2E">
        <w:rPr>
          <w:lang w:val="en-US"/>
        </w:rPr>
        <w:t>[2</w:t>
      </w:r>
      <w:r w:rsidR="00603BB4">
        <w:rPr>
          <w:lang w:val="en-US"/>
        </w:rPr>
        <w:t>]</w:t>
      </w:r>
      <w:r w:rsidR="008E63DF">
        <w:rPr>
          <w:lang w:val="en-US"/>
        </w:rPr>
        <w:t xml:space="preserve"> and shown in table 1</w:t>
      </w:r>
      <w:r w:rsidRPr="00C4669E">
        <w:rPr>
          <w:lang w:val="en-US"/>
        </w:rPr>
        <w:t xml:space="preserve">. The total resonance integral for the dominant 3.0–3.8 MeV resonance </w:t>
      </w:r>
      <w:r w:rsidR="002B6093">
        <w:rPr>
          <w:lang w:val="en-US"/>
        </w:rPr>
        <w:t xml:space="preserve">with </w:t>
      </w:r>
      <w:r w:rsidRPr="00C4669E">
        <w:rPr>
          <w:lang w:val="en-US"/>
        </w:rPr>
        <w:t>peaking at 3.4 MeV with σ</w:t>
      </w:r>
      <w:r w:rsidR="00603BB4">
        <w:rPr>
          <w:lang w:val="en-US"/>
        </w:rPr>
        <w:t xml:space="preserve"> </w:t>
      </w:r>
      <w:r w:rsidRPr="00C4669E">
        <w:rPr>
          <w:lang w:val="en-US"/>
        </w:rPr>
        <w:t>≈</w:t>
      </w:r>
      <w:r w:rsidR="00603BB4">
        <w:rPr>
          <w:lang w:val="en-US"/>
        </w:rPr>
        <w:t xml:space="preserve"> 0</w:t>
      </w:r>
      <w:r w:rsidR="00C662BC">
        <w:rPr>
          <w:lang w:val="en-US"/>
        </w:rPr>
        <w:t xml:space="preserve">.42 barn </w:t>
      </w:r>
      <w:r w:rsidR="00660D69">
        <w:rPr>
          <w:lang w:val="en-US"/>
        </w:rPr>
        <w:t>are</w:t>
      </w:r>
      <w:r w:rsidRPr="00C4669E">
        <w:rPr>
          <w:lang w:val="en-US"/>
        </w:rPr>
        <w:t xml:space="preserve"> calcula</w:t>
      </w:r>
      <w:r w:rsidR="00C662BC">
        <w:rPr>
          <w:lang w:val="en-US"/>
        </w:rPr>
        <w:t>ted via trapezoidal integration</w:t>
      </w:r>
      <w:r w:rsidRPr="00C4669E">
        <w:rPr>
          <w:lang w:val="en-US"/>
        </w:rPr>
        <w:t xml:space="preserve"> wi</w:t>
      </w:r>
      <w:r w:rsidR="00C662BC">
        <w:rPr>
          <w:lang w:val="en-US"/>
        </w:rPr>
        <w:t>th Lorentzian broadening</w:t>
      </w:r>
      <w:r w:rsidR="00603BB4">
        <w:rPr>
          <w:lang w:val="en-US"/>
        </w:rPr>
        <w:t>.</w:t>
      </w:r>
    </w:p>
    <w:p w:rsidR="00603BB4" w:rsidRPr="00C5217E" w:rsidRDefault="00603BB4" w:rsidP="00603BB4">
      <w:pPr>
        <w:rPr>
          <w:lang w:val="en-US"/>
        </w:rPr>
      </w:pPr>
      <w:r w:rsidRPr="00EC59B5">
        <w:rPr>
          <w:rStyle w:val="af0"/>
        </w:rPr>
        <w:t xml:space="preserve">Table </w:t>
      </w:r>
      <w:r>
        <w:rPr>
          <w:rStyle w:val="af0"/>
        </w:rPr>
        <w:t>1.Resonance integral calculation</w:t>
      </w:r>
      <w:r w:rsidR="00C5217E">
        <w:rPr>
          <w:rStyle w:val="af0"/>
        </w:rPr>
        <w:t xml:space="preserve"> for </w:t>
      </w:r>
      <w:r w:rsidR="00C5217E">
        <w:rPr>
          <w:rStyle w:val="af0"/>
          <w:vertAlign w:val="superscript"/>
        </w:rPr>
        <w:t>222</w:t>
      </w:r>
      <w:r w:rsidR="00C5217E">
        <w:rPr>
          <w:rStyle w:val="af0"/>
        </w:rPr>
        <w:t>Rn(n,γ) reaction</w:t>
      </w:r>
    </w:p>
    <w:tbl>
      <w:tblPr>
        <w:tblStyle w:val="af6"/>
        <w:tblW w:w="0" w:type="auto"/>
        <w:tblLook w:val="04A0" w:firstRow="1" w:lastRow="0" w:firstColumn="1" w:lastColumn="0" w:noHBand="0" w:noVBand="1"/>
      </w:tblPr>
      <w:tblGrid>
        <w:gridCol w:w="1384"/>
        <w:gridCol w:w="2029"/>
        <w:gridCol w:w="2959"/>
        <w:gridCol w:w="2409"/>
      </w:tblGrid>
      <w:tr w:rsidR="00C4669E" w:rsidRPr="00603BB4" w:rsidTr="009B483D">
        <w:trPr>
          <w:trHeight w:val="310"/>
        </w:trPr>
        <w:tc>
          <w:tcPr>
            <w:tcW w:w="1384" w:type="dxa"/>
            <w:vAlign w:val="center"/>
          </w:tcPr>
          <w:p w:rsidR="00C4669E" w:rsidRPr="00603BB4" w:rsidRDefault="00C4669E" w:rsidP="00C4669E">
            <w:pPr>
              <w:jc w:val="center"/>
              <w:rPr>
                <w:sz w:val="18"/>
                <w:szCs w:val="18"/>
                <w:lang w:val="en-US"/>
              </w:rPr>
            </w:pPr>
            <w:r w:rsidRPr="00603BB4">
              <w:rPr>
                <w:sz w:val="18"/>
                <w:szCs w:val="18"/>
                <w:lang w:val="en-US"/>
              </w:rPr>
              <w:t>Energy, MeV</w:t>
            </w:r>
          </w:p>
        </w:tc>
        <w:tc>
          <w:tcPr>
            <w:tcW w:w="2029" w:type="dxa"/>
            <w:vAlign w:val="center"/>
          </w:tcPr>
          <w:p w:rsidR="00C4669E" w:rsidRPr="00603BB4" w:rsidRDefault="00C4669E" w:rsidP="00C4669E">
            <w:pPr>
              <w:jc w:val="center"/>
              <w:rPr>
                <w:sz w:val="18"/>
                <w:szCs w:val="18"/>
                <w:lang w:val="en-US"/>
              </w:rPr>
            </w:pPr>
            <w:r w:rsidRPr="00603BB4">
              <w:rPr>
                <w:sz w:val="18"/>
                <w:szCs w:val="18"/>
                <w:lang w:val="en-US"/>
              </w:rPr>
              <w:t>Cross section, barn</w:t>
            </w:r>
          </w:p>
        </w:tc>
        <w:tc>
          <w:tcPr>
            <w:tcW w:w="2959" w:type="dxa"/>
            <w:vAlign w:val="center"/>
          </w:tcPr>
          <w:p w:rsidR="00C4669E" w:rsidRPr="00603BB4" w:rsidRDefault="00C4669E" w:rsidP="00C4669E">
            <w:pPr>
              <w:jc w:val="center"/>
              <w:rPr>
                <w:sz w:val="18"/>
                <w:szCs w:val="18"/>
                <w:lang w:val="en-US"/>
              </w:rPr>
            </w:pPr>
            <w:r w:rsidRPr="00603BB4">
              <w:rPr>
                <w:sz w:val="18"/>
                <w:szCs w:val="18"/>
                <w:lang w:val="en-US"/>
              </w:rPr>
              <w:t>Resonance integral contribution, barn</w:t>
            </w:r>
          </w:p>
        </w:tc>
        <w:tc>
          <w:tcPr>
            <w:tcW w:w="2409" w:type="dxa"/>
            <w:vAlign w:val="center"/>
          </w:tcPr>
          <w:p w:rsidR="00C4669E" w:rsidRPr="00603BB4" w:rsidRDefault="00C4669E" w:rsidP="00C4669E">
            <w:pPr>
              <w:jc w:val="center"/>
              <w:rPr>
                <w:sz w:val="18"/>
                <w:szCs w:val="18"/>
                <w:lang w:val="en-US"/>
              </w:rPr>
            </w:pPr>
            <w:r w:rsidRPr="00603BB4">
              <w:rPr>
                <w:sz w:val="18"/>
                <w:szCs w:val="18"/>
                <w:lang w:val="en-US"/>
              </w:rPr>
              <w:t>Total resonance integral, barn</w:t>
            </w:r>
          </w:p>
        </w:tc>
      </w:tr>
      <w:tr w:rsidR="00C4669E" w:rsidRPr="00603BB4" w:rsidTr="009B483D">
        <w:trPr>
          <w:trHeight w:val="310"/>
        </w:trPr>
        <w:tc>
          <w:tcPr>
            <w:tcW w:w="1384" w:type="dxa"/>
            <w:vAlign w:val="center"/>
          </w:tcPr>
          <w:p w:rsidR="00C4669E" w:rsidRPr="00603BB4" w:rsidRDefault="00C4669E" w:rsidP="00C4669E">
            <w:pPr>
              <w:jc w:val="center"/>
              <w:rPr>
                <w:sz w:val="18"/>
                <w:szCs w:val="18"/>
                <w:lang w:val="en-US"/>
              </w:rPr>
            </w:pPr>
            <w:r w:rsidRPr="00603BB4">
              <w:rPr>
                <w:sz w:val="18"/>
                <w:szCs w:val="18"/>
                <w:lang w:val="en-US"/>
              </w:rPr>
              <w:t>3.2</w:t>
            </w:r>
          </w:p>
        </w:tc>
        <w:tc>
          <w:tcPr>
            <w:tcW w:w="2029" w:type="dxa"/>
            <w:vAlign w:val="center"/>
          </w:tcPr>
          <w:p w:rsidR="00C4669E" w:rsidRPr="00603BB4" w:rsidRDefault="00C4669E" w:rsidP="00C4669E">
            <w:pPr>
              <w:jc w:val="center"/>
              <w:rPr>
                <w:sz w:val="18"/>
                <w:szCs w:val="18"/>
                <w:lang w:val="en-US"/>
              </w:rPr>
            </w:pPr>
            <w:r w:rsidRPr="00603BB4">
              <w:rPr>
                <w:sz w:val="18"/>
                <w:szCs w:val="18"/>
                <w:lang w:val="en-US"/>
              </w:rPr>
              <w:t>0.25</w:t>
            </w:r>
          </w:p>
        </w:tc>
        <w:tc>
          <w:tcPr>
            <w:tcW w:w="2959" w:type="dxa"/>
            <w:vAlign w:val="center"/>
          </w:tcPr>
          <w:p w:rsidR="00C4669E" w:rsidRPr="00603BB4" w:rsidRDefault="00C4669E" w:rsidP="00C4669E">
            <w:pPr>
              <w:jc w:val="center"/>
              <w:rPr>
                <w:sz w:val="18"/>
                <w:szCs w:val="18"/>
              </w:rPr>
            </w:pPr>
            <w:r w:rsidRPr="00603BB4">
              <w:rPr>
                <w:sz w:val="18"/>
                <w:szCs w:val="18"/>
              </w:rPr>
              <w:t>(9.68 ± 2.1)</w:t>
            </w:r>
            <w:r w:rsidRPr="00603BB4">
              <w:rPr>
                <w:sz w:val="18"/>
                <w:szCs w:val="18"/>
                <w:lang w:val="en-US"/>
              </w:rPr>
              <w:t>·</w:t>
            </w:r>
            <w:r w:rsidRPr="00603BB4">
              <w:rPr>
                <w:sz w:val="18"/>
                <w:szCs w:val="18"/>
              </w:rPr>
              <w:t>10⁻³</w:t>
            </w:r>
          </w:p>
        </w:tc>
        <w:tc>
          <w:tcPr>
            <w:tcW w:w="2409" w:type="dxa"/>
            <w:vMerge w:val="restart"/>
            <w:vAlign w:val="center"/>
          </w:tcPr>
          <w:p w:rsidR="00C4669E" w:rsidRPr="00603BB4" w:rsidRDefault="00C4669E" w:rsidP="004D4028">
            <w:pPr>
              <w:jc w:val="center"/>
              <w:rPr>
                <w:sz w:val="18"/>
                <w:szCs w:val="18"/>
              </w:rPr>
            </w:pPr>
            <w:r w:rsidRPr="00603BB4">
              <w:rPr>
                <w:bCs/>
                <w:sz w:val="18"/>
                <w:szCs w:val="18"/>
              </w:rPr>
              <w:t>(59.1 ± 5.1)</w:t>
            </w:r>
            <w:r w:rsidRPr="00603BB4">
              <w:rPr>
                <w:sz w:val="18"/>
                <w:szCs w:val="18"/>
                <w:lang w:val="en-US"/>
              </w:rPr>
              <w:t>·</w:t>
            </w:r>
            <w:r w:rsidRPr="00603BB4">
              <w:rPr>
                <w:bCs/>
                <w:sz w:val="18"/>
                <w:szCs w:val="18"/>
              </w:rPr>
              <w:t>10⁻³</w:t>
            </w:r>
          </w:p>
        </w:tc>
      </w:tr>
      <w:tr w:rsidR="00C4669E" w:rsidRPr="00603BB4" w:rsidTr="009B483D">
        <w:trPr>
          <w:trHeight w:val="311"/>
        </w:trPr>
        <w:tc>
          <w:tcPr>
            <w:tcW w:w="1384" w:type="dxa"/>
            <w:vAlign w:val="center"/>
          </w:tcPr>
          <w:p w:rsidR="00C4669E" w:rsidRPr="00603BB4" w:rsidRDefault="00C4669E" w:rsidP="00C4669E">
            <w:pPr>
              <w:jc w:val="center"/>
              <w:rPr>
                <w:sz w:val="18"/>
                <w:szCs w:val="18"/>
                <w:lang w:val="en-US"/>
              </w:rPr>
            </w:pPr>
            <w:r w:rsidRPr="00603BB4">
              <w:rPr>
                <w:sz w:val="18"/>
                <w:szCs w:val="18"/>
                <w:lang w:val="en-US"/>
              </w:rPr>
              <w:t>3.4</w:t>
            </w:r>
          </w:p>
        </w:tc>
        <w:tc>
          <w:tcPr>
            <w:tcW w:w="2029" w:type="dxa"/>
            <w:vAlign w:val="center"/>
          </w:tcPr>
          <w:p w:rsidR="00C4669E" w:rsidRPr="00603BB4" w:rsidRDefault="00C4669E" w:rsidP="00C4669E">
            <w:pPr>
              <w:jc w:val="center"/>
              <w:rPr>
                <w:sz w:val="18"/>
                <w:szCs w:val="18"/>
                <w:lang w:val="en-US"/>
              </w:rPr>
            </w:pPr>
            <w:r w:rsidRPr="00603BB4">
              <w:rPr>
                <w:sz w:val="18"/>
                <w:szCs w:val="18"/>
                <w:lang w:val="en-US"/>
              </w:rPr>
              <w:t>0.42</w:t>
            </w:r>
          </w:p>
        </w:tc>
        <w:tc>
          <w:tcPr>
            <w:tcW w:w="2959" w:type="dxa"/>
            <w:vAlign w:val="center"/>
          </w:tcPr>
          <w:p w:rsidR="00C4669E" w:rsidRPr="00603BB4" w:rsidRDefault="00C4669E" w:rsidP="00C4669E">
            <w:pPr>
              <w:jc w:val="center"/>
              <w:rPr>
                <w:sz w:val="18"/>
                <w:szCs w:val="18"/>
              </w:rPr>
            </w:pPr>
            <w:r w:rsidRPr="00603BB4">
              <w:rPr>
                <w:sz w:val="18"/>
                <w:szCs w:val="18"/>
              </w:rPr>
              <w:t>(23.1 ± 3.5)</w:t>
            </w:r>
            <w:r w:rsidRPr="00603BB4">
              <w:rPr>
                <w:sz w:val="18"/>
                <w:szCs w:val="18"/>
                <w:lang w:val="en-US"/>
              </w:rPr>
              <w:t>·</w:t>
            </w:r>
            <w:r w:rsidRPr="00603BB4">
              <w:rPr>
                <w:sz w:val="18"/>
                <w:szCs w:val="18"/>
              </w:rPr>
              <w:t>10⁻³</w:t>
            </w:r>
          </w:p>
        </w:tc>
        <w:tc>
          <w:tcPr>
            <w:tcW w:w="2409" w:type="dxa"/>
            <w:vMerge/>
            <w:vAlign w:val="center"/>
          </w:tcPr>
          <w:p w:rsidR="00C4669E" w:rsidRPr="00603BB4" w:rsidRDefault="00C4669E" w:rsidP="00C4669E">
            <w:pPr>
              <w:jc w:val="center"/>
              <w:rPr>
                <w:sz w:val="18"/>
                <w:szCs w:val="18"/>
              </w:rPr>
            </w:pPr>
          </w:p>
        </w:tc>
      </w:tr>
      <w:tr w:rsidR="00C4669E" w:rsidRPr="00603BB4" w:rsidTr="009B483D">
        <w:trPr>
          <w:trHeight w:val="310"/>
        </w:trPr>
        <w:tc>
          <w:tcPr>
            <w:tcW w:w="1384" w:type="dxa"/>
            <w:vAlign w:val="center"/>
          </w:tcPr>
          <w:p w:rsidR="00C4669E" w:rsidRPr="00603BB4" w:rsidRDefault="00C4669E" w:rsidP="00C4669E">
            <w:pPr>
              <w:jc w:val="center"/>
              <w:rPr>
                <w:sz w:val="18"/>
                <w:szCs w:val="18"/>
                <w:lang w:val="en-US"/>
              </w:rPr>
            </w:pPr>
            <w:r w:rsidRPr="00603BB4">
              <w:rPr>
                <w:sz w:val="18"/>
                <w:szCs w:val="18"/>
                <w:lang w:val="en-US"/>
              </w:rPr>
              <w:t>3.6</w:t>
            </w:r>
          </w:p>
        </w:tc>
        <w:tc>
          <w:tcPr>
            <w:tcW w:w="2029" w:type="dxa"/>
            <w:vAlign w:val="center"/>
          </w:tcPr>
          <w:p w:rsidR="00C4669E" w:rsidRPr="00603BB4" w:rsidRDefault="00C4669E" w:rsidP="00C4669E">
            <w:pPr>
              <w:jc w:val="center"/>
              <w:rPr>
                <w:sz w:val="18"/>
                <w:szCs w:val="18"/>
                <w:lang w:val="en-US"/>
              </w:rPr>
            </w:pPr>
            <w:r w:rsidRPr="00603BB4">
              <w:rPr>
                <w:sz w:val="18"/>
                <w:szCs w:val="18"/>
                <w:lang w:val="en-US"/>
              </w:rPr>
              <w:t>0.25</w:t>
            </w:r>
          </w:p>
        </w:tc>
        <w:tc>
          <w:tcPr>
            <w:tcW w:w="2959" w:type="dxa"/>
            <w:vAlign w:val="center"/>
          </w:tcPr>
          <w:p w:rsidR="00C4669E" w:rsidRPr="00603BB4" w:rsidRDefault="00C4669E" w:rsidP="00C4669E">
            <w:pPr>
              <w:jc w:val="center"/>
              <w:rPr>
                <w:sz w:val="18"/>
                <w:szCs w:val="18"/>
              </w:rPr>
            </w:pPr>
            <w:r w:rsidRPr="00603BB4">
              <w:rPr>
                <w:sz w:val="18"/>
                <w:szCs w:val="18"/>
              </w:rPr>
              <w:t>(19.2 ± 2.9)</w:t>
            </w:r>
            <w:r w:rsidRPr="00603BB4">
              <w:rPr>
                <w:sz w:val="18"/>
                <w:szCs w:val="18"/>
                <w:lang w:val="en-US"/>
              </w:rPr>
              <w:t>·</w:t>
            </w:r>
            <w:r w:rsidRPr="00603BB4">
              <w:rPr>
                <w:sz w:val="18"/>
                <w:szCs w:val="18"/>
              </w:rPr>
              <w:t>10⁻³</w:t>
            </w:r>
          </w:p>
        </w:tc>
        <w:tc>
          <w:tcPr>
            <w:tcW w:w="2409" w:type="dxa"/>
            <w:vMerge/>
            <w:vAlign w:val="center"/>
          </w:tcPr>
          <w:p w:rsidR="00C4669E" w:rsidRPr="00603BB4" w:rsidRDefault="00C4669E" w:rsidP="00C4669E">
            <w:pPr>
              <w:jc w:val="center"/>
              <w:rPr>
                <w:sz w:val="18"/>
                <w:szCs w:val="18"/>
              </w:rPr>
            </w:pPr>
          </w:p>
        </w:tc>
      </w:tr>
      <w:tr w:rsidR="00C4669E" w:rsidRPr="00603BB4" w:rsidTr="009B483D">
        <w:trPr>
          <w:trHeight w:val="311"/>
        </w:trPr>
        <w:tc>
          <w:tcPr>
            <w:tcW w:w="1384" w:type="dxa"/>
            <w:vAlign w:val="center"/>
          </w:tcPr>
          <w:p w:rsidR="00C4669E" w:rsidRPr="00603BB4" w:rsidRDefault="00C4669E" w:rsidP="00C4669E">
            <w:pPr>
              <w:jc w:val="center"/>
              <w:rPr>
                <w:sz w:val="18"/>
                <w:szCs w:val="18"/>
                <w:lang w:val="en-US"/>
              </w:rPr>
            </w:pPr>
            <w:r w:rsidRPr="00603BB4">
              <w:rPr>
                <w:sz w:val="18"/>
                <w:szCs w:val="18"/>
                <w:lang w:val="en-US"/>
              </w:rPr>
              <w:t>3.8</w:t>
            </w:r>
          </w:p>
        </w:tc>
        <w:tc>
          <w:tcPr>
            <w:tcW w:w="2029" w:type="dxa"/>
            <w:vAlign w:val="center"/>
          </w:tcPr>
          <w:p w:rsidR="00C4669E" w:rsidRPr="00603BB4" w:rsidRDefault="00C4669E" w:rsidP="00C4669E">
            <w:pPr>
              <w:jc w:val="center"/>
              <w:rPr>
                <w:sz w:val="18"/>
                <w:szCs w:val="18"/>
                <w:lang w:val="en-US"/>
              </w:rPr>
            </w:pPr>
            <w:r w:rsidRPr="00603BB4">
              <w:rPr>
                <w:sz w:val="18"/>
                <w:szCs w:val="18"/>
                <w:lang w:val="en-US"/>
              </w:rPr>
              <w:t>0.05</w:t>
            </w:r>
          </w:p>
        </w:tc>
        <w:tc>
          <w:tcPr>
            <w:tcW w:w="2959" w:type="dxa"/>
            <w:vAlign w:val="center"/>
          </w:tcPr>
          <w:p w:rsidR="00C4669E" w:rsidRPr="00603BB4" w:rsidRDefault="00C4669E" w:rsidP="00C4669E">
            <w:pPr>
              <w:jc w:val="center"/>
              <w:rPr>
                <w:sz w:val="18"/>
                <w:szCs w:val="18"/>
              </w:rPr>
            </w:pPr>
            <w:r w:rsidRPr="00603BB4">
              <w:rPr>
                <w:sz w:val="18"/>
                <w:szCs w:val="18"/>
              </w:rPr>
              <w:t>(8.1 ± 1.7)</w:t>
            </w:r>
            <w:r w:rsidRPr="00603BB4">
              <w:rPr>
                <w:sz w:val="18"/>
                <w:szCs w:val="18"/>
                <w:lang w:val="en-US"/>
              </w:rPr>
              <w:t>·</w:t>
            </w:r>
            <w:r w:rsidRPr="00603BB4">
              <w:rPr>
                <w:sz w:val="18"/>
                <w:szCs w:val="18"/>
              </w:rPr>
              <w:t>10⁻³</w:t>
            </w:r>
          </w:p>
        </w:tc>
        <w:tc>
          <w:tcPr>
            <w:tcW w:w="2409" w:type="dxa"/>
            <w:vMerge/>
            <w:vAlign w:val="center"/>
          </w:tcPr>
          <w:p w:rsidR="00C4669E" w:rsidRPr="00603BB4" w:rsidRDefault="00C4669E" w:rsidP="00C4669E">
            <w:pPr>
              <w:jc w:val="center"/>
              <w:rPr>
                <w:sz w:val="18"/>
                <w:szCs w:val="18"/>
              </w:rPr>
            </w:pPr>
          </w:p>
        </w:tc>
      </w:tr>
    </w:tbl>
    <w:p w:rsidR="00C06B7A" w:rsidRPr="00C06B7A" w:rsidRDefault="00C06B7A" w:rsidP="00C06B7A">
      <w:pPr>
        <w:ind w:firstLine="567"/>
        <w:rPr>
          <w:lang w:val="en-US"/>
        </w:rPr>
      </w:pPr>
      <w:r w:rsidRPr="00C06B7A">
        <w:rPr>
          <w:lang w:val="en-US"/>
        </w:rPr>
        <w:lastRenderedPageBreak/>
        <w:t>The stage of preparation of the object of study for subsequent experiments included passing derivatographic analysis. This type of analysis is designed to improve the sorption capacity of the substance under study. Given that substantial moisture may accumulate on the material's surface during transportation a</w:t>
      </w:r>
      <w:r w:rsidR="00C662BC">
        <w:rPr>
          <w:lang w:val="en-US"/>
        </w:rPr>
        <w:t>nd storage in a</w:t>
      </w:r>
      <w:r w:rsidRPr="00C06B7A">
        <w:rPr>
          <w:lang w:val="en-US"/>
        </w:rPr>
        <w:t xml:space="preserve"> warehouse, this could</w:t>
      </w:r>
      <w:r w:rsidR="00C662BC">
        <w:rPr>
          <w:lang w:val="en-US"/>
        </w:rPr>
        <w:t xml:space="preserve"> lead to a reduction of</w:t>
      </w:r>
      <w:r w:rsidRPr="00C06B7A">
        <w:rPr>
          <w:lang w:val="en-US"/>
        </w:rPr>
        <w:t xml:space="preserve"> the sorption efficiency of the object</w:t>
      </w:r>
      <w:r w:rsidR="00C662BC">
        <w:rPr>
          <w:lang w:val="en-US"/>
        </w:rPr>
        <w:t xml:space="preserve"> under study</w:t>
      </w:r>
      <w:r w:rsidRPr="00C06B7A">
        <w:rPr>
          <w:lang w:val="en-US"/>
        </w:rPr>
        <w:t xml:space="preserve">. </w:t>
      </w:r>
      <w:r w:rsidR="00C662BC">
        <w:rPr>
          <w:lang w:val="en-US"/>
        </w:rPr>
        <w:t>It was found that the best temperature to which the powder should be heated</w:t>
      </w:r>
      <w:r w:rsidR="00E57E38">
        <w:rPr>
          <w:lang w:val="en-US"/>
        </w:rPr>
        <w:t xml:space="preserve"> is 400</w:t>
      </w:r>
      <w:r w:rsidR="00E57E38" w:rsidRPr="00917612">
        <w:rPr>
          <w:lang w:val="en-GB"/>
        </w:rPr>
        <w:t>°C</w:t>
      </w:r>
      <w:r w:rsidR="00E57E38">
        <w:rPr>
          <w:lang w:val="en-GB"/>
        </w:rPr>
        <w:t xml:space="preserve">. </w:t>
      </w:r>
      <w:r w:rsidR="00C176E2" w:rsidRPr="00C176E2">
        <w:rPr>
          <w:lang w:val="en-US"/>
        </w:rPr>
        <w:t xml:space="preserve">Preparation is carried out by means of derivatographic analysis, during which excess moisture </w:t>
      </w:r>
      <w:r w:rsidR="00E57E38">
        <w:rPr>
          <w:lang w:val="en-US"/>
        </w:rPr>
        <w:t xml:space="preserve">of 3.8% </w:t>
      </w:r>
      <w:r w:rsidR="00C176E2" w:rsidRPr="00C176E2">
        <w:rPr>
          <w:lang w:val="en-US"/>
        </w:rPr>
        <w:t xml:space="preserve">is </w:t>
      </w:r>
      <w:r w:rsidR="004D4028">
        <w:rPr>
          <w:lang w:val="en-US"/>
        </w:rPr>
        <w:t>removed</w:t>
      </w:r>
      <w:r w:rsidR="00C176E2" w:rsidRPr="00C176E2">
        <w:rPr>
          <w:lang w:val="en-US"/>
        </w:rPr>
        <w:t xml:space="preserve"> from </w:t>
      </w:r>
      <w:r w:rsidR="004D4028">
        <w:rPr>
          <w:lang w:val="en-US"/>
        </w:rPr>
        <w:t>the substance. This</w:t>
      </w:r>
      <w:r w:rsidR="00E57E38">
        <w:rPr>
          <w:lang w:val="en-US"/>
        </w:rPr>
        <w:t xml:space="preserve"> study showed that the </w:t>
      </w:r>
      <w:r w:rsidR="00C176E2" w:rsidRPr="00C176E2">
        <w:rPr>
          <w:lang w:val="en-US"/>
        </w:rPr>
        <w:t>method of thermal</w:t>
      </w:r>
      <w:r w:rsidR="00534D31">
        <w:rPr>
          <w:lang w:val="en-US"/>
        </w:rPr>
        <w:t xml:space="preserve"> treatment increases the sorption</w:t>
      </w:r>
      <w:r w:rsidR="00C176E2" w:rsidRPr="00C176E2">
        <w:rPr>
          <w:lang w:val="en-US"/>
        </w:rPr>
        <w:t xml:space="preserve"> properties of the </w:t>
      </w:r>
      <w:r w:rsidR="00E57E38">
        <w:rPr>
          <w:lang w:val="en-US"/>
        </w:rPr>
        <w:t>material</w:t>
      </w:r>
      <w:r w:rsidR="00C176E2" w:rsidRPr="00C176E2">
        <w:rPr>
          <w:lang w:val="en-US"/>
        </w:rPr>
        <w:t>.</w:t>
      </w:r>
      <w:r w:rsidR="00C176E2">
        <w:rPr>
          <w:lang w:val="en-US"/>
        </w:rPr>
        <w:t xml:space="preserve"> </w:t>
      </w:r>
      <w:r w:rsidR="00E57E38">
        <w:rPr>
          <w:lang w:val="en-US"/>
        </w:rPr>
        <w:t xml:space="preserve">The method includes irradiation of </w:t>
      </w:r>
      <w:r w:rsidR="00C176E2" w:rsidRPr="00C176E2">
        <w:rPr>
          <w:lang w:val="en-US"/>
        </w:rPr>
        <w:t>the original</w:t>
      </w:r>
      <w:r w:rsidR="00E57E38">
        <w:rPr>
          <w:lang w:val="en-US"/>
        </w:rPr>
        <w:t xml:space="preserve"> aluminium</w:t>
      </w:r>
      <w:r w:rsidR="00C176E2" w:rsidRPr="00C176E2">
        <w:rPr>
          <w:lang w:val="en-US"/>
        </w:rPr>
        <w:t xml:space="preserve"> oxide by means of plasma-chemical synthe</w:t>
      </w:r>
      <w:r w:rsidR="00E57E38">
        <w:rPr>
          <w:lang w:val="en-US"/>
        </w:rPr>
        <w:t>sis in</w:t>
      </w:r>
      <w:r w:rsidR="00C176E2" w:rsidRPr="00C176E2">
        <w:rPr>
          <w:lang w:val="en-US"/>
        </w:rPr>
        <w:t xml:space="preserve"> a unique installation, in which gaseous </w:t>
      </w:r>
      <w:r w:rsidR="00534D31">
        <w:rPr>
          <w:vertAlign w:val="superscript"/>
          <w:lang w:val="en-US"/>
        </w:rPr>
        <w:t>222</w:t>
      </w:r>
      <w:r w:rsidR="00534D31">
        <w:rPr>
          <w:lang w:val="en-US"/>
        </w:rPr>
        <w:t>R</w:t>
      </w:r>
      <w:r w:rsidR="00E57E38">
        <w:rPr>
          <w:lang w:val="en-US"/>
        </w:rPr>
        <w:t>n</w:t>
      </w:r>
      <w:r w:rsidR="00C176E2" w:rsidRPr="00C176E2">
        <w:rPr>
          <w:lang w:val="en-US"/>
        </w:rPr>
        <w:t xml:space="preserve"> is sprayed over the entire surface of the s</w:t>
      </w:r>
      <w:r w:rsidR="00534D31">
        <w:rPr>
          <w:lang w:val="en-US"/>
        </w:rPr>
        <w:t>orbent</w:t>
      </w:r>
      <w:r w:rsidR="00E57E38">
        <w:rPr>
          <w:lang w:val="en-US"/>
        </w:rPr>
        <w:t xml:space="preserve"> with the exposure time of </w:t>
      </w:r>
      <w:r w:rsidR="00C176E2" w:rsidRPr="00C176E2">
        <w:rPr>
          <w:lang w:val="en-US"/>
        </w:rPr>
        <w:t xml:space="preserve">about 30 minutes. The </w:t>
      </w:r>
      <w:r w:rsidR="004D4028">
        <w:rPr>
          <w:lang w:val="en-US"/>
        </w:rPr>
        <w:t xml:space="preserve">exposure </w:t>
      </w:r>
      <w:r w:rsidR="00C176E2" w:rsidRPr="00C176E2">
        <w:rPr>
          <w:lang w:val="en-US"/>
        </w:rPr>
        <w:t>time was s</w:t>
      </w:r>
      <w:r w:rsidR="00E57E38">
        <w:rPr>
          <w:lang w:val="en-US"/>
        </w:rPr>
        <w:t>elected so that the</w:t>
      </w:r>
      <w:r w:rsidR="00C176E2" w:rsidRPr="00C176E2">
        <w:rPr>
          <w:lang w:val="en-US"/>
        </w:rPr>
        <w:t xml:space="preserve"> amount of radon s</w:t>
      </w:r>
      <w:r w:rsidR="004D4028">
        <w:rPr>
          <w:lang w:val="en-US"/>
        </w:rPr>
        <w:t>orbed</w:t>
      </w:r>
      <w:r w:rsidR="00C176E2" w:rsidRPr="00C176E2">
        <w:rPr>
          <w:lang w:val="en-US"/>
        </w:rPr>
        <w:t xml:space="preserve"> during synthesis w</w:t>
      </w:r>
      <w:r w:rsidR="00E57E38">
        <w:rPr>
          <w:lang w:val="en-US"/>
        </w:rPr>
        <w:t>as more than</w:t>
      </w:r>
      <w:r w:rsidR="00C176E2" w:rsidRPr="00C176E2">
        <w:rPr>
          <w:lang w:val="en-US"/>
        </w:rPr>
        <w:t xml:space="preserve"> 50%</w:t>
      </w:r>
      <w:r w:rsidR="004D4028">
        <w:rPr>
          <w:lang w:val="en-US"/>
        </w:rPr>
        <w:t xml:space="preserve"> from the amount sprayed</w:t>
      </w:r>
      <w:r w:rsidR="00C176E2" w:rsidRPr="00C176E2">
        <w:rPr>
          <w:lang w:val="en-US"/>
        </w:rPr>
        <w:t>.</w:t>
      </w:r>
    </w:p>
    <w:p w:rsidR="00C06B7A" w:rsidRDefault="00C06B7A" w:rsidP="00C06B7A">
      <w:pPr>
        <w:ind w:firstLine="567"/>
        <w:rPr>
          <w:lang w:val="en-US"/>
        </w:rPr>
      </w:pPr>
      <w:r w:rsidRPr="00C06B7A">
        <w:rPr>
          <w:lang w:val="en-US"/>
        </w:rPr>
        <w:t>Based on the data obtained, a linear function was drawn which was necessary for a visual representation of the loss of powder mass with increasing temperature</w:t>
      </w:r>
      <w:r w:rsidR="00660D69">
        <w:rPr>
          <w:lang w:val="en-US"/>
        </w:rPr>
        <w:t xml:space="preserve"> (Figure 1)</w:t>
      </w:r>
      <w:r w:rsidRPr="00C06B7A">
        <w:rPr>
          <w:lang w:val="en-US"/>
        </w:rPr>
        <w:t>.</w:t>
      </w:r>
    </w:p>
    <w:p w:rsidR="00FD11DC" w:rsidRDefault="00E81D6D" w:rsidP="00FD11DC">
      <w:pPr>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15pt;height:182.7pt">
            <v:imagedata r:id="rId9" o:title="DERIVATOGRAPHIC ANALYSIS" cropright="2286f" grayscale="t"/>
          </v:shape>
        </w:pict>
      </w:r>
    </w:p>
    <w:p w:rsidR="00FD11DC" w:rsidRPr="001A0D88" w:rsidRDefault="00FD11DC" w:rsidP="00FD11DC">
      <w:pPr>
        <w:jc w:val="center"/>
        <w:rPr>
          <w:lang w:val="en-US"/>
        </w:rPr>
      </w:pPr>
      <w:r>
        <w:rPr>
          <w:lang w:val="en-US"/>
        </w:rPr>
        <w:t>Figure 1.</w:t>
      </w:r>
      <w:r w:rsidR="009B483D">
        <w:rPr>
          <w:lang w:val="en-US"/>
        </w:rPr>
        <w:t xml:space="preserve"> Results of derivatographic analysis</w:t>
      </w:r>
    </w:p>
    <w:p w:rsidR="00C06B7A" w:rsidRPr="00B507F0" w:rsidRDefault="00C06B7A" w:rsidP="00C06B7A">
      <w:pPr>
        <w:ind w:firstLine="567"/>
        <w:rPr>
          <w:lang w:val="en-US"/>
        </w:rPr>
      </w:pPr>
      <w:r w:rsidRPr="00C06B7A">
        <w:rPr>
          <w:lang w:val="en-US"/>
        </w:rPr>
        <w:t xml:space="preserve">The experimental setup </w:t>
      </w:r>
      <w:r w:rsidR="00B507F0" w:rsidRPr="00B507F0">
        <w:rPr>
          <w:lang w:val="en-US"/>
        </w:rPr>
        <w:t>«</w:t>
      </w:r>
      <w:r w:rsidRPr="00C06B7A">
        <w:rPr>
          <w:lang w:val="en-US"/>
        </w:rPr>
        <w:t>Plasma module based on high-frequency generator VChG8-60/13-01</w:t>
      </w:r>
      <w:r w:rsidR="00B507F0" w:rsidRPr="00B507F0">
        <w:rPr>
          <w:lang w:val="en-US"/>
        </w:rPr>
        <w:t>»</w:t>
      </w:r>
      <w:r w:rsidRPr="00C06B7A">
        <w:rPr>
          <w:lang w:val="en-US"/>
        </w:rPr>
        <w:t xml:space="preserve"> was used in the work, with the help of which plasma-chemica</w:t>
      </w:r>
      <w:r>
        <w:rPr>
          <w:lang w:val="en-US"/>
        </w:rPr>
        <w:t xml:space="preserve">l synthesis of </w:t>
      </w:r>
      <w:r w:rsidR="00E57E38">
        <w:rPr>
          <w:lang w:val="en-US"/>
        </w:rPr>
        <w:t>aluminium</w:t>
      </w:r>
      <w:r w:rsidR="009B483D">
        <w:rPr>
          <w:lang w:val="en-US"/>
        </w:rPr>
        <w:t xml:space="preserve"> oxide (III) with </w:t>
      </w:r>
      <w:r w:rsidR="009B483D">
        <w:rPr>
          <w:vertAlign w:val="superscript"/>
          <w:lang w:val="en-US"/>
        </w:rPr>
        <w:t>222</w:t>
      </w:r>
      <w:r w:rsidR="009B483D">
        <w:rPr>
          <w:lang w:val="en-US"/>
        </w:rPr>
        <w:t>Rn</w:t>
      </w:r>
      <w:r>
        <w:rPr>
          <w:lang w:val="en-US"/>
        </w:rPr>
        <w:t xml:space="preserve"> was carried out.</w:t>
      </w:r>
    </w:p>
    <w:p w:rsidR="00575A9D" w:rsidRPr="00B507F0" w:rsidRDefault="00575A9D" w:rsidP="00C06B7A">
      <w:pPr>
        <w:ind w:firstLine="567"/>
        <w:rPr>
          <w:lang w:val="en-US"/>
        </w:rPr>
      </w:pPr>
      <w:r w:rsidRPr="00575A9D">
        <w:rPr>
          <w:lang w:val="en-US"/>
        </w:rPr>
        <w:t xml:space="preserve">Canberra </w:t>
      </w:r>
      <w:r w:rsidR="00B507F0">
        <w:rPr>
          <w:lang w:val="en-US"/>
        </w:rPr>
        <w:t xml:space="preserve">GC1518 </w:t>
      </w:r>
      <w:r w:rsidRPr="00575A9D">
        <w:rPr>
          <w:lang w:val="en-US"/>
        </w:rPr>
        <w:t>coaxial germanium de</w:t>
      </w:r>
      <w:r w:rsidR="00B507F0">
        <w:rPr>
          <w:lang w:val="en-US"/>
        </w:rPr>
        <w:t xml:space="preserve">tector </w:t>
      </w:r>
      <w:r w:rsidR="00B507F0" w:rsidRPr="00575A9D">
        <w:rPr>
          <w:lang w:val="en-US"/>
        </w:rPr>
        <w:t>with a registration efficiency of 15% and a</w:t>
      </w:r>
      <w:r w:rsidR="00B507F0">
        <w:rPr>
          <w:lang w:val="en-US"/>
        </w:rPr>
        <w:t xml:space="preserve"> resolution of 1.8 keV </w:t>
      </w:r>
      <w:r w:rsidR="00123731">
        <w:rPr>
          <w:lang w:val="en-US"/>
        </w:rPr>
        <w:t>at 1.33 Me</w:t>
      </w:r>
      <w:r w:rsidR="003602A8">
        <w:rPr>
          <w:lang w:val="en-US"/>
        </w:rPr>
        <w:t xml:space="preserve">V </w:t>
      </w:r>
      <w:r w:rsidR="00B507F0">
        <w:rPr>
          <w:lang w:val="en-US"/>
        </w:rPr>
        <w:t>was used in the work [</w:t>
      </w:r>
      <w:r w:rsidR="009F2F2E">
        <w:rPr>
          <w:lang w:val="en-US"/>
        </w:rPr>
        <w:t>3</w:t>
      </w:r>
      <w:r w:rsidR="00B507F0">
        <w:rPr>
          <w:lang w:val="en-US"/>
        </w:rPr>
        <w:t xml:space="preserve">]. </w:t>
      </w:r>
      <w:r w:rsidRPr="00575A9D">
        <w:rPr>
          <w:lang w:val="en-US"/>
        </w:rPr>
        <w:t>Spectrometric analysis made it possible to determine the isotopic composition of powdered target</w:t>
      </w:r>
      <w:r w:rsidR="00E57E38">
        <w:rPr>
          <w:lang w:val="en-US"/>
        </w:rPr>
        <w:t>s based on aluminium</w:t>
      </w:r>
      <w:r w:rsidR="00B507F0">
        <w:rPr>
          <w:lang w:val="en-US"/>
        </w:rPr>
        <w:t xml:space="preserve"> oxide (III</w:t>
      </w:r>
      <w:r w:rsidRPr="00575A9D">
        <w:rPr>
          <w:lang w:val="en-US"/>
        </w:rPr>
        <w:t>).</w:t>
      </w:r>
    </w:p>
    <w:p w:rsidR="00575A9D" w:rsidRPr="001A0D88" w:rsidRDefault="00575A9D" w:rsidP="00C06B7A">
      <w:pPr>
        <w:ind w:firstLine="567"/>
        <w:rPr>
          <w:lang w:val="en-US"/>
        </w:rPr>
      </w:pPr>
      <w:r w:rsidRPr="00575A9D">
        <w:rPr>
          <w:lang w:val="en-US"/>
        </w:rPr>
        <w:t xml:space="preserve">The second stage of the study was the analysis of the </w:t>
      </w:r>
      <w:r w:rsidR="00E57E38">
        <w:rPr>
          <w:lang w:val="en-US"/>
        </w:rPr>
        <w:t xml:space="preserve">target after </w:t>
      </w:r>
      <w:r w:rsidRPr="00575A9D">
        <w:rPr>
          <w:lang w:val="en-US"/>
        </w:rPr>
        <w:t xml:space="preserve">bombardment </w:t>
      </w:r>
      <w:r w:rsidR="00E57E38">
        <w:rPr>
          <w:lang w:val="en-US"/>
        </w:rPr>
        <w:t xml:space="preserve">with neutrons </w:t>
      </w:r>
      <w:r w:rsidRPr="00575A9D">
        <w:rPr>
          <w:lang w:val="en-US"/>
        </w:rPr>
        <w:t>of a certain energy in the field of a neutron generator, which was a hermetically sealed cylindrical shell-moderator</w:t>
      </w:r>
      <w:r w:rsidR="00E57E38">
        <w:rPr>
          <w:lang w:val="en-US"/>
        </w:rPr>
        <w:t>,</w:t>
      </w:r>
      <w:r w:rsidRPr="00575A9D">
        <w:rPr>
          <w:lang w:val="en-US"/>
        </w:rPr>
        <w:t xml:space="preserve"> inside which five neutron sources were located at the s</w:t>
      </w:r>
      <w:r w:rsidR="00E57E38">
        <w:rPr>
          <w:lang w:val="en-US"/>
        </w:rPr>
        <w:t xml:space="preserve">ame level in </w:t>
      </w:r>
      <w:r w:rsidR="00E57E38">
        <w:rPr>
          <w:lang w:val="en-US"/>
        </w:rPr>
        <w:lastRenderedPageBreak/>
        <w:t>the geometric centre</w:t>
      </w:r>
      <w:r w:rsidRPr="00575A9D">
        <w:rPr>
          <w:lang w:val="en-US"/>
        </w:rPr>
        <w:t xml:space="preserve"> for uniform</w:t>
      </w:r>
      <w:r w:rsidR="008D6103">
        <w:rPr>
          <w:lang w:val="en-US"/>
        </w:rPr>
        <w:t xml:space="preserve"> irradiation</w:t>
      </w:r>
      <w:r w:rsidR="004D4028">
        <w:rPr>
          <w:lang w:val="en-US"/>
        </w:rPr>
        <w:t>. Inside there were</w:t>
      </w:r>
      <w:r w:rsidRPr="00575A9D">
        <w:rPr>
          <w:lang w:val="en-US"/>
        </w:rPr>
        <w:t xml:space="preserve"> two plutonium-beryllium and three americium-lithium sources creating an ambient equivalent of neutron radiation dose of about</w:t>
      </w:r>
      <w:r w:rsidR="004D4028">
        <w:rPr>
          <w:lang w:val="en-US"/>
        </w:rPr>
        <w:t xml:space="preserve"> </w:t>
      </w:r>
      <w:r w:rsidRPr="00575A9D">
        <w:rPr>
          <w:lang w:val="en-US"/>
        </w:rPr>
        <w:t>32 mSv/hour inside the box.</w:t>
      </w:r>
    </w:p>
    <w:p w:rsidR="00243043" w:rsidRPr="00243043" w:rsidRDefault="00243043" w:rsidP="00C06B7A">
      <w:pPr>
        <w:ind w:firstLine="567"/>
        <w:rPr>
          <w:lang w:val="en-US"/>
        </w:rPr>
      </w:pPr>
      <w:r w:rsidRPr="00243043">
        <w:rPr>
          <w:lang w:val="en-US"/>
        </w:rPr>
        <w:t xml:space="preserve">For a Pu-Be neutron source </w:t>
      </w:r>
      <w:r>
        <w:rPr>
          <w:lang w:val="en-US"/>
        </w:rPr>
        <w:t>with 3.4 MeV mean energy</w:t>
      </w:r>
      <w:r w:rsidRPr="00243043">
        <w:rPr>
          <w:lang w:val="en-US"/>
        </w:rPr>
        <w:t>, self-absorption effects reduce target radionuclide yield by up to 40% in thick (&gt;1 mm) targets due to neutron flux attenuation. The optimal uncorrected thickness range is 0.1–0.3 mm, whe</w:t>
      </w:r>
      <w:r>
        <w:rPr>
          <w:lang w:val="en-US"/>
        </w:rPr>
        <w:t xml:space="preserve">re yield losses remain below 5%. </w:t>
      </w:r>
    </w:p>
    <w:p w:rsidR="00C06B7A" w:rsidRPr="001A0D88" w:rsidRDefault="00C06B7A" w:rsidP="00C072B8">
      <w:pPr>
        <w:pStyle w:val="Heading"/>
        <w:rPr>
          <w:lang w:val="en-US"/>
        </w:rPr>
      </w:pPr>
      <w:r>
        <w:rPr>
          <w:lang w:val="en-US"/>
        </w:rPr>
        <w:t>RESULTS</w:t>
      </w:r>
    </w:p>
    <w:p w:rsidR="00E57E38" w:rsidRDefault="00E57E38" w:rsidP="00B507F0">
      <w:pPr>
        <w:spacing w:before="240"/>
        <w:ind w:firstLine="567"/>
        <w:rPr>
          <w:lang w:val="en-US"/>
        </w:rPr>
      </w:pPr>
      <w:r>
        <w:rPr>
          <w:lang w:val="en-GB"/>
        </w:rPr>
        <w:t>T</w:t>
      </w:r>
      <w:r w:rsidRPr="000C5A59">
        <w:rPr>
          <w:lang w:val="en-GB"/>
        </w:rPr>
        <w:t xml:space="preserve">he solution </w:t>
      </w:r>
      <w:r>
        <w:rPr>
          <w:lang w:val="en-GB"/>
        </w:rPr>
        <w:t>of</w:t>
      </w:r>
      <w:r w:rsidRPr="000C5A59">
        <w:rPr>
          <w:lang w:val="en-GB"/>
        </w:rPr>
        <w:t xml:space="preserve"> </w:t>
      </w:r>
      <w:r>
        <w:rPr>
          <w:lang w:val="en-GB"/>
        </w:rPr>
        <w:t>the</w:t>
      </w:r>
      <w:r w:rsidRPr="000C5A59">
        <w:rPr>
          <w:lang w:val="en-GB"/>
        </w:rPr>
        <w:t xml:space="preserve"> system of differential equations </w:t>
      </w:r>
      <w:r w:rsidR="004D4028">
        <w:rPr>
          <w:lang w:val="en-GB"/>
        </w:rPr>
        <w:t>(4)-(7)</w:t>
      </w:r>
      <w:r w:rsidR="004D4028" w:rsidRPr="00707B99">
        <w:rPr>
          <w:lang w:val="en-GB"/>
        </w:rPr>
        <w:t xml:space="preserve"> </w:t>
      </w:r>
      <w:r w:rsidR="004D4028">
        <w:rPr>
          <w:lang w:val="en-GB"/>
        </w:rPr>
        <w:t>gives</w:t>
      </w:r>
      <w:r>
        <w:rPr>
          <w:lang w:val="en-GB"/>
        </w:rPr>
        <w:t xml:space="preserve"> us</w:t>
      </w:r>
      <w:r w:rsidRPr="000C5A59">
        <w:rPr>
          <w:lang w:val="en-GB"/>
        </w:rPr>
        <w:t xml:space="preserve"> the final number of nuclei of the isotope </w:t>
      </w:r>
      <w:r w:rsidRPr="000C5A59">
        <w:rPr>
          <w:vertAlign w:val="superscript"/>
          <w:lang w:val="en-GB"/>
        </w:rPr>
        <w:t>223</w:t>
      </w:r>
      <w:r w:rsidRPr="000C5A59">
        <w:rPr>
          <w:lang w:val="en-GB"/>
        </w:rPr>
        <w:t>Ra</w:t>
      </w:r>
      <w:r>
        <w:rPr>
          <w:lang w:val="en-GB"/>
        </w:rPr>
        <w:t xml:space="preserve"> that should have been formed during irradiation</w:t>
      </w:r>
      <w:r w:rsidRPr="000C5A59">
        <w:rPr>
          <w:lang w:val="en-GB"/>
        </w:rPr>
        <w:t xml:space="preserve">, </w:t>
      </w:r>
      <w:r>
        <w:rPr>
          <w:lang w:val="en-GB"/>
        </w:rPr>
        <w:t>which</w:t>
      </w:r>
      <w:r w:rsidRPr="000C5A59">
        <w:rPr>
          <w:lang w:val="en-GB"/>
        </w:rPr>
        <w:t xml:space="preserve"> amounted to</w:t>
      </w:r>
      <w:r>
        <w:rPr>
          <w:lang w:val="en-GB"/>
        </w:rPr>
        <w:t xml:space="preserve"> 4.6</w:t>
      </w:r>
      <w:r w:rsidRPr="0095365F">
        <w:rPr>
          <w:lang w:val="en-GB"/>
        </w:rPr>
        <w:t>·</w:t>
      </w:r>
      <w:r>
        <w:rPr>
          <w:lang w:val="en-GB"/>
        </w:rPr>
        <w:t>10</w:t>
      </w:r>
      <w:r w:rsidRPr="0049610D">
        <w:rPr>
          <w:vertAlign w:val="superscript"/>
          <w:lang w:val="en-GB"/>
        </w:rPr>
        <w:t>2</w:t>
      </w:r>
      <w:r w:rsidR="004D4028">
        <w:rPr>
          <w:lang w:val="en-GB"/>
        </w:rPr>
        <w:t xml:space="preserve"> atoms</w:t>
      </w:r>
      <w:r>
        <w:rPr>
          <w:lang w:val="en-GB"/>
        </w:rPr>
        <w:t>.</w:t>
      </w:r>
      <w:r w:rsidRPr="000C5A59">
        <w:rPr>
          <w:lang w:val="en-GB"/>
        </w:rPr>
        <w:t xml:space="preserve"> </w:t>
      </w:r>
      <w:r>
        <w:rPr>
          <w:lang w:val="en-GB"/>
        </w:rPr>
        <w:t>So, t</w:t>
      </w:r>
      <w:r w:rsidRPr="000C5A59">
        <w:rPr>
          <w:lang w:val="en-GB"/>
        </w:rPr>
        <w:t>he possibility of producing the radium-223 isotope using a neutron flux of a discrete energy spectrum</w:t>
      </w:r>
      <w:r>
        <w:rPr>
          <w:lang w:val="en-GB"/>
        </w:rPr>
        <w:t xml:space="preserve"> is shown</w:t>
      </w:r>
      <w:r w:rsidRPr="000C5A59">
        <w:rPr>
          <w:lang w:val="en-GB"/>
        </w:rPr>
        <w:t>.</w:t>
      </w:r>
    </w:p>
    <w:p w:rsidR="00575A9D" w:rsidRPr="009B483D" w:rsidRDefault="00575A9D" w:rsidP="00E57E38">
      <w:pPr>
        <w:ind w:firstLine="567"/>
        <w:rPr>
          <w:lang w:val="en-US"/>
        </w:rPr>
      </w:pPr>
      <w:r w:rsidRPr="00EC59B5">
        <w:rPr>
          <w:lang w:val="en-US"/>
        </w:rPr>
        <w:t xml:space="preserve">The aim was to accumulate in the studied samples the target isotope </w:t>
      </w:r>
      <w:r w:rsidR="009B483D">
        <w:rPr>
          <w:vertAlign w:val="superscript"/>
          <w:lang w:val="en-US"/>
        </w:rPr>
        <w:t>223</w:t>
      </w:r>
      <w:r w:rsidR="009B483D">
        <w:rPr>
          <w:lang w:val="en-US"/>
        </w:rPr>
        <w:t>Ra</w:t>
      </w:r>
      <w:r w:rsidRPr="00EC59B5">
        <w:rPr>
          <w:lang w:val="en-US"/>
        </w:rPr>
        <w:t>, which is a product of</w:t>
      </w:r>
      <w:r w:rsidR="00536E4F">
        <w:rPr>
          <w:lang w:val="en-US"/>
        </w:rPr>
        <w:t xml:space="preserve"> the daughter decay of </w:t>
      </w:r>
      <w:r w:rsidR="009B483D">
        <w:rPr>
          <w:vertAlign w:val="superscript"/>
          <w:lang w:val="en-US"/>
        </w:rPr>
        <w:t>231</w:t>
      </w:r>
      <w:r w:rsidR="009B483D">
        <w:rPr>
          <w:lang w:val="en-US"/>
        </w:rPr>
        <w:t>Pa</w:t>
      </w:r>
      <w:r w:rsidRPr="00EC59B5">
        <w:rPr>
          <w:lang w:val="en-US"/>
        </w:rPr>
        <w:t xml:space="preserve"> with characteristic energy peaks of 269.46 keV, 154.21 keV, 323.87 keV, 338.28 keV, 122.32 keV, 445.03 keV. </w:t>
      </w:r>
      <w:r w:rsidR="009B483D" w:rsidRPr="009B483D">
        <w:rPr>
          <w:lang w:val="en-US"/>
        </w:rPr>
        <w:t>The identification results of the accumulation of radioactivities after the irradiation are presented in the tab</w:t>
      </w:r>
      <w:r w:rsidR="0090220B">
        <w:rPr>
          <w:lang w:val="en-US"/>
        </w:rPr>
        <w:t>le 2</w:t>
      </w:r>
      <w:r w:rsidR="009B483D">
        <w:rPr>
          <w:lang w:val="en-US"/>
        </w:rPr>
        <w:t>.</w:t>
      </w:r>
    </w:p>
    <w:p w:rsidR="00575A9D" w:rsidRPr="00EC59B5" w:rsidRDefault="00575A9D" w:rsidP="00EC59B5">
      <w:pPr>
        <w:pStyle w:val="TableTitle"/>
        <w:spacing w:before="0" w:after="0" w:line="240" w:lineRule="auto"/>
        <w:ind w:firstLine="0"/>
        <w:rPr>
          <w:rStyle w:val="af0"/>
        </w:rPr>
      </w:pPr>
      <w:bookmarkStart w:id="1" w:name="_Ref171936955"/>
      <w:r w:rsidRPr="00EC59B5">
        <w:rPr>
          <w:rStyle w:val="af0"/>
        </w:rPr>
        <w:t xml:space="preserve">Table </w:t>
      </w:r>
      <w:bookmarkEnd w:id="1"/>
      <w:r w:rsidR="0090220B">
        <w:rPr>
          <w:rStyle w:val="af0"/>
        </w:rPr>
        <w:t>2</w:t>
      </w:r>
      <w:r w:rsidR="008D6103">
        <w:rPr>
          <w:rStyle w:val="af0"/>
        </w:rPr>
        <w:t xml:space="preserve">. </w:t>
      </w:r>
      <w:r w:rsidRPr="00EC59B5">
        <w:rPr>
          <w:rStyle w:val="af0"/>
        </w:rPr>
        <w:t>Identification of the gamma radiation spectrum</w:t>
      </w:r>
    </w:p>
    <w:tbl>
      <w:tblPr>
        <w:tblW w:w="45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2268"/>
        <w:gridCol w:w="1134"/>
      </w:tblGrid>
      <w:tr w:rsidR="00536E4F" w:rsidTr="00536E4F">
        <w:trPr>
          <w:trHeight w:val="454"/>
        </w:trPr>
        <w:tc>
          <w:tcPr>
            <w:tcW w:w="1149" w:type="dxa"/>
            <w:shd w:val="clear" w:color="auto" w:fill="auto"/>
            <w:noWrap/>
            <w:vAlign w:val="center"/>
            <w:hideMark/>
          </w:tcPr>
          <w:p w:rsidR="00536E4F" w:rsidRDefault="00536E4F" w:rsidP="00EA000D">
            <w:pPr>
              <w:pStyle w:val="TableFootnote"/>
              <w:jc w:val="center"/>
              <w:rPr>
                <w:lang w:eastAsia="ru-RU"/>
              </w:rPr>
            </w:pPr>
            <w:r>
              <w:rPr>
                <w:lang w:eastAsia="ru-RU"/>
              </w:rPr>
              <w:t>Isotope</w:t>
            </w:r>
          </w:p>
        </w:tc>
        <w:tc>
          <w:tcPr>
            <w:tcW w:w="2268" w:type="dxa"/>
            <w:shd w:val="clear" w:color="auto" w:fill="auto"/>
            <w:noWrap/>
            <w:vAlign w:val="center"/>
            <w:hideMark/>
          </w:tcPr>
          <w:p w:rsidR="00536E4F" w:rsidRDefault="00536E4F" w:rsidP="00EA000D">
            <w:pPr>
              <w:pStyle w:val="TableFootnote"/>
              <w:jc w:val="center"/>
              <w:rPr>
                <w:lang w:eastAsia="ru-RU"/>
              </w:rPr>
            </w:pPr>
            <w:r>
              <w:rPr>
                <w:lang w:eastAsia="ru-RU"/>
              </w:rPr>
              <w:t>Reliability of identification</w:t>
            </w:r>
          </w:p>
        </w:tc>
        <w:tc>
          <w:tcPr>
            <w:tcW w:w="1134" w:type="dxa"/>
            <w:shd w:val="clear" w:color="auto" w:fill="auto"/>
            <w:noWrap/>
            <w:vAlign w:val="center"/>
            <w:hideMark/>
          </w:tcPr>
          <w:p w:rsidR="00536E4F" w:rsidRPr="00536E4F" w:rsidRDefault="00536E4F" w:rsidP="00EA000D">
            <w:pPr>
              <w:pStyle w:val="TableFootnote"/>
              <w:jc w:val="center"/>
              <w:rPr>
                <w:lang w:val="en-US" w:eastAsia="ru-RU"/>
              </w:rPr>
            </w:pPr>
            <w:r>
              <w:rPr>
                <w:lang w:eastAsia="ru-RU"/>
              </w:rPr>
              <w:t>Activity, B</w:t>
            </w:r>
            <w:r>
              <w:rPr>
                <w:lang w:val="en-US" w:eastAsia="ru-RU"/>
              </w:rPr>
              <w:t>q</w:t>
            </w:r>
          </w:p>
        </w:tc>
      </w:tr>
      <w:tr w:rsidR="00536E4F" w:rsidTr="00536E4F">
        <w:trPr>
          <w:trHeight w:val="454"/>
        </w:trPr>
        <w:tc>
          <w:tcPr>
            <w:tcW w:w="1149" w:type="dxa"/>
            <w:shd w:val="clear" w:color="auto" w:fill="auto"/>
            <w:noWrap/>
            <w:vAlign w:val="center"/>
            <w:hideMark/>
          </w:tcPr>
          <w:p w:rsidR="00536E4F" w:rsidRDefault="0090220B" w:rsidP="0090220B">
            <w:pPr>
              <w:pStyle w:val="TableFootnote"/>
              <w:jc w:val="center"/>
              <w:rPr>
                <w:lang w:eastAsia="ru-RU"/>
              </w:rPr>
            </w:pPr>
            <w:r>
              <w:rPr>
                <w:vertAlign w:val="superscript"/>
                <w:lang w:val="en-US" w:eastAsia="ru-RU"/>
              </w:rPr>
              <w:t>214</w:t>
            </w:r>
            <w:r>
              <w:rPr>
                <w:lang w:eastAsia="ru-RU"/>
              </w:rPr>
              <w:t>B</w:t>
            </w:r>
            <w:r>
              <w:rPr>
                <w:lang w:val="en-US" w:eastAsia="ru-RU"/>
              </w:rPr>
              <w:t>i</w:t>
            </w:r>
          </w:p>
        </w:tc>
        <w:tc>
          <w:tcPr>
            <w:tcW w:w="2268" w:type="dxa"/>
            <w:shd w:val="clear" w:color="auto" w:fill="auto"/>
            <w:noWrap/>
            <w:vAlign w:val="center"/>
            <w:hideMark/>
          </w:tcPr>
          <w:p w:rsidR="00536E4F" w:rsidRDefault="00536E4F" w:rsidP="00EA000D">
            <w:pPr>
              <w:pStyle w:val="TableFootnote"/>
              <w:jc w:val="center"/>
              <w:rPr>
                <w:lang w:eastAsia="ru-RU"/>
              </w:rPr>
            </w:pPr>
            <w:r>
              <w:rPr>
                <w:lang w:eastAsia="ru-RU"/>
              </w:rPr>
              <w:t>0.994</w:t>
            </w:r>
          </w:p>
        </w:tc>
        <w:tc>
          <w:tcPr>
            <w:tcW w:w="1134" w:type="dxa"/>
            <w:shd w:val="clear" w:color="auto" w:fill="auto"/>
            <w:noWrap/>
            <w:vAlign w:val="center"/>
            <w:hideMark/>
          </w:tcPr>
          <w:p w:rsidR="00536E4F" w:rsidRPr="00BA05C9" w:rsidRDefault="0090220B" w:rsidP="00EA000D">
            <w:pPr>
              <w:pStyle w:val="TableFootnote"/>
              <w:jc w:val="center"/>
              <w:rPr>
                <w:lang w:eastAsia="ru-RU"/>
              </w:rPr>
            </w:pPr>
            <w:r>
              <w:rPr>
                <w:lang w:eastAsia="ru-RU"/>
              </w:rPr>
              <w:t>3</w:t>
            </w:r>
            <w:r>
              <w:rPr>
                <w:lang w:val="en-US" w:eastAsia="ru-RU"/>
              </w:rPr>
              <w:t>200</w:t>
            </w:r>
            <w:r w:rsidR="00536E4F">
              <w:rPr>
                <w:color w:val="000000"/>
              </w:rPr>
              <w:t>±</w:t>
            </w:r>
            <w:r w:rsidR="00BA05C9">
              <w:rPr>
                <w:color w:val="000000"/>
              </w:rPr>
              <w:t>200</w:t>
            </w:r>
          </w:p>
        </w:tc>
      </w:tr>
      <w:tr w:rsidR="00536E4F" w:rsidTr="00536E4F">
        <w:trPr>
          <w:trHeight w:val="454"/>
        </w:trPr>
        <w:tc>
          <w:tcPr>
            <w:tcW w:w="1149" w:type="dxa"/>
            <w:shd w:val="clear" w:color="auto" w:fill="auto"/>
            <w:noWrap/>
            <w:vAlign w:val="center"/>
            <w:hideMark/>
          </w:tcPr>
          <w:p w:rsidR="00536E4F" w:rsidRDefault="0090220B" w:rsidP="0090220B">
            <w:pPr>
              <w:pStyle w:val="TableFootnote"/>
              <w:jc w:val="center"/>
              <w:rPr>
                <w:lang w:eastAsia="ru-RU"/>
              </w:rPr>
            </w:pPr>
            <w:r>
              <w:rPr>
                <w:vertAlign w:val="superscript"/>
                <w:lang w:val="en-US" w:eastAsia="ru-RU"/>
              </w:rPr>
              <w:t>214</w:t>
            </w:r>
            <w:r>
              <w:rPr>
                <w:lang w:eastAsia="ru-RU"/>
              </w:rPr>
              <w:t>P</w:t>
            </w:r>
            <w:r>
              <w:rPr>
                <w:lang w:val="en-US" w:eastAsia="ru-RU"/>
              </w:rPr>
              <w:t>b</w:t>
            </w:r>
          </w:p>
        </w:tc>
        <w:tc>
          <w:tcPr>
            <w:tcW w:w="2268" w:type="dxa"/>
            <w:shd w:val="clear" w:color="auto" w:fill="auto"/>
            <w:noWrap/>
            <w:vAlign w:val="center"/>
            <w:hideMark/>
          </w:tcPr>
          <w:p w:rsidR="00536E4F" w:rsidRDefault="00536E4F" w:rsidP="00EA000D">
            <w:pPr>
              <w:pStyle w:val="TableFootnote"/>
              <w:jc w:val="center"/>
              <w:rPr>
                <w:lang w:eastAsia="ru-RU"/>
              </w:rPr>
            </w:pPr>
            <w:r>
              <w:rPr>
                <w:lang w:eastAsia="ru-RU"/>
              </w:rPr>
              <w:t>0.875</w:t>
            </w:r>
          </w:p>
        </w:tc>
        <w:tc>
          <w:tcPr>
            <w:tcW w:w="1134" w:type="dxa"/>
            <w:shd w:val="clear" w:color="auto" w:fill="auto"/>
            <w:noWrap/>
            <w:vAlign w:val="center"/>
            <w:hideMark/>
          </w:tcPr>
          <w:p w:rsidR="00536E4F" w:rsidRPr="00BA05C9" w:rsidRDefault="0090220B" w:rsidP="00EA000D">
            <w:pPr>
              <w:pStyle w:val="TableFootnote"/>
              <w:jc w:val="center"/>
              <w:rPr>
                <w:lang w:eastAsia="ru-RU"/>
              </w:rPr>
            </w:pPr>
            <w:r>
              <w:rPr>
                <w:lang w:eastAsia="ru-RU"/>
              </w:rPr>
              <w:t>2</w:t>
            </w:r>
            <w:r>
              <w:rPr>
                <w:lang w:val="en-US" w:eastAsia="ru-RU"/>
              </w:rPr>
              <w:t>200</w:t>
            </w:r>
            <w:r w:rsidR="00536E4F">
              <w:rPr>
                <w:color w:val="000000"/>
              </w:rPr>
              <w:t>±</w:t>
            </w:r>
            <w:r w:rsidR="00BA05C9">
              <w:rPr>
                <w:color w:val="000000"/>
                <w:lang w:val="en-US"/>
              </w:rPr>
              <w:t>10</w:t>
            </w:r>
            <w:r w:rsidR="00BA05C9">
              <w:rPr>
                <w:color w:val="000000"/>
              </w:rPr>
              <w:t>0</w:t>
            </w:r>
          </w:p>
        </w:tc>
      </w:tr>
      <w:tr w:rsidR="00536E4F" w:rsidTr="00536E4F">
        <w:trPr>
          <w:trHeight w:val="454"/>
        </w:trPr>
        <w:tc>
          <w:tcPr>
            <w:tcW w:w="1149" w:type="dxa"/>
            <w:shd w:val="clear" w:color="auto" w:fill="auto"/>
            <w:noWrap/>
            <w:vAlign w:val="center"/>
            <w:hideMark/>
          </w:tcPr>
          <w:p w:rsidR="00536E4F" w:rsidRDefault="0090220B" w:rsidP="0090220B">
            <w:pPr>
              <w:pStyle w:val="TableFootnote"/>
              <w:jc w:val="center"/>
              <w:rPr>
                <w:lang w:eastAsia="ru-RU"/>
              </w:rPr>
            </w:pPr>
            <w:r>
              <w:rPr>
                <w:vertAlign w:val="superscript"/>
                <w:lang w:val="en-US" w:eastAsia="ru-RU"/>
              </w:rPr>
              <w:t>226</w:t>
            </w:r>
            <w:r>
              <w:rPr>
                <w:lang w:eastAsia="ru-RU"/>
              </w:rPr>
              <w:t>R</w:t>
            </w:r>
            <w:r>
              <w:rPr>
                <w:lang w:val="en-US" w:eastAsia="ru-RU"/>
              </w:rPr>
              <w:t>a</w:t>
            </w:r>
          </w:p>
        </w:tc>
        <w:tc>
          <w:tcPr>
            <w:tcW w:w="2268" w:type="dxa"/>
            <w:shd w:val="clear" w:color="auto" w:fill="auto"/>
            <w:noWrap/>
            <w:vAlign w:val="center"/>
            <w:hideMark/>
          </w:tcPr>
          <w:p w:rsidR="00536E4F" w:rsidRDefault="00536E4F" w:rsidP="00EA000D">
            <w:pPr>
              <w:pStyle w:val="TableFootnote"/>
              <w:jc w:val="center"/>
              <w:rPr>
                <w:lang w:eastAsia="ru-RU"/>
              </w:rPr>
            </w:pPr>
            <w:r>
              <w:rPr>
                <w:lang w:eastAsia="ru-RU"/>
              </w:rPr>
              <w:t>0.998</w:t>
            </w:r>
          </w:p>
        </w:tc>
        <w:tc>
          <w:tcPr>
            <w:tcW w:w="1134" w:type="dxa"/>
            <w:shd w:val="clear" w:color="auto" w:fill="auto"/>
            <w:noWrap/>
            <w:vAlign w:val="center"/>
            <w:hideMark/>
          </w:tcPr>
          <w:p w:rsidR="00536E4F" w:rsidRPr="00BA05C9" w:rsidRDefault="00536E4F" w:rsidP="00EA000D">
            <w:pPr>
              <w:pStyle w:val="TableFootnote"/>
              <w:jc w:val="center"/>
              <w:rPr>
                <w:lang w:eastAsia="ru-RU"/>
              </w:rPr>
            </w:pPr>
            <w:r>
              <w:rPr>
                <w:lang w:eastAsia="ru-RU"/>
              </w:rPr>
              <w:t>0.83</w:t>
            </w:r>
            <w:r>
              <w:rPr>
                <w:color w:val="000000"/>
              </w:rPr>
              <w:t>±</w:t>
            </w:r>
            <w:r w:rsidR="00BA05C9">
              <w:rPr>
                <w:color w:val="000000"/>
                <w:lang w:val="en-US"/>
              </w:rPr>
              <w:t>0.0</w:t>
            </w:r>
            <w:r w:rsidR="00BA05C9">
              <w:rPr>
                <w:color w:val="000000"/>
              </w:rPr>
              <w:t>6</w:t>
            </w:r>
          </w:p>
        </w:tc>
      </w:tr>
      <w:tr w:rsidR="00536E4F" w:rsidTr="00536E4F">
        <w:trPr>
          <w:trHeight w:val="454"/>
        </w:trPr>
        <w:tc>
          <w:tcPr>
            <w:tcW w:w="1149" w:type="dxa"/>
            <w:shd w:val="clear" w:color="auto" w:fill="auto"/>
            <w:noWrap/>
            <w:vAlign w:val="center"/>
            <w:hideMark/>
          </w:tcPr>
          <w:p w:rsidR="00536E4F" w:rsidRDefault="0090220B" w:rsidP="0090220B">
            <w:pPr>
              <w:pStyle w:val="TableFootnote"/>
              <w:jc w:val="center"/>
              <w:rPr>
                <w:lang w:eastAsia="ru-RU"/>
              </w:rPr>
            </w:pPr>
            <w:r>
              <w:rPr>
                <w:vertAlign w:val="superscript"/>
                <w:lang w:val="en-US" w:eastAsia="ru-RU"/>
              </w:rPr>
              <w:t>227</w:t>
            </w:r>
            <w:r>
              <w:rPr>
                <w:lang w:eastAsia="ru-RU"/>
              </w:rPr>
              <w:t>T</w:t>
            </w:r>
            <w:r>
              <w:rPr>
                <w:lang w:val="en-US" w:eastAsia="ru-RU"/>
              </w:rPr>
              <w:t>h</w:t>
            </w:r>
          </w:p>
        </w:tc>
        <w:tc>
          <w:tcPr>
            <w:tcW w:w="2268" w:type="dxa"/>
            <w:shd w:val="clear" w:color="auto" w:fill="auto"/>
            <w:noWrap/>
            <w:vAlign w:val="center"/>
            <w:hideMark/>
          </w:tcPr>
          <w:p w:rsidR="00536E4F" w:rsidRDefault="00536E4F" w:rsidP="00EA000D">
            <w:pPr>
              <w:pStyle w:val="TableFootnote"/>
              <w:jc w:val="center"/>
              <w:rPr>
                <w:lang w:eastAsia="ru-RU"/>
              </w:rPr>
            </w:pPr>
            <w:r>
              <w:rPr>
                <w:lang w:eastAsia="ru-RU"/>
              </w:rPr>
              <w:t>0.371</w:t>
            </w:r>
          </w:p>
        </w:tc>
        <w:tc>
          <w:tcPr>
            <w:tcW w:w="1134" w:type="dxa"/>
            <w:shd w:val="clear" w:color="auto" w:fill="auto"/>
            <w:noWrap/>
            <w:vAlign w:val="center"/>
            <w:hideMark/>
          </w:tcPr>
          <w:p w:rsidR="00536E4F" w:rsidRPr="00BA05C9" w:rsidRDefault="00536E4F" w:rsidP="00EA000D">
            <w:pPr>
              <w:pStyle w:val="TableFootnote"/>
              <w:jc w:val="center"/>
              <w:rPr>
                <w:lang w:eastAsia="ru-RU"/>
              </w:rPr>
            </w:pPr>
            <w:r>
              <w:rPr>
                <w:lang w:eastAsia="ru-RU"/>
              </w:rPr>
              <w:t>0.21</w:t>
            </w:r>
            <w:r>
              <w:rPr>
                <w:color w:val="000000"/>
              </w:rPr>
              <w:t>±</w:t>
            </w:r>
            <w:r w:rsidR="00BA05C9">
              <w:rPr>
                <w:color w:val="000000"/>
                <w:lang w:val="en-US"/>
              </w:rPr>
              <w:t>0.01</w:t>
            </w:r>
          </w:p>
        </w:tc>
      </w:tr>
      <w:tr w:rsidR="00536E4F" w:rsidTr="00536E4F">
        <w:trPr>
          <w:trHeight w:val="454"/>
        </w:trPr>
        <w:tc>
          <w:tcPr>
            <w:tcW w:w="1149" w:type="dxa"/>
            <w:shd w:val="clear" w:color="auto" w:fill="auto"/>
            <w:noWrap/>
            <w:vAlign w:val="center"/>
            <w:hideMark/>
          </w:tcPr>
          <w:p w:rsidR="00536E4F" w:rsidRPr="0090220B" w:rsidRDefault="0090220B" w:rsidP="00EA000D">
            <w:pPr>
              <w:pStyle w:val="TableFootnote"/>
              <w:jc w:val="center"/>
              <w:rPr>
                <w:lang w:val="en-US" w:eastAsia="ru-RU"/>
              </w:rPr>
            </w:pPr>
            <w:r>
              <w:rPr>
                <w:vertAlign w:val="superscript"/>
                <w:lang w:val="en-US" w:eastAsia="ru-RU"/>
              </w:rPr>
              <w:t>235</w:t>
            </w:r>
            <w:r>
              <w:rPr>
                <w:lang w:eastAsia="ru-RU"/>
              </w:rPr>
              <w:t>U</w:t>
            </w:r>
          </w:p>
        </w:tc>
        <w:tc>
          <w:tcPr>
            <w:tcW w:w="2268" w:type="dxa"/>
            <w:shd w:val="clear" w:color="auto" w:fill="auto"/>
            <w:noWrap/>
            <w:vAlign w:val="center"/>
            <w:hideMark/>
          </w:tcPr>
          <w:p w:rsidR="00536E4F" w:rsidRDefault="00536E4F" w:rsidP="00EA000D">
            <w:pPr>
              <w:pStyle w:val="TableFootnote"/>
              <w:jc w:val="center"/>
              <w:rPr>
                <w:lang w:eastAsia="ru-RU"/>
              </w:rPr>
            </w:pPr>
            <w:r>
              <w:rPr>
                <w:lang w:eastAsia="ru-RU"/>
              </w:rPr>
              <w:t>0.541</w:t>
            </w:r>
          </w:p>
        </w:tc>
        <w:tc>
          <w:tcPr>
            <w:tcW w:w="1134" w:type="dxa"/>
            <w:shd w:val="clear" w:color="auto" w:fill="auto"/>
            <w:noWrap/>
            <w:vAlign w:val="center"/>
            <w:hideMark/>
          </w:tcPr>
          <w:p w:rsidR="00536E4F" w:rsidRPr="00536E4F" w:rsidRDefault="00536E4F" w:rsidP="00EA000D">
            <w:pPr>
              <w:pStyle w:val="TableFootnote"/>
              <w:jc w:val="center"/>
              <w:rPr>
                <w:lang w:val="en-US" w:eastAsia="ru-RU"/>
              </w:rPr>
            </w:pPr>
            <w:r>
              <w:rPr>
                <w:lang w:eastAsia="ru-RU"/>
              </w:rPr>
              <w:t>0.05</w:t>
            </w:r>
            <w:r>
              <w:rPr>
                <w:lang w:val="en-US" w:eastAsia="ru-RU"/>
              </w:rPr>
              <w:t>1</w:t>
            </w:r>
            <w:r>
              <w:rPr>
                <w:color w:val="000000"/>
              </w:rPr>
              <w:t>±</w:t>
            </w:r>
            <w:r>
              <w:rPr>
                <w:color w:val="000000"/>
                <w:lang w:val="en-US"/>
              </w:rPr>
              <w:t>0.003</w:t>
            </w:r>
          </w:p>
        </w:tc>
      </w:tr>
      <w:tr w:rsidR="00536E4F" w:rsidTr="00536E4F">
        <w:trPr>
          <w:trHeight w:val="454"/>
        </w:trPr>
        <w:tc>
          <w:tcPr>
            <w:tcW w:w="1149" w:type="dxa"/>
            <w:shd w:val="clear" w:color="auto" w:fill="auto"/>
            <w:noWrap/>
            <w:vAlign w:val="center"/>
            <w:hideMark/>
          </w:tcPr>
          <w:p w:rsidR="00536E4F" w:rsidRPr="0090220B" w:rsidRDefault="0090220B" w:rsidP="00EA000D">
            <w:pPr>
              <w:pStyle w:val="TableFootnote"/>
              <w:jc w:val="center"/>
              <w:rPr>
                <w:lang w:val="en-US" w:eastAsia="ru-RU"/>
              </w:rPr>
            </w:pPr>
            <w:r>
              <w:rPr>
                <w:vertAlign w:val="superscript"/>
                <w:lang w:val="en-US" w:eastAsia="ru-RU"/>
              </w:rPr>
              <w:t>238</w:t>
            </w:r>
            <w:r>
              <w:rPr>
                <w:lang w:eastAsia="ru-RU"/>
              </w:rPr>
              <w:t>U</w:t>
            </w:r>
          </w:p>
        </w:tc>
        <w:tc>
          <w:tcPr>
            <w:tcW w:w="2268" w:type="dxa"/>
            <w:shd w:val="clear" w:color="auto" w:fill="auto"/>
            <w:noWrap/>
            <w:vAlign w:val="center"/>
            <w:hideMark/>
          </w:tcPr>
          <w:p w:rsidR="00536E4F" w:rsidRDefault="00536E4F" w:rsidP="00EA000D">
            <w:pPr>
              <w:pStyle w:val="TableFootnote"/>
              <w:jc w:val="center"/>
              <w:rPr>
                <w:lang w:eastAsia="ru-RU"/>
              </w:rPr>
            </w:pPr>
            <w:r>
              <w:rPr>
                <w:lang w:eastAsia="ru-RU"/>
              </w:rPr>
              <w:t>0.904</w:t>
            </w:r>
          </w:p>
        </w:tc>
        <w:tc>
          <w:tcPr>
            <w:tcW w:w="1134" w:type="dxa"/>
            <w:shd w:val="clear" w:color="auto" w:fill="auto"/>
            <w:noWrap/>
            <w:vAlign w:val="center"/>
            <w:hideMark/>
          </w:tcPr>
          <w:p w:rsidR="00536E4F" w:rsidRPr="00BA05C9" w:rsidRDefault="00BA05C9" w:rsidP="00EA000D">
            <w:pPr>
              <w:pStyle w:val="TableFootnote"/>
              <w:jc w:val="center"/>
              <w:rPr>
                <w:lang w:eastAsia="ru-RU"/>
              </w:rPr>
            </w:pPr>
            <w:r>
              <w:rPr>
                <w:lang w:eastAsia="ru-RU"/>
              </w:rPr>
              <w:t>1.4</w:t>
            </w:r>
            <w:r w:rsidR="00536E4F">
              <w:rPr>
                <w:color w:val="000000"/>
              </w:rPr>
              <w:t>±</w:t>
            </w:r>
            <w:r>
              <w:rPr>
                <w:color w:val="000000"/>
                <w:lang w:val="en-US"/>
              </w:rPr>
              <w:t>0.1</w:t>
            </w:r>
          </w:p>
        </w:tc>
      </w:tr>
    </w:tbl>
    <w:p w:rsidR="00EC59B5" w:rsidRDefault="00EC59B5" w:rsidP="00C072B8">
      <w:pPr>
        <w:pStyle w:val="Heading"/>
        <w:rPr>
          <w:lang w:val="en-US"/>
        </w:rPr>
      </w:pPr>
      <w:r>
        <w:rPr>
          <w:lang w:val="en-US"/>
        </w:rPr>
        <w:t>DISCUSSION</w:t>
      </w:r>
    </w:p>
    <w:p w:rsidR="00243043" w:rsidRPr="00243043" w:rsidRDefault="00243043" w:rsidP="00243043">
      <w:pPr>
        <w:ind w:firstLine="567"/>
        <w:rPr>
          <w:bCs/>
          <w:lang w:val="en-US"/>
        </w:rPr>
      </w:pPr>
      <w:r w:rsidRPr="00243043">
        <w:rPr>
          <w:bCs/>
          <w:vertAlign w:val="superscript"/>
          <w:lang w:val="en-US"/>
        </w:rPr>
        <w:t>226</w:t>
      </w:r>
      <w:r w:rsidRPr="00243043">
        <w:rPr>
          <w:bCs/>
          <w:lang w:val="en-US"/>
        </w:rPr>
        <w:t xml:space="preserve">Ra and </w:t>
      </w:r>
      <w:r w:rsidRPr="00243043">
        <w:rPr>
          <w:bCs/>
          <w:vertAlign w:val="superscript"/>
          <w:lang w:val="en-US"/>
        </w:rPr>
        <w:t>227</w:t>
      </w:r>
      <w:r w:rsidRPr="00243043">
        <w:rPr>
          <w:bCs/>
          <w:lang w:val="en-US"/>
        </w:rPr>
        <w:t xml:space="preserve">Th can be produced through successive neutron capture </w:t>
      </w:r>
      <w:r>
        <w:rPr>
          <w:bCs/>
          <w:lang w:val="en-US"/>
        </w:rPr>
        <w:t>and electron capture processes.</w:t>
      </w:r>
      <w:r w:rsidR="0090220B">
        <w:rPr>
          <w:bCs/>
          <w:lang w:val="en-US"/>
        </w:rPr>
        <w:t xml:space="preserve"> We found that the</w:t>
      </w:r>
      <w:r w:rsidRPr="00243043">
        <w:rPr>
          <w:bCs/>
          <w:lang w:val="en-US"/>
        </w:rPr>
        <w:t xml:space="preserve"> irradiation time </w:t>
      </w:r>
      <w:r w:rsidR="004D4028">
        <w:rPr>
          <w:bCs/>
          <w:lang w:val="en-US"/>
        </w:rPr>
        <w:t>during which the target was subjected to</w:t>
      </w:r>
      <w:r w:rsidR="0090220B">
        <w:rPr>
          <w:bCs/>
          <w:lang w:val="en-US"/>
        </w:rPr>
        <w:t xml:space="preserve"> the neutron generator field </w:t>
      </w:r>
      <w:r w:rsidR="004D4028">
        <w:rPr>
          <w:bCs/>
          <w:lang w:val="en-US"/>
        </w:rPr>
        <w:t>together with accompanying nuclear processes lead to the formation of</w:t>
      </w:r>
      <w:r w:rsidR="0090220B">
        <w:rPr>
          <w:bCs/>
          <w:lang w:val="en-US"/>
        </w:rPr>
        <w:t xml:space="preserve"> corresponding nuclides.</w:t>
      </w:r>
    </w:p>
    <w:p w:rsidR="00EC59B5" w:rsidRDefault="009B483D" w:rsidP="00EC59B5">
      <w:pPr>
        <w:ind w:firstLine="567"/>
        <w:rPr>
          <w:lang w:val="en-US"/>
        </w:rPr>
      </w:pPr>
      <w:r>
        <w:rPr>
          <w:bCs/>
          <w:vertAlign w:val="superscript"/>
          <w:lang w:val="en-US"/>
        </w:rPr>
        <w:t>226</w:t>
      </w:r>
      <w:r>
        <w:rPr>
          <w:bCs/>
          <w:lang w:val="en-US"/>
        </w:rPr>
        <w:t>Ra</w:t>
      </w:r>
      <w:r w:rsidR="00C072B8" w:rsidRPr="00C223AC">
        <w:rPr>
          <w:bCs/>
          <w:lang w:val="en-US"/>
        </w:rPr>
        <w:t xml:space="preserve"> with gross ac</w:t>
      </w:r>
      <w:r w:rsidR="00243043">
        <w:rPr>
          <w:bCs/>
          <w:lang w:val="en-US"/>
        </w:rPr>
        <w:t xml:space="preserve">tivity </w:t>
      </w:r>
      <w:r w:rsidR="0090220B">
        <w:rPr>
          <w:bCs/>
          <w:lang w:val="en-US"/>
        </w:rPr>
        <w:t>of about 0.</w:t>
      </w:r>
      <w:r w:rsidR="00243043">
        <w:rPr>
          <w:bCs/>
          <w:lang w:val="en-US"/>
        </w:rPr>
        <w:t xml:space="preserve">83 Bq and </w:t>
      </w:r>
      <w:r w:rsidR="00243043">
        <w:rPr>
          <w:bCs/>
          <w:vertAlign w:val="superscript"/>
          <w:lang w:val="en-US"/>
        </w:rPr>
        <w:t>227</w:t>
      </w:r>
      <w:r w:rsidR="00243043">
        <w:rPr>
          <w:bCs/>
          <w:lang w:val="en-US"/>
        </w:rPr>
        <w:t>Th</w:t>
      </w:r>
      <w:r w:rsidR="0090220B">
        <w:rPr>
          <w:bCs/>
          <w:lang w:val="en-US"/>
        </w:rPr>
        <w:t xml:space="preserve"> with gross activity </w:t>
      </w:r>
      <w:r w:rsidR="004D4028">
        <w:rPr>
          <w:bCs/>
          <w:lang w:val="en-US"/>
        </w:rPr>
        <w:t xml:space="preserve">of </w:t>
      </w:r>
      <w:r w:rsidR="0090220B">
        <w:rPr>
          <w:bCs/>
          <w:lang w:val="en-US"/>
        </w:rPr>
        <w:t>about 0.</w:t>
      </w:r>
      <w:r w:rsidR="00C072B8" w:rsidRPr="00C223AC">
        <w:rPr>
          <w:bCs/>
          <w:lang w:val="en-US"/>
        </w:rPr>
        <w:t xml:space="preserve">21 Bq, which is a parent nucleus of </w:t>
      </w:r>
      <w:r w:rsidR="00243043">
        <w:rPr>
          <w:bCs/>
          <w:vertAlign w:val="superscript"/>
          <w:lang w:val="en-US"/>
        </w:rPr>
        <w:t>223</w:t>
      </w:r>
      <w:r w:rsidR="00243043">
        <w:rPr>
          <w:bCs/>
          <w:lang w:val="en-US"/>
        </w:rPr>
        <w:t>Ra</w:t>
      </w:r>
      <w:r w:rsidR="00C072B8" w:rsidRPr="00C223AC">
        <w:rPr>
          <w:bCs/>
          <w:lang w:val="en-US"/>
        </w:rPr>
        <w:t xml:space="preserve">, were identified in </w:t>
      </w:r>
      <w:r w:rsidR="00C072B8" w:rsidRPr="00C072B8">
        <w:rPr>
          <w:bCs/>
          <w:lang w:val="en-US"/>
        </w:rPr>
        <w:t>low concentration</w:t>
      </w:r>
      <w:r w:rsidR="00C072B8" w:rsidRPr="00C223AC">
        <w:rPr>
          <w:bCs/>
          <w:lang w:val="en-US"/>
        </w:rPr>
        <w:t xml:space="preserve"> during the gamma-spectrometric analysis</w:t>
      </w:r>
      <w:r w:rsidR="00C072B8" w:rsidRPr="00C072B8">
        <w:rPr>
          <w:bCs/>
          <w:lang w:val="en-US"/>
        </w:rPr>
        <w:t xml:space="preserve">. </w:t>
      </w:r>
      <w:r w:rsidR="00EC59B5" w:rsidRPr="00EC59B5">
        <w:rPr>
          <w:lang w:val="en-US"/>
        </w:rPr>
        <w:t xml:space="preserve">The detected spectrum contains low-intensity lines </w:t>
      </w:r>
      <w:r w:rsidR="004D4028">
        <w:rPr>
          <w:lang w:val="en-US"/>
        </w:rPr>
        <w:t>from</w:t>
      </w:r>
      <w:r w:rsidR="00EC59B5" w:rsidRPr="00EC59B5">
        <w:rPr>
          <w:lang w:val="en-US"/>
        </w:rPr>
        <w:t xml:space="preserve"> the </w:t>
      </w:r>
      <w:r w:rsidR="00243043">
        <w:rPr>
          <w:vertAlign w:val="superscript"/>
          <w:lang w:val="en-US"/>
        </w:rPr>
        <w:t>227</w:t>
      </w:r>
      <w:r w:rsidR="00243043">
        <w:rPr>
          <w:lang w:val="en-US"/>
        </w:rPr>
        <w:t>Ra</w:t>
      </w:r>
      <w:r w:rsidR="00EC59B5" w:rsidRPr="00EC59B5">
        <w:rPr>
          <w:lang w:val="en-US"/>
        </w:rPr>
        <w:t xml:space="preserve"> isotope with characteristic energy peaks of 283.68 keV and 258.</w:t>
      </w:r>
      <w:r w:rsidR="0090220B">
        <w:rPr>
          <w:lang w:val="en-US"/>
        </w:rPr>
        <w:t>3 keV. Characteristic line</w:t>
      </w:r>
      <w:r w:rsidR="00EC59B5" w:rsidRPr="00EC59B5">
        <w:rPr>
          <w:lang w:val="en-US"/>
        </w:rPr>
        <w:t xml:space="preserve"> of </w:t>
      </w:r>
      <w:r w:rsidR="00243043">
        <w:rPr>
          <w:vertAlign w:val="superscript"/>
          <w:lang w:val="en-US"/>
        </w:rPr>
        <w:t>227</w:t>
      </w:r>
      <w:r w:rsidR="00243043">
        <w:rPr>
          <w:lang w:val="en-US"/>
        </w:rPr>
        <w:t>Th</w:t>
      </w:r>
      <w:r w:rsidR="0090220B">
        <w:rPr>
          <w:lang w:val="en-US"/>
        </w:rPr>
        <w:t xml:space="preserve"> with </w:t>
      </w:r>
      <w:r w:rsidR="0090220B">
        <w:rPr>
          <w:lang w:val="en-US"/>
        </w:rPr>
        <w:lastRenderedPageBreak/>
        <w:t>the energy peak of 256.23 keV was detected in the</w:t>
      </w:r>
      <w:r w:rsidR="00EC59B5" w:rsidRPr="00EC59B5">
        <w:rPr>
          <w:lang w:val="en-US"/>
        </w:rPr>
        <w:t xml:space="preserve"> object of study. It is impossible to unambiguously establish the content of radium isotopes in the studied samples according to the </w:t>
      </w:r>
      <w:r w:rsidR="0090220B">
        <w:rPr>
          <w:lang w:val="en-US"/>
        </w:rPr>
        <w:t>graph obtained during γ</w:t>
      </w:r>
      <w:r w:rsidR="00EC59B5" w:rsidRPr="00EC59B5">
        <w:rPr>
          <w:lang w:val="en-US"/>
        </w:rPr>
        <w:t>-spectrometric analysis with the corresponding peaks with a certain e</w:t>
      </w:r>
      <w:r w:rsidR="00B507F0">
        <w:rPr>
          <w:lang w:val="en-US"/>
        </w:rPr>
        <w:t>nergy due to their low activity</w:t>
      </w:r>
      <w:r w:rsidR="0090220B">
        <w:rPr>
          <w:lang w:val="en-US"/>
        </w:rPr>
        <w:t>. A line with the</w:t>
      </w:r>
      <w:r w:rsidR="00EC59B5" w:rsidRPr="00EC59B5">
        <w:rPr>
          <w:lang w:val="en-US"/>
        </w:rPr>
        <w:t xml:space="preserve"> energy of 87.3 keV was detected in the spectrum of the studied powders. It is not possible to unambiguously identify the X-ray spectrum of </w:t>
      </w:r>
      <w:r w:rsidR="00243043">
        <w:rPr>
          <w:vertAlign w:val="superscript"/>
          <w:lang w:val="en-US"/>
        </w:rPr>
        <w:t>223</w:t>
      </w:r>
      <w:r w:rsidR="009F2F2E">
        <w:rPr>
          <w:lang w:val="en-US"/>
        </w:rPr>
        <w:t>Ra</w:t>
      </w:r>
      <w:r w:rsidR="00EC59B5" w:rsidRPr="00EC59B5">
        <w:rPr>
          <w:lang w:val="en-US"/>
        </w:rPr>
        <w:t>.</w:t>
      </w:r>
    </w:p>
    <w:p w:rsidR="00EC59B5" w:rsidRPr="00EC59B5" w:rsidRDefault="00EC59B5" w:rsidP="00C072B8">
      <w:pPr>
        <w:pStyle w:val="Heading"/>
        <w:rPr>
          <w:lang w:val="en-US"/>
        </w:rPr>
      </w:pPr>
      <w:r>
        <w:rPr>
          <w:lang w:val="en-US"/>
        </w:rPr>
        <w:t>CONCLUSION</w:t>
      </w:r>
    </w:p>
    <w:p w:rsidR="00C176E2" w:rsidRPr="00EC59B5" w:rsidRDefault="00C176E2" w:rsidP="009F2F2E">
      <w:pPr>
        <w:ind w:firstLine="567"/>
        <w:rPr>
          <w:lang w:val="en-US"/>
        </w:rPr>
      </w:pPr>
      <w:r w:rsidRPr="00C176E2">
        <w:rPr>
          <w:lang w:val="en-US"/>
        </w:rPr>
        <w:t xml:space="preserve">Thus, with the </w:t>
      </w:r>
      <w:r w:rsidR="009B483D">
        <w:rPr>
          <w:lang w:val="en-US"/>
        </w:rPr>
        <w:t>activity</w:t>
      </w:r>
      <w:r w:rsidRPr="00C176E2">
        <w:rPr>
          <w:lang w:val="en-US"/>
        </w:rPr>
        <w:t xml:space="preserve"> of the radionuclide </w:t>
      </w:r>
      <w:r w:rsidR="009B483D" w:rsidRPr="009B483D">
        <w:rPr>
          <w:vertAlign w:val="superscript"/>
          <w:lang w:val="en-US"/>
        </w:rPr>
        <w:t>222</w:t>
      </w:r>
      <w:r w:rsidR="009B483D">
        <w:rPr>
          <w:lang w:val="en-US"/>
        </w:rPr>
        <w:t xml:space="preserve">Rn </w:t>
      </w:r>
      <w:r w:rsidR="004D4028">
        <w:rPr>
          <w:color w:val="000000"/>
          <w:lang w:val="en-US"/>
        </w:rPr>
        <w:t>1570±80</w:t>
      </w:r>
      <w:r w:rsidR="009B483D">
        <w:rPr>
          <w:lang w:val="en-US"/>
        </w:rPr>
        <w:t xml:space="preserve"> Bq</w:t>
      </w:r>
      <w:r w:rsidRPr="00C176E2">
        <w:rPr>
          <w:lang w:val="en-US"/>
        </w:rPr>
        <w:t xml:space="preserve">, the activity of the produced </w:t>
      </w:r>
      <w:r w:rsidR="009F2F2E">
        <w:rPr>
          <w:vertAlign w:val="superscript"/>
          <w:lang w:val="en-US"/>
        </w:rPr>
        <w:t>223</w:t>
      </w:r>
      <w:r w:rsidR="009F2F2E">
        <w:rPr>
          <w:lang w:val="en-US"/>
        </w:rPr>
        <w:t>Ra</w:t>
      </w:r>
      <w:r w:rsidRPr="00C176E2">
        <w:rPr>
          <w:lang w:val="en-US"/>
        </w:rPr>
        <w:t xml:space="preserve"> at a given neutron flux of 3.17</w:t>
      </w:r>
      <w:r>
        <w:rPr>
          <w:lang w:val="en-US"/>
        </w:rPr>
        <w:t>·</w:t>
      </w:r>
      <w:r w:rsidRPr="00C176E2">
        <w:rPr>
          <w:lang w:val="en-US"/>
        </w:rPr>
        <w:t>10</w:t>
      </w:r>
      <w:r w:rsidRPr="00243043">
        <w:rPr>
          <w:vertAlign w:val="superscript"/>
          <w:lang w:val="en-US"/>
        </w:rPr>
        <w:t>6</w:t>
      </w:r>
      <w:r w:rsidRPr="00C176E2">
        <w:rPr>
          <w:lang w:val="en-US"/>
        </w:rPr>
        <w:t xml:space="preserve"> </w:t>
      </w:r>
      <w:r w:rsidR="004D4028">
        <w:rPr>
          <w:lang w:val="en-US"/>
        </w:rPr>
        <w:t>cm</w:t>
      </w:r>
      <w:r w:rsidR="004D4028">
        <w:rPr>
          <w:vertAlign w:val="superscript"/>
          <w:lang w:val="en-US"/>
        </w:rPr>
        <w:t>-2</w:t>
      </w:r>
      <w:r w:rsidRPr="00C176E2">
        <w:rPr>
          <w:lang w:val="en-US"/>
        </w:rPr>
        <w:t>s</w:t>
      </w:r>
      <w:r w:rsidRPr="00C176E2">
        <w:rPr>
          <w:vertAlign w:val="superscript"/>
          <w:lang w:val="en-US"/>
        </w:rPr>
        <w:t>-1</w:t>
      </w:r>
      <w:r w:rsidR="00660D69">
        <w:rPr>
          <w:lang w:val="en-US"/>
        </w:rPr>
        <w:t xml:space="preserve"> is calculated to be</w:t>
      </w:r>
      <w:r w:rsidRPr="00C176E2">
        <w:rPr>
          <w:lang w:val="en-US"/>
        </w:rPr>
        <w:t xml:space="preserve"> 0.47 Bq.</w:t>
      </w:r>
      <w:r>
        <w:rPr>
          <w:lang w:val="en-US"/>
        </w:rPr>
        <w:t xml:space="preserve"> </w:t>
      </w:r>
      <w:r w:rsidR="004D4028">
        <w:rPr>
          <w:lang w:val="en-US"/>
        </w:rPr>
        <w:t>This</w:t>
      </w:r>
      <w:r w:rsidR="00EC59B5" w:rsidRPr="00EC59B5">
        <w:rPr>
          <w:lang w:val="en-US"/>
        </w:rPr>
        <w:t xml:space="preserve"> study considers a promising method for producing the </w:t>
      </w:r>
      <w:r w:rsidR="009F2F2E" w:rsidRPr="009F2F2E">
        <w:rPr>
          <w:vertAlign w:val="superscript"/>
          <w:lang w:val="en-US"/>
        </w:rPr>
        <w:t>223</w:t>
      </w:r>
      <w:r w:rsidR="009F2F2E">
        <w:rPr>
          <w:lang w:val="en-US"/>
        </w:rPr>
        <w:t>Ra</w:t>
      </w:r>
      <w:r w:rsidR="0090220B">
        <w:rPr>
          <w:lang w:val="en-US"/>
        </w:rPr>
        <w:t xml:space="preserve"> isotope. γ</w:t>
      </w:r>
      <w:r w:rsidR="00EC59B5" w:rsidRPr="00EC59B5">
        <w:rPr>
          <w:lang w:val="en-US"/>
        </w:rPr>
        <w:t xml:space="preserve">-spectrometric analysis revealed the presence of actinium, thorium, and radium isotopes and their decay products. For a comprehensive analysis of the composition of the research object, it is necessary </w:t>
      </w:r>
      <w:r w:rsidR="00EC59B5">
        <w:rPr>
          <w:lang w:val="en-US"/>
        </w:rPr>
        <w:t xml:space="preserve">to </w:t>
      </w:r>
      <w:r w:rsidR="00EC59B5" w:rsidRPr="00EC59B5">
        <w:rPr>
          <w:lang w:val="en-US"/>
        </w:rPr>
        <w:t xml:space="preserve">adjust the measuring instruments and systems for </w:t>
      </w:r>
      <w:r w:rsidR="004D4028">
        <w:rPr>
          <w:lang w:val="en-US"/>
        </w:rPr>
        <w:t xml:space="preserve">better </w:t>
      </w:r>
      <w:r w:rsidR="00EC59B5" w:rsidRPr="00EC59B5">
        <w:rPr>
          <w:lang w:val="en-US"/>
        </w:rPr>
        <w:t xml:space="preserve">efficiency in the selected geometry. Changing the geometric parameters of the target will improve the output parameters of the neutron flux and improve the production of the target </w:t>
      </w:r>
      <w:r w:rsidR="009F2F2E" w:rsidRPr="009F2F2E">
        <w:rPr>
          <w:vertAlign w:val="superscript"/>
          <w:lang w:val="en-US"/>
        </w:rPr>
        <w:t>223</w:t>
      </w:r>
      <w:r w:rsidR="009F2F2E">
        <w:rPr>
          <w:lang w:val="en-US"/>
        </w:rPr>
        <w:t>Ra</w:t>
      </w:r>
      <w:r w:rsidR="00EC59B5" w:rsidRPr="00EC59B5">
        <w:rPr>
          <w:lang w:val="en-US"/>
        </w:rPr>
        <w:t xml:space="preserve"> isotope. The upcoming studies are planned to be carried out at a research nuclear reactor which will allow us to get closer to producing the target isotope </w:t>
      </w:r>
      <w:r w:rsidR="009F2F2E">
        <w:rPr>
          <w:vertAlign w:val="superscript"/>
          <w:lang w:val="en-US"/>
        </w:rPr>
        <w:t>223</w:t>
      </w:r>
      <w:r w:rsidR="009F2F2E">
        <w:rPr>
          <w:lang w:val="en-US"/>
        </w:rPr>
        <w:t>Ra</w:t>
      </w:r>
      <w:r w:rsidR="00EC59B5" w:rsidRPr="00EC59B5">
        <w:rPr>
          <w:lang w:val="en-US"/>
        </w:rPr>
        <w:t>.</w:t>
      </w:r>
    </w:p>
    <w:p w:rsidR="00EC59B5" w:rsidRDefault="00EC59B5" w:rsidP="00C072B8">
      <w:pPr>
        <w:pStyle w:val="Heading"/>
        <w:rPr>
          <w:lang w:val="en-US"/>
        </w:rPr>
      </w:pPr>
      <w:r>
        <w:rPr>
          <w:lang w:val="en-US"/>
        </w:rPr>
        <w:t>REFERENCES</w:t>
      </w:r>
    </w:p>
    <w:p w:rsidR="00EC59B5" w:rsidRPr="00603BB4" w:rsidRDefault="00EC59B5" w:rsidP="00B507F0">
      <w:pPr>
        <w:pStyle w:val="References"/>
        <w:tabs>
          <w:tab w:val="clear" w:pos="360"/>
        </w:tabs>
        <w:rPr>
          <w:lang w:val="en-US"/>
        </w:rPr>
      </w:pPr>
      <w:bookmarkStart w:id="2" w:name="_Ref171940168"/>
      <w:r w:rsidRPr="00B507F0">
        <w:rPr>
          <w:lang w:val="en-US"/>
        </w:rPr>
        <w:t>Butkaluk P.S., Obtaining experimental samples of alpha-emitting radionuclides for medical purposes // Collect</w:t>
      </w:r>
      <w:r w:rsidR="00B507F0" w:rsidRPr="00B507F0">
        <w:rPr>
          <w:lang w:val="en-US"/>
        </w:rPr>
        <w:t xml:space="preserve">ion of works of JSC SRC RIAR, </w:t>
      </w:r>
      <w:r w:rsidRPr="00B507F0">
        <w:rPr>
          <w:lang w:val="en-US"/>
        </w:rPr>
        <w:t>2018.</w:t>
      </w:r>
      <w:bookmarkEnd w:id="2"/>
    </w:p>
    <w:p w:rsidR="00D810B0" w:rsidRPr="00D810B0" w:rsidRDefault="00D810B0" w:rsidP="00D810B0">
      <w:pPr>
        <w:pStyle w:val="References"/>
        <w:rPr>
          <w:lang w:val="en-US"/>
        </w:rPr>
      </w:pPr>
      <w:bookmarkStart w:id="3" w:name="_Ref105518534"/>
      <w:r w:rsidRPr="00D810B0">
        <w:rPr>
          <w:lang w:val="en-US"/>
        </w:rPr>
        <w:t>TENDL-2019: Evaluated Nuclear Data Library – Rn-222 neutron c</w:t>
      </w:r>
      <w:r>
        <w:rPr>
          <w:lang w:val="en-US"/>
        </w:rPr>
        <w:t>ross-sections (MT102)</w:t>
      </w:r>
      <w:r w:rsidR="00F351C5">
        <w:rPr>
          <w:lang w:val="en-US"/>
        </w:rPr>
        <w:t xml:space="preserve"> // Data set, 2019</w:t>
      </w:r>
      <w:r w:rsidRPr="00D810B0">
        <w:rPr>
          <w:lang w:val="en-US"/>
        </w:rPr>
        <w:t>.</w:t>
      </w:r>
    </w:p>
    <w:p w:rsidR="00C06B7A" w:rsidRPr="009F2F2E" w:rsidRDefault="00EC59B5" w:rsidP="00D810B0">
      <w:pPr>
        <w:pStyle w:val="References"/>
        <w:rPr>
          <w:lang w:val="en-US"/>
        </w:rPr>
      </w:pPr>
      <w:r w:rsidRPr="008D6103">
        <w:rPr>
          <w:rStyle w:val="ng-isolate-scope"/>
          <w:lang w:val="en-US"/>
        </w:rPr>
        <w:t>Boyko</w:t>
      </w:r>
      <w:r w:rsidR="00B507F0" w:rsidRPr="008D6103">
        <w:rPr>
          <w:rStyle w:val="ng-isolate-scope"/>
          <w:lang w:val="en-US"/>
        </w:rPr>
        <w:t xml:space="preserve"> V.I., Zherin I.I., Karatayev V.D, </w:t>
      </w:r>
      <w:r w:rsidRPr="008D6103">
        <w:rPr>
          <w:rStyle w:val="ng-isolate-scope"/>
          <w:lang w:val="en-US"/>
        </w:rPr>
        <w:t>Methods and instruments for measuring nuclear and other radioactive materials: a tutorial /</w:t>
      </w:r>
      <w:r w:rsidR="00B507F0" w:rsidRPr="008D6103">
        <w:rPr>
          <w:rStyle w:val="ng-isolate-scope"/>
          <w:lang w:val="en-US"/>
        </w:rPr>
        <w:t xml:space="preserve">/ </w:t>
      </w:r>
      <w:r w:rsidRPr="008D6103">
        <w:rPr>
          <w:rStyle w:val="ng-isolate-scope"/>
          <w:lang w:val="en-US"/>
        </w:rPr>
        <w:t xml:space="preserve">Publishing house of the International Scientific and Technical Center, </w:t>
      </w:r>
      <w:r w:rsidR="00B507F0" w:rsidRPr="008D6103">
        <w:rPr>
          <w:rStyle w:val="ng-isolate-scope"/>
          <w:lang w:val="en-US"/>
        </w:rPr>
        <w:t xml:space="preserve">Moscow, </w:t>
      </w:r>
      <w:r w:rsidRPr="008D6103">
        <w:rPr>
          <w:rStyle w:val="ng-isolate-scope"/>
          <w:lang w:val="en-US"/>
        </w:rPr>
        <w:t>2011.</w:t>
      </w:r>
      <w:bookmarkEnd w:id="3"/>
    </w:p>
    <w:sectPr w:rsidR="00C06B7A" w:rsidRPr="009F2F2E" w:rsidSect="00EA000D">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534" w:rsidRDefault="00064534" w:rsidP="00EA000D">
      <w:pPr>
        <w:spacing w:line="240" w:lineRule="auto"/>
      </w:pPr>
      <w:r>
        <w:separator/>
      </w:r>
    </w:p>
  </w:endnote>
  <w:endnote w:type="continuationSeparator" w:id="0">
    <w:p w:rsidR="00064534" w:rsidRDefault="00064534" w:rsidP="00EA00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578793"/>
      <w:docPartObj>
        <w:docPartGallery w:val="Page Numbers (Bottom of Page)"/>
        <w:docPartUnique/>
      </w:docPartObj>
    </w:sdtPr>
    <w:sdtEndPr/>
    <w:sdtContent>
      <w:p w:rsidR="0090220B" w:rsidRDefault="0090220B">
        <w:pPr>
          <w:pStyle w:val="af1"/>
          <w:jc w:val="right"/>
        </w:pPr>
        <w:r w:rsidRPr="00EA000D">
          <w:rPr>
            <w:sz w:val="20"/>
          </w:rPr>
          <w:fldChar w:fldCharType="begin"/>
        </w:r>
        <w:r w:rsidRPr="00EA000D">
          <w:rPr>
            <w:sz w:val="20"/>
          </w:rPr>
          <w:instrText>PAGE   \* MERGEFORMAT</w:instrText>
        </w:r>
        <w:r w:rsidRPr="00EA000D">
          <w:rPr>
            <w:sz w:val="20"/>
          </w:rPr>
          <w:fldChar w:fldCharType="separate"/>
        </w:r>
        <w:r w:rsidR="00E81D6D">
          <w:rPr>
            <w:noProof/>
            <w:sz w:val="20"/>
          </w:rPr>
          <w:t>2</w:t>
        </w:r>
        <w:r w:rsidRPr="00EA000D">
          <w:rPr>
            <w:sz w:val="20"/>
          </w:rPr>
          <w:fldChar w:fldCharType="end"/>
        </w:r>
      </w:p>
    </w:sdtContent>
  </w:sdt>
  <w:p w:rsidR="0090220B" w:rsidRDefault="0090220B">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534" w:rsidRDefault="00064534" w:rsidP="00EA000D">
      <w:pPr>
        <w:spacing w:line="240" w:lineRule="auto"/>
      </w:pPr>
      <w:r>
        <w:separator/>
      </w:r>
    </w:p>
  </w:footnote>
  <w:footnote w:type="continuationSeparator" w:id="0">
    <w:p w:rsidR="00064534" w:rsidRDefault="00064534" w:rsidP="00EA000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FE40D84"/>
    <w:lvl w:ilvl="0">
      <w:start w:val="1"/>
      <w:numFmt w:val="decimal"/>
      <w:pStyle w:val="a"/>
      <w:lvlText w:val="%1."/>
      <w:lvlJc w:val="left"/>
      <w:pPr>
        <w:tabs>
          <w:tab w:val="num" w:pos="360"/>
        </w:tabs>
        <w:ind w:left="360" w:hanging="360"/>
      </w:pPr>
    </w:lvl>
  </w:abstractNum>
  <w:abstractNum w:abstractNumId="1">
    <w:nsid w:val="00000001"/>
    <w:multiLevelType w:val="multilevel"/>
    <w:tmpl w:val="00000002"/>
    <w:name w:val="WW8Num2"/>
    <w:lvl w:ilvl="0">
      <w:start w:val="1"/>
      <w:numFmt w:val="decimal"/>
      <w:lvlText w:val="%1."/>
      <w:lvlJc w:val="left"/>
      <w:pPr>
        <w:tabs>
          <w:tab w:val="left" w:pos="0"/>
        </w:tabs>
        <w:ind w:left="360" w:hanging="360"/>
      </w:pPr>
      <w:rPr>
        <w:rFonts w:eastAsia="Times New Roman" w:cs="Times New Roman"/>
        <w:b w:val="0"/>
        <w:color w:val="000000"/>
        <w:sz w:val="28"/>
        <w:szCs w:val="28"/>
        <w:lang w:val="en-US"/>
      </w:rPr>
    </w:lvl>
    <w:lvl w:ilvl="1">
      <w:start w:val="1"/>
      <w:numFmt w:val="lowerLetter"/>
      <w:lvlText w:val="%2."/>
      <w:lvlJc w:val="left"/>
      <w:pPr>
        <w:tabs>
          <w:tab w:val="left" w:pos="0"/>
        </w:tabs>
        <w:ind w:left="1080" w:hanging="360"/>
      </w:pPr>
    </w:lvl>
    <w:lvl w:ilvl="2">
      <w:start w:val="1"/>
      <w:numFmt w:val="lowerRoman"/>
      <w:lvlText w:val="%2.%3."/>
      <w:lvlJc w:val="right"/>
      <w:pPr>
        <w:tabs>
          <w:tab w:val="left" w:pos="0"/>
        </w:tabs>
        <w:ind w:left="1800" w:hanging="180"/>
      </w:pPr>
    </w:lvl>
    <w:lvl w:ilvl="3">
      <w:start w:val="1"/>
      <w:numFmt w:val="decimal"/>
      <w:lvlText w:val="%2.%3.%4."/>
      <w:lvlJc w:val="left"/>
      <w:pPr>
        <w:tabs>
          <w:tab w:val="left" w:pos="0"/>
        </w:tabs>
        <w:ind w:left="2520" w:hanging="360"/>
      </w:pPr>
    </w:lvl>
    <w:lvl w:ilvl="4">
      <w:start w:val="1"/>
      <w:numFmt w:val="lowerLetter"/>
      <w:lvlText w:val="%2.%3.%4.%5."/>
      <w:lvlJc w:val="left"/>
      <w:pPr>
        <w:tabs>
          <w:tab w:val="left" w:pos="0"/>
        </w:tabs>
        <w:ind w:left="3240" w:hanging="360"/>
      </w:pPr>
    </w:lvl>
    <w:lvl w:ilvl="5">
      <w:start w:val="1"/>
      <w:numFmt w:val="lowerRoman"/>
      <w:lvlText w:val="%2.%3.%4.%5.%6."/>
      <w:lvlJc w:val="right"/>
      <w:pPr>
        <w:tabs>
          <w:tab w:val="left" w:pos="0"/>
        </w:tabs>
        <w:ind w:left="3960" w:hanging="180"/>
      </w:pPr>
    </w:lvl>
    <w:lvl w:ilvl="6">
      <w:start w:val="1"/>
      <w:numFmt w:val="decimal"/>
      <w:lvlText w:val="%2.%3.%4.%5.%6.%7."/>
      <w:lvlJc w:val="left"/>
      <w:pPr>
        <w:tabs>
          <w:tab w:val="left" w:pos="0"/>
        </w:tabs>
        <w:ind w:left="4680" w:hanging="360"/>
      </w:pPr>
    </w:lvl>
    <w:lvl w:ilvl="7">
      <w:start w:val="1"/>
      <w:numFmt w:val="lowerLetter"/>
      <w:lvlText w:val="%2.%3.%4.%5.%6.%7.%8."/>
      <w:lvlJc w:val="left"/>
      <w:pPr>
        <w:tabs>
          <w:tab w:val="left" w:pos="0"/>
        </w:tabs>
        <w:ind w:left="5400" w:hanging="360"/>
      </w:pPr>
    </w:lvl>
    <w:lvl w:ilvl="8">
      <w:start w:val="1"/>
      <w:numFmt w:val="lowerRoman"/>
      <w:lvlText w:val="%2.%3.%4.%5.%6.%7.%8.%9."/>
      <w:lvlJc w:val="right"/>
      <w:pPr>
        <w:tabs>
          <w:tab w:val="left" w:pos="0"/>
        </w:tabs>
        <w:ind w:left="6120" w:hanging="180"/>
      </w:pPr>
    </w:lvl>
  </w:abstractNum>
  <w:abstractNum w:abstractNumId="2">
    <w:nsid w:val="2CC65645"/>
    <w:multiLevelType w:val="hybridMultilevel"/>
    <w:tmpl w:val="9B849EB4"/>
    <w:lvl w:ilvl="0" w:tplc="58AAC844">
      <w:start w:val="1"/>
      <w:numFmt w:val="decimal"/>
      <w:pStyle w:val="References"/>
      <w:lvlText w:val="%1."/>
      <w:lvlJc w:val="left"/>
      <w:pPr>
        <w:tabs>
          <w:tab w:val="num" w:pos="360"/>
        </w:tabs>
        <w:ind w:left="340" w:hanging="340"/>
      </w:pPr>
      <w:rPr>
        <w:rFonts w:ascii="Times New Roman" w:hAnsi="Times New Roman"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1B4E04"/>
    <w:multiLevelType w:val="hybridMultilevel"/>
    <w:tmpl w:val="66F2C330"/>
    <w:lvl w:ilvl="0" w:tplc="3752CE44">
      <w:start w:val="1"/>
      <w:numFmt w:val="decimal"/>
      <w:pStyle w:val="Figure"/>
      <w:lvlText w:val="Fig. %1."/>
      <w:lvlJc w:val="left"/>
      <w:pPr>
        <w:tabs>
          <w:tab w:val="num" w:pos="1080"/>
        </w:tabs>
        <w:ind w:left="0" w:firstLine="0"/>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num>
  <w:num w:numId="3">
    <w:abstractNumId w:val="2"/>
  </w:num>
  <w:num w:numId="4">
    <w:abstractNumId w:val="3"/>
  </w:num>
  <w:num w:numId="5">
    <w:abstractNumId w:val="3"/>
  </w:num>
  <w:num w:numId="6">
    <w:abstractNumId w:val="3"/>
  </w:num>
  <w:num w:numId="7">
    <w:abstractNumId w:val="2"/>
  </w:num>
  <w:num w:numId="8">
    <w:abstractNumId w:val="3"/>
  </w:num>
  <w:num w:numId="9">
    <w:abstractNumId w:val="2"/>
  </w:num>
  <w:num w:numId="10">
    <w:abstractNumId w:val="2"/>
  </w:num>
  <w:num w:numId="11">
    <w:abstractNumId w:val="3"/>
  </w:num>
  <w:num w:numId="12">
    <w:abstractNumId w:val="3"/>
  </w:num>
  <w:num w:numId="13">
    <w:abstractNumId w:val="2"/>
  </w:num>
  <w:num w:numId="14">
    <w:abstractNumId w:val="3"/>
  </w:num>
  <w:num w:numId="15">
    <w:abstractNumId w:val="2"/>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EB"/>
    <w:rsid w:val="00045D56"/>
    <w:rsid w:val="00062716"/>
    <w:rsid w:val="00064534"/>
    <w:rsid w:val="00123731"/>
    <w:rsid w:val="0013778D"/>
    <w:rsid w:val="001A0D88"/>
    <w:rsid w:val="00243043"/>
    <w:rsid w:val="002B6093"/>
    <w:rsid w:val="0033281B"/>
    <w:rsid w:val="00353006"/>
    <w:rsid w:val="0036003E"/>
    <w:rsid w:val="003602A8"/>
    <w:rsid w:val="003715EB"/>
    <w:rsid w:val="004D4028"/>
    <w:rsid w:val="00534D31"/>
    <w:rsid w:val="0053556B"/>
    <w:rsid w:val="00536E4F"/>
    <w:rsid w:val="00575A9D"/>
    <w:rsid w:val="00603BB4"/>
    <w:rsid w:val="00614E0F"/>
    <w:rsid w:val="00660D69"/>
    <w:rsid w:val="00687049"/>
    <w:rsid w:val="006A0781"/>
    <w:rsid w:val="00870CE4"/>
    <w:rsid w:val="008D6103"/>
    <w:rsid w:val="008E2073"/>
    <w:rsid w:val="008E4F05"/>
    <w:rsid w:val="008E63DF"/>
    <w:rsid w:val="0090220B"/>
    <w:rsid w:val="009328C2"/>
    <w:rsid w:val="009B483D"/>
    <w:rsid w:val="009F2F2E"/>
    <w:rsid w:val="00B507F0"/>
    <w:rsid w:val="00BA05C9"/>
    <w:rsid w:val="00C06B7A"/>
    <w:rsid w:val="00C072B8"/>
    <w:rsid w:val="00C176E2"/>
    <w:rsid w:val="00C4669E"/>
    <w:rsid w:val="00C5217E"/>
    <w:rsid w:val="00C52D27"/>
    <w:rsid w:val="00C57A9E"/>
    <w:rsid w:val="00C662BC"/>
    <w:rsid w:val="00CC5BF1"/>
    <w:rsid w:val="00D7750C"/>
    <w:rsid w:val="00D810B0"/>
    <w:rsid w:val="00DA5EF2"/>
    <w:rsid w:val="00E54C20"/>
    <w:rsid w:val="00E57E38"/>
    <w:rsid w:val="00E73E52"/>
    <w:rsid w:val="00E81D6D"/>
    <w:rsid w:val="00E92B0B"/>
    <w:rsid w:val="00EA000D"/>
    <w:rsid w:val="00EC59B5"/>
    <w:rsid w:val="00F351C5"/>
    <w:rsid w:val="00F54449"/>
    <w:rsid w:val="00F76498"/>
    <w:rsid w:val="00F943FB"/>
    <w:rsid w:val="00FD1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C5BF1"/>
    <w:pPr>
      <w:tabs>
        <w:tab w:val="left" w:pos="567"/>
      </w:tabs>
      <w:spacing w:line="360" w:lineRule="auto"/>
      <w:jc w:val="both"/>
    </w:pPr>
    <w:rPr>
      <w:sz w:val="24"/>
      <w:szCs w:val="24"/>
      <w:lang w:eastAsia="en-US"/>
    </w:rPr>
  </w:style>
  <w:style w:type="paragraph" w:styleId="1">
    <w:name w:val="heading 1"/>
    <w:basedOn w:val="Basic"/>
    <w:qFormat/>
    <w:pPr>
      <w:keepNext/>
      <w:jc w:val="center"/>
      <w:outlineLvl w:val="0"/>
    </w:pPr>
    <w:rPr>
      <w:rFonts w:cs="Arial"/>
      <w:bCs/>
      <w:caps/>
      <w:sz w:val="28"/>
      <w:szCs w:val="32"/>
    </w:rPr>
  </w:style>
  <w:style w:type="paragraph" w:styleId="2">
    <w:name w:val="heading 2"/>
    <w:basedOn w:val="Basic"/>
    <w:next w:val="BodyL"/>
    <w:qFormat/>
    <w:pPr>
      <w:keepNext/>
      <w:jc w:val="center"/>
      <w:outlineLvl w:val="1"/>
    </w:pPr>
    <w:rPr>
      <w:rFonts w:cs="Arial"/>
      <w:bCs/>
      <w:i/>
      <w:iCs/>
      <w:sz w:val="28"/>
      <w:szCs w:val="28"/>
    </w:rPr>
  </w:style>
  <w:style w:type="paragraph" w:styleId="3">
    <w:name w:val="heading 3"/>
    <w:basedOn w:val="Basic"/>
    <w:next w:val="BodyL"/>
    <w:qFormat/>
    <w:pPr>
      <w:jc w:val="left"/>
      <w:outlineLvl w:val="2"/>
    </w:pPr>
    <w:rPr>
      <w:rFonts w:cs="Arial"/>
      <w:b/>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pPr>
      <w:spacing w:after="120"/>
    </w:pPr>
  </w:style>
  <w:style w:type="paragraph" w:styleId="a5">
    <w:name w:val="caption"/>
    <w:basedOn w:val="a0"/>
    <w:next w:val="a0"/>
    <w:uiPriority w:val="35"/>
    <w:qFormat/>
    <w:pPr>
      <w:spacing w:before="120" w:after="120"/>
    </w:pPr>
    <w:rPr>
      <w:b/>
      <w:bCs/>
      <w:szCs w:val="20"/>
    </w:rPr>
  </w:style>
  <w:style w:type="paragraph" w:styleId="a6">
    <w:name w:val="endnote text"/>
    <w:basedOn w:val="a0"/>
    <w:semiHidden/>
    <w:pPr>
      <w:spacing w:line="240" w:lineRule="auto"/>
      <w:jc w:val="left"/>
    </w:pPr>
    <w:rPr>
      <w:szCs w:val="20"/>
    </w:rPr>
  </w:style>
  <w:style w:type="paragraph" w:styleId="a7">
    <w:name w:val="footnote text"/>
    <w:basedOn w:val="Basic"/>
    <w:semiHidden/>
    <w:pPr>
      <w:spacing w:line="240" w:lineRule="auto"/>
      <w:ind w:firstLine="0"/>
      <w:jc w:val="left"/>
    </w:pPr>
    <w:rPr>
      <w:sz w:val="20"/>
    </w:rPr>
  </w:style>
  <w:style w:type="paragraph" w:styleId="a8">
    <w:name w:val="header"/>
    <w:basedOn w:val="a0"/>
    <w:next w:val="a0"/>
    <w:semiHidden/>
    <w:pPr>
      <w:tabs>
        <w:tab w:val="center" w:pos="4678"/>
        <w:tab w:val="right" w:pos="9356"/>
      </w:tabs>
    </w:pPr>
  </w:style>
  <w:style w:type="paragraph" w:styleId="a">
    <w:name w:val="List Number"/>
    <w:basedOn w:val="a0"/>
    <w:semiHidden/>
    <w:pPr>
      <w:numPr>
        <w:numId w:val="2"/>
      </w:numPr>
    </w:pPr>
  </w:style>
  <w:style w:type="character" w:styleId="a9">
    <w:name w:val="page number"/>
    <w:basedOn w:val="a1"/>
    <w:semiHidden/>
    <w:rPr>
      <w:sz w:val="20"/>
    </w:rPr>
  </w:style>
  <w:style w:type="paragraph" w:styleId="aa">
    <w:name w:val="Title"/>
    <w:basedOn w:val="Basic"/>
    <w:qFormat/>
    <w:pPr>
      <w:ind w:firstLine="0"/>
      <w:jc w:val="center"/>
      <w:outlineLvl w:val="0"/>
    </w:pPr>
    <w:rPr>
      <w:rFonts w:cs="Arial"/>
      <w:b/>
      <w:bCs/>
      <w:caps/>
      <w:sz w:val="28"/>
      <w:szCs w:val="32"/>
    </w:rPr>
  </w:style>
  <w:style w:type="paragraph" w:styleId="ab">
    <w:name w:val="Subtitle"/>
    <w:basedOn w:val="aa"/>
    <w:next w:val="a0"/>
    <w:qFormat/>
    <w:pPr>
      <w:outlineLvl w:val="1"/>
    </w:pPr>
    <w:rPr>
      <w:caps w:val="0"/>
    </w:rPr>
  </w:style>
  <w:style w:type="paragraph" w:customStyle="1" w:styleId="TitleArticle">
    <w:name w:val="TitleArticle"/>
    <w:basedOn w:val="Basic"/>
    <w:pPr>
      <w:spacing w:before="240" w:after="360"/>
      <w:ind w:firstLine="0"/>
      <w:jc w:val="center"/>
      <w:outlineLvl w:val="0"/>
    </w:pPr>
    <w:rPr>
      <w:b/>
      <w:caps/>
      <w:sz w:val="28"/>
    </w:rPr>
  </w:style>
  <w:style w:type="paragraph" w:customStyle="1" w:styleId="PACS">
    <w:name w:val="PACS"/>
    <w:basedOn w:val="Abstract"/>
  </w:style>
  <w:style w:type="paragraph" w:customStyle="1" w:styleId="MTDisplayEquation">
    <w:name w:val="MTDisplayEquation"/>
    <w:basedOn w:val="Basic"/>
    <w:next w:val="BodyLNoTab"/>
    <w:pPr>
      <w:tabs>
        <w:tab w:val="center" w:pos="4680"/>
        <w:tab w:val="right" w:pos="9080"/>
      </w:tabs>
      <w:ind w:firstLine="0"/>
    </w:pPr>
    <w:rPr>
      <w:lang w:val="en-US"/>
    </w:rPr>
  </w:style>
  <w:style w:type="paragraph" w:customStyle="1" w:styleId="EquationNoNum">
    <w:name w:val="EquationNoNum"/>
    <w:basedOn w:val="Equation"/>
    <w:pPr>
      <w:jc w:val="center"/>
    </w:pPr>
  </w:style>
  <w:style w:type="paragraph" w:customStyle="1" w:styleId="Appendix">
    <w:name w:val="Appendix"/>
    <w:basedOn w:val="Basic"/>
    <w:pPr>
      <w:tabs>
        <w:tab w:val="left" w:pos="567"/>
      </w:tabs>
      <w:spacing w:before="240" w:after="120"/>
      <w:ind w:firstLine="0"/>
      <w:jc w:val="right"/>
    </w:pPr>
    <w:rPr>
      <w:i/>
    </w:rPr>
  </w:style>
  <w:style w:type="paragraph" w:customStyle="1" w:styleId="UDK">
    <w:name w:val="UDK"/>
    <w:basedOn w:val="Basic"/>
    <w:next w:val="TitleArticle"/>
    <w:pPr>
      <w:ind w:firstLine="0"/>
      <w:jc w:val="left"/>
    </w:pPr>
    <w:rPr>
      <w:i/>
      <w:sz w:val="28"/>
    </w:rPr>
  </w:style>
  <w:style w:type="paragraph" w:customStyle="1" w:styleId="BodyL">
    <w:name w:val="BodyL."/>
    <w:basedOn w:val="Basic"/>
  </w:style>
  <w:style w:type="paragraph" w:customStyle="1" w:styleId="Rubric">
    <w:name w:val="Rubric"/>
    <w:basedOn w:val="Basic"/>
    <w:pPr>
      <w:spacing w:after="120"/>
      <w:jc w:val="center"/>
    </w:pPr>
    <w:rPr>
      <w:b/>
      <w:caps/>
      <w:sz w:val="28"/>
    </w:rPr>
  </w:style>
  <w:style w:type="paragraph" w:customStyle="1" w:styleId="Author">
    <w:name w:val="Author"/>
    <w:basedOn w:val="Basic"/>
    <w:pPr>
      <w:spacing w:before="120" w:after="120"/>
      <w:jc w:val="center"/>
    </w:pPr>
    <w:rPr>
      <w:b/>
      <w:sz w:val="28"/>
    </w:rPr>
  </w:style>
  <w:style w:type="paragraph" w:customStyle="1" w:styleId="Address">
    <w:name w:val="Address"/>
    <w:basedOn w:val="Basic"/>
    <w:pPr>
      <w:spacing w:after="240" w:line="240" w:lineRule="auto"/>
      <w:jc w:val="center"/>
    </w:pPr>
    <w:rPr>
      <w:i/>
      <w:sz w:val="26"/>
    </w:rPr>
  </w:style>
  <w:style w:type="paragraph" w:customStyle="1" w:styleId="ManReceived">
    <w:name w:val="ManReceived"/>
    <w:basedOn w:val="Address"/>
    <w:pPr>
      <w:spacing w:before="120"/>
    </w:pPr>
    <w:rPr>
      <w:i w:val="0"/>
    </w:rPr>
  </w:style>
  <w:style w:type="paragraph" w:customStyle="1" w:styleId="Abstract">
    <w:name w:val="Abstract"/>
    <w:basedOn w:val="Basic"/>
    <w:pPr>
      <w:spacing w:before="120" w:after="120" w:line="240" w:lineRule="auto"/>
      <w:ind w:firstLine="0"/>
    </w:pPr>
    <w:rPr>
      <w:sz w:val="20"/>
    </w:rPr>
  </w:style>
  <w:style w:type="paragraph" w:customStyle="1" w:styleId="Body">
    <w:name w:val="Body"/>
    <w:basedOn w:val="Basic"/>
  </w:style>
  <w:style w:type="paragraph" w:customStyle="1" w:styleId="Heading">
    <w:name w:val="Heading"/>
    <w:basedOn w:val="Basic"/>
    <w:next w:val="BodyL"/>
    <w:pPr>
      <w:keepNext/>
      <w:spacing w:before="240" w:after="120"/>
      <w:ind w:firstLine="0"/>
      <w:jc w:val="center"/>
      <w:outlineLvl w:val="0"/>
    </w:pPr>
    <w:rPr>
      <w:caps/>
      <w:sz w:val="28"/>
    </w:rPr>
  </w:style>
  <w:style w:type="paragraph" w:customStyle="1" w:styleId="Subheading">
    <w:name w:val="Subheading"/>
    <w:basedOn w:val="Basic"/>
    <w:next w:val="BodyL"/>
    <w:pPr>
      <w:keepNext/>
      <w:spacing w:before="240" w:after="120"/>
      <w:ind w:firstLine="0"/>
      <w:jc w:val="center"/>
      <w:outlineLvl w:val="1"/>
    </w:pPr>
    <w:rPr>
      <w:i/>
      <w:sz w:val="28"/>
    </w:rPr>
  </w:style>
  <w:style w:type="paragraph" w:customStyle="1" w:styleId="Footnote">
    <w:name w:val="Footnote"/>
    <w:basedOn w:val="Basic"/>
    <w:pPr>
      <w:spacing w:line="240" w:lineRule="auto"/>
      <w:ind w:firstLine="0"/>
      <w:jc w:val="left"/>
    </w:pPr>
    <w:rPr>
      <w:sz w:val="20"/>
    </w:rPr>
  </w:style>
  <w:style w:type="paragraph" w:customStyle="1" w:styleId="Figure">
    <w:name w:val="Figure"/>
    <w:basedOn w:val="Basic"/>
    <w:pPr>
      <w:numPr>
        <w:numId w:val="16"/>
      </w:numPr>
      <w:spacing w:before="120" w:after="120"/>
    </w:pPr>
  </w:style>
  <w:style w:type="paragraph" w:customStyle="1" w:styleId="References">
    <w:name w:val="References"/>
    <w:basedOn w:val="Basic"/>
    <w:pPr>
      <w:numPr>
        <w:numId w:val="15"/>
      </w:numPr>
    </w:pPr>
  </w:style>
  <w:style w:type="paragraph" w:customStyle="1" w:styleId="Equation">
    <w:name w:val="Equation"/>
    <w:basedOn w:val="Basic"/>
    <w:pPr>
      <w:tabs>
        <w:tab w:val="center" w:pos="4536"/>
        <w:tab w:val="right" w:pos="9078"/>
      </w:tabs>
      <w:overflowPunct w:val="0"/>
      <w:autoSpaceDE w:val="0"/>
      <w:autoSpaceDN w:val="0"/>
      <w:adjustRightInd w:val="0"/>
      <w:spacing w:before="120" w:after="120"/>
      <w:ind w:firstLine="0"/>
      <w:textAlignment w:val="baseline"/>
    </w:pPr>
    <w:rPr>
      <w:noProof/>
      <w:szCs w:val="28"/>
      <w:lang w:val="en-US" w:eastAsia="de-DE"/>
    </w:rPr>
  </w:style>
  <w:style w:type="paragraph" w:customStyle="1" w:styleId="BodyNoTab">
    <w:name w:val="BodyNoTab"/>
    <w:basedOn w:val="Body"/>
    <w:next w:val="Body"/>
    <w:pPr>
      <w:tabs>
        <w:tab w:val="left" w:pos="567"/>
      </w:tabs>
      <w:ind w:firstLine="0"/>
    </w:pPr>
  </w:style>
  <w:style w:type="paragraph" w:customStyle="1" w:styleId="TableTitle">
    <w:name w:val="TableTitle"/>
    <w:basedOn w:val="Basic"/>
    <w:pPr>
      <w:spacing w:before="240" w:after="120"/>
    </w:pPr>
    <w:rPr>
      <w:sz w:val="28"/>
    </w:rPr>
  </w:style>
  <w:style w:type="paragraph" w:customStyle="1" w:styleId="BodyLNoTab">
    <w:name w:val="BodyL.NoTab"/>
    <w:basedOn w:val="BodyL"/>
    <w:next w:val="BodyL"/>
    <w:pPr>
      <w:ind w:firstLine="0"/>
    </w:pPr>
  </w:style>
  <w:style w:type="paragraph" w:customStyle="1" w:styleId="Basic">
    <w:name w:val="Basic"/>
    <w:pPr>
      <w:spacing w:line="360" w:lineRule="auto"/>
      <w:ind w:firstLine="567"/>
      <w:jc w:val="both"/>
    </w:pPr>
    <w:rPr>
      <w:sz w:val="24"/>
      <w:lang w:eastAsia="en-US"/>
    </w:rPr>
  </w:style>
  <w:style w:type="paragraph" w:customStyle="1" w:styleId="EquationNum1">
    <w:name w:val="EquationNum+1"/>
    <w:basedOn w:val="Equation"/>
  </w:style>
  <w:style w:type="paragraph" w:customStyle="1" w:styleId="TableFootnote">
    <w:name w:val="TableFootnote"/>
    <w:basedOn w:val="Basic"/>
    <w:pPr>
      <w:tabs>
        <w:tab w:val="right" w:pos="284"/>
        <w:tab w:val="left" w:pos="369"/>
      </w:tabs>
      <w:spacing w:line="240" w:lineRule="auto"/>
      <w:ind w:firstLine="0"/>
    </w:pPr>
    <w:rPr>
      <w:sz w:val="18"/>
    </w:rPr>
  </w:style>
  <w:style w:type="paragraph" w:customStyle="1" w:styleId="CellBody">
    <w:name w:val="CellBody"/>
    <w:basedOn w:val="Basic"/>
    <w:pPr>
      <w:spacing w:after="40"/>
      <w:ind w:firstLine="0"/>
      <w:jc w:val="center"/>
    </w:pPr>
  </w:style>
  <w:style w:type="paragraph" w:customStyle="1" w:styleId="CellHeading">
    <w:name w:val="CellHeading"/>
    <w:basedOn w:val="Basic"/>
    <w:pPr>
      <w:spacing w:before="40" w:after="40"/>
      <w:ind w:firstLine="0"/>
      <w:jc w:val="center"/>
    </w:pPr>
  </w:style>
  <w:style w:type="paragraph" w:customStyle="1" w:styleId="Accepted">
    <w:name w:val="Accepted"/>
    <w:basedOn w:val="ManReceived"/>
  </w:style>
  <w:style w:type="paragraph" w:customStyle="1" w:styleId="UDC">
    <w:name w:val="UDC"/>
    <w:basedOn w:val="Basic"/>
    <w:next w:val="TitleArticle"/>
    <w:pPr>
      <w:ind w:firstLine="0"/>
      <w:jc w:val="left"/>
    </w:pPr>
    <w:rPr>
      <w:i/>
      <w:sz w:val="28"/>
    </w:rPr>
  </w:style>
  <w:style w:type="character" w:styleId="ac">
    <w:name w:val="Hyperlink"/>
    <w:basedOn w:val="a1"/>
    <w:uiPriority w:val="99"/>
    <w:unhideWhenUsed/>
    <w:rsid w:val="003715EB"/>
    <w:rPr>
      <w:color w:val="0000FF" w:themeColor="hyperlink"/>
      <w:u w:val="single"/>
    </w:rPr>
  </w:style>
  <w:style w:type="paragraph" w:customStyle="1" w:styleId="ad">
    <w:name w:val="основа"/>
    <w:link w:val="ae"/>
    <w:qFormat/>
    <w:rsid w:val="00C57A9E"/>
    <w:pPr>
      <w:spacing w:line="360" w:lineRule="auto"/>
      <w:ind w:firstLine="851"/>
      <w:jc w:val="both"/>
    </w:pPr>
    <w:rPr>
      <w:rFonts w:eastAsia="Calibri"/>
      <w:sz w:val="28"/>
      <w:szCs w:val="28"/>
      <w:lang w:val="en" w:eastAsia="en-US"/>
    </w:rPr>
  </w:style>
  <w:style w:type="character" w:customStyle="1" w:styleId="ae">
    <w:name w:val="основа Знак"/>
    <w:link w:val="ad"/>
    <w:rsid w:val="00C57A9E"/>
    <w:rPr>
      <w:rFonts w:eastAsia="Calibri"/>
      <w:sz w:val="28"/>
      <w:szCs w:val="28"/>
      <w:lang w:val="en" w:eastAsia="en-US"/>
    </w:rPr>
  </w:style>
  <w:style w:type="paragraph" w:customStyle="1" w:styleId="af">
    <w:name w:val="Таблицы"/>
    <w:qFormat/>
    <w:rsid w:val="00C06B7A"/>
    <w:pPr>
      <w:keepNext/>
      <w:suppressAutoHyphens/>
      <w:spacing w:line="276" w:lineRule="auto"/>
    </w:pPr>
    <w:rPr>
      <w:rFonts w:eastAsia="Calibri"/>
      <w:bCs/>
      <w:sz w:val="28"/>
      <w:szCs w:val="18"/>
      <w:lang w:val="en" w:eastAsia="ar-SA"/>
    </w:rPr>
  </w:style>
  <w:style w:type="character" w:styleId="af0">
    <w:name w:val="Book Title"/>
    <w:uiPriority w:val="33"/>
    <w:qFormat/>
    <w:rsid w:val="00EC59B5"/>
    <w:rPr>
      <w:sz w:val="24"/>
      <w:szCs w:val="24"/>
      <w:lang w:val="en-US"/>
    </w:rPr>
  </w:style>
  <w:style w:type="character" w:customStyle="1" w:styleId="ng-isolate-scope">
    <w:name w:val="ng-isolate-scope"/>
    <w:rsid w:val="00EC59B5"/>
  </w:style>
  <w:style w:type="paragraph" w:styleId="af1">
    <w:name w:val="footer"/>
    <w:basedOn w:val="a0"/>
    <w:link w:val="af2"/>
    <w:uiPriority w:val="99"/>
    <w:unhideWhenUsed/>
    <w:rsid w:val="00EA000D"/>
    <w:pPr>
      <w:tabs>
        <w:tab w:val="clear" w:pos="567"/>
        <w:tab w:val="center" w:pos="4677"/>
        <w:tab w:val="right" w:pos="9355"/>
      </w:tabs>
      <w:spacing w:line="240" w:lineRule="auto"/>
    </w:pPr>
  </w:style>
  <w:style w:type="character" w:customStyle="1" w:styleId="af2">
    <w:name w:val="Нижний колонтитул Знак"/>
    <w:basedOn w:val="a1"/>
    <w:link w:val="af1"/>
    <w:uiPriority w:val="99"/>
    <w:rsid w:val="00EA000D"/>
    <w:rPr>
      <w:sz w:val="24"/>
      <w:szCs w:val="24"/>
      <w:lang w:eastAsia="en-US"/>
    </w:rPr>
  </w:style>
  <w:style w:type="paragraph" w:styleId="af3">
    <w:name w:val="Normal (Web)"/>
    <w:basedOn w:val="a0"/>
    <w:uiPriority w:val="99"/>
    <w:semiHidden/>
    <w:unhideWhenUsed/>
    <w:rsid w:val="00DA5EF2"/>
    <w:pPr>
      <w:tabs>
        <w:tab w:val="clear" w:pos="567"/>
      </w:tabs>
      <w:spacing w:before="100" w:beforeAutospacing="1" w:after="100" w:afterAutospacing="1" w:line="240" w:lineRule="auto"/>
      <w:jc w:val="left"/>
    </w:pPr>
    <w:rPr>
      <w:lang w:eastAsia="ru-RU"/>
    </w:rPr>
  </w:style>
  <w:style w:type="character" w:customStyle="1" w:styleId="short">
    <w:name w:val="short"/>
    <w:basedOn w:val="a1"/>
    <w:rsid w:val="0036003E"/>
  </w:style>
  <w:style w:type="paragraph" w:styleId="af4">
    <w:name w:val="Balloon Text"/>
    <w:basedOn w:val="a0"/>
    <w:link w:val="af5"/>
    <w:uiPriority w:val="99"/>
    <w:semiHidden/>
    <w:unhideWhenUsed/>
    <w:rsid w:val="00123731"/>
    <w:pPr>
      <w:spacing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123731"/>
    <w:rPr>
      <w:rFonts w:ascii="Tahoma" w:hAnsi="Tahoma" w:cs="Tahoma"/>
      <w:sz w:val="16"/>
      <w:szCs w:val="16"/>
      <w:lang w:eastAsia="en-US"/>
    </w:rPr>
  </w:style>
  <w:style w:type="table" w:styleId="af6">
    <w:name w:val="Table Grid"/>
    <w:basedOn w:val="a2"/>
    <w:uiPriority w:val="59"/>
    <w:rsid w:val="00687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C5BF1"/>
    <w:pPr>
      <w:tabs>
        <w:tab w:val="left" w:pos="567"/>
      </w:tabs>
      <w:spacing w:line="360" w:lineRule="auto"/>
      <w:jc w:val="both"/>
    </w:pPr>
    <w:rPr>
      <w:sz w:val="24"/>
      <w:szCs w:val="24"/>
      <w:lang w:eastAsia="en-US"/>
    </w:rPr>
  </w:style>
  <w:style w:type="paragraph" w:styleId="1">
    <w:name w:val="heading 1"/>
    <w:basedOn w:val="Basic"/>
    <w:qFormat/>
    <w:pPr>
      <w:keepNext/>
      <w:jc w:val="center"/>
      <w:outlineLvl w:val="0"/>
    </w:pPr>
    <w:rPr>
      <w:rFonts w:cs="Arial"/>
      <w:bCs/>
      <w:caps/>
      <w:sz w:val="28"/>
      <w:szCs w:val="32"/>
    </w:rPr>
  </w:style>
  <w:style w:type="paragraph" w:styleId="2">
    <w:name w:val="heading 2"/>
    <w:basedOn w:val="Basic"/>
    <w:next w:val="BodyL"/>
    <w:qFormat/>
    <w:pPr>
      <w:keepNext/>
      <w:jc w:val="center"/>
      <w:outlineLvl w:val="1"/>
    </w:pPr>
    <w:rPr>
      <w:rFonts w:cs="Arial"/>
      <w:bCs/>
      <w:i/>
      <w:iCs/>
      <w:sz w:val="28"/>
      <w:szCs w:val="28"/>
    </w:rPr>
  </w:style>
  <w:style w:type="paragraph" w:styleId="3">
    <w:name w:val="heading 3"/>
    <w:basedOn w:val="Basic"/>
    <w:next w:val="BodyL"/>
    <w:qFormat/>
    <w:pPr>
      <w:jc w:val="left"/>
      <w:outlineLvl w:val="2"/>
    </w:pPr>
    <w:rPr>
      <w:rFonts w:cs="Arial"/>
      <w:b/>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pPr>
      <w:spacing w:after="120"/>
    </w:pPr>
  </w:style>
  <w:style w:type="paragraph" w:styleId="a5">
    <w:name w:val="caption"/>
    <w:basedOn w:val="a0"/>
    <w:next w:val="a0"/>
    <w:uiPriority w:val="35"/>
    <w:qFormat/>
    <w:pPr>
      <w:spacing w:before="120" w:after="120"/>
    </w:pPr>
    <w:rPr>
      <w:b/>
      <w:bCs/>
      <w:szCs w:val="20"/>
    </w:rPr>
  </w:style>
  <w:style w:type="paragraph" w:styleId="a6">
    <w:name w:val="endnote text"/>
    <w:basedOn w:val="a0"/>
    <w:semiHidden/>
    <w:pPr>
      <w:spacing w:line="240" w:lineRule="auto"/>
      <w:jc w:val="left"/>
    </w:pPr>
    <w:rPr>
      <w:szCs w:val="20"/>
    </w:rPr>
  </w:style>
  <w:style w:type="paragraph" w:styleId="a7">
    <w:name w:val="footnote text"/>
    <w:basedOn w:val="Basic"/>
    <w:semiHidden/>
    <w:pPr>
      <w:spacing w:line="240" w:lineRule="auto"/>
      <w:ind w:firstLine="0"/>
      <w:jc w:val="left"/>
    </w:pPr>
    <w:rPr>
      <w:sz w:val="20"/>
    </w:rPr>
  </w:style>
  <w:style w:type="paragraph" w:styleId="a8">
    <w:name w:val="header"/>
    <w:basedOn w:val="a0"/>
    <w:next w:val="a0"/>
    <w:semiHidden/>
    <w:pPr>
      <w:tabs>
        <w:tab w:val="center" w:pos="4678"/>
        <w:tab w:val="right" w:pos="9356"/>
      </w:tabs>
    </w:pPr>
  </w:style>
  <w:style w:type="paragraph" w:styleId="a">
    <w:name w:val="List Number"/>
    <w:basedOn w:val="a0"/>
    <w:semiHidden/>
    <w:pPr>
      <w:numPr>
        <w:numId w:val="2"/>
      </w:numPr>
    </w:pPr>
  </w:style>
  <w:style w:type="character" w:styleId="a9">
    <w:name w:val="page number"/>
    <w:basedOn w:val="a1"/>
    <w:semiHidden/>
    <w:rPr>
      <w:sz w:val="20"/>
    </w:rPr>
  </w:style>
  <w:style w:type="paragraph" w:styleId="aa">
    <w:name w:val="Title"/>
    <w:basedOn w:val="Basic"/>
    <w:qFormat/>
    <w:pPr>
      <w:ind w:firstLine="0"/>
      <w:jc w:val="center"/>
      <w:outlineLvl w:val="0"/>
    </w:pPr>
    <w:rPr>
      <w:rFonts w:cs="Arial"/>
      <w:b/>
      <w:bCs/>
      <w:caps/>
      <w:sz w:val="28"/>
      <w:szCs w:val="32"/>
    </w:rPr>
  </w:style>
  <w:style w:type="paragraph" w:styleId="ab">
    <w:name w:val="Subtitle"/>
    <w:basedOn w:val="aa"/>
    <w:next w:val="a0"/>
    <w:qFormat/>
    <w:pPr>
      <w:outlineLvl w:val="1"/>
    </w:pPr>
    <w:rPr>
      <w:caps w:val="0"/>
    </w:rPr>
  </w:style>
  <w:style w:type="paragraph" w:customStyle="1" w:styleId="TitleArticle">
    <w:name w:val="TitleArticle"/>
    <w:basedOn w:val="Basic"/>
    <w:pPr>
      <w:spacing w:before="240" w:after="360"/>
      <w:ind w:firstLine="0"/>
      <w:jc w:val="center"/>
      <w:outlineLvl w:val="0"/>
    </w:pPr>
    <w:rPr>
      <w:b/>
      <w:caps/>
      <w:sz w:val="28"/>
    </w:rPr>
  </w:style>
  <w:style w:type="paragraph" w:customStyle="1" w:styleId="PACS">
    <w:name w:val="PACS"/>
    <w:basedOn w:val="Abstract"/>
  </w:style>
  <w:style w:type="paragraph" w:customStyle="1" w:styleId="MTDisplayEquation">
    <w:name w:val="MTDisplayEquation"/>
    <w:basedOn w:val="Basic"/>
    <w:next w:val="BodyLNoTab"/>
    <w:pPr>
      <w:tabs>
        <w:tab w:val="center" w:pos="4680"/>
        <w:tab w:val="right" w:pos="9080"/>
      </w:tabs>
      <w:ind w:firstLine="0"/>
    </w:pPr>
    <w:rPr>
      <w:lang w:val="en-US"/>
    </w:rPr>
  </w:style>
  <w:style w:type="paragraph" w:customStyle="1" w:styleId="EquationNoNum">
    <w:name w:val="EquationNoNum"/>
    <w:basedOn w:val="Equation"/>
    <w:pPr>
      <w:jc w:val="center"/>
    </w:pPr>
  </w:style>
  <w:style w:type="paragraph" w:customStyle="1" w:styleId="Appendix">
    <w:name w:val="Appendix"/>
    <w:basedOn w:val="Basic"/>
    <w:pPr>
      <w:tabs>
        <w:tab w:val="left" w:pos="567"/>
      </w:tabs>
      <w:spacing w:before="240" w:after="120"/>
      <w:ind w:firstLine="0"/>
      <w:jc w:val="right"/>
    </w:pPr>
    <w:rPr>
      <w:i/>
    </w:rPr>
  </w:style>
  <w:style w:type="paragraph" w:customStyle="1" w:styleId="UDK">
    <w:name w:val="UDK"/>
    <w:basedOn w:val="Basic"/>
    <w:next w:val="TitleArticle"/>
    <w:pPr>
      <w:ind w:firstLine="0"/>
      <w:jc w:val="left"/>
    </w:pPr>
    <w:rPr>
      <w:i/>
      <w:sz w:val="28"/>
    </w:rPr>
  </w:style>
  <w:style w:type="paragraph" w:customStyle="1" w:styleId="BodyL">
    <w:name w:val="BodyL."/>
    <w:basedOn w:val="Basic"/>
  </w:style>
  <w:style w:type="paragraph" w:customStyle="1" w:styleId="Rubric">
    <w:name w:val="Rubric"/>
    <w:basedOn w:val="Basic"/>
    <w:pPr>
      <w:spacing w:after="120"/>
      <w:jc w:val="center"/>
    </w:pPr>
    <w:rPr>
      <w:b/>
      <w:caps/>
      <w:sz w:val="28"/>
    </w:rPr>
  </w:style>
  <w:style w:type="paragraph" w:customStyle="1" w:styleId="Author">
    <w:name w:val="Author"/>
    <w:basedOn w:val="Basic"/>
    <w:pPr>
      <w:spacing w:before="120" w:after="120"/>
      <w:jc w:val="center"/>
    </w:pPr>
    <w:rPr>
      <w:b/>
      <w:sz w:val="28"/>
    </w:rPr>
  </w:style>
  <w:style w:type="paragraph" w:customStyle="1" w:styleId="Address">
    <w:name w:val="Address"/>
    <w:basedOn w:val="Basic"/>
    <w:pPr>
      <w:spacing w:after="240" w:line="240" w:lineRule="auto"/>
      <w:jc w:val="center"/>
    </w:pPr>
    <w:rPr>
      <w:i/>
      <w:sz w:val="26"/>
    </w:rPr>
  </w:style>
  <w:style w:type="paragraph" w:customStyle="1" w:styleId="ManReceived">
    <w:name w:val="ManReceived"/>
    <w:basedOn w:val="Address"/>
    <w:pPr>
      <w:spacing w:before="120"/>
    </w:pPr>
    <w:rPr>
      <w:i w:val="0"/>
    </w:rPr>
  </w:style>
  <w:style w:type="paragraph" w:customStyle="1" w:styleId="Abstract">
    <w:name w:val="Abstract"/>
    <w:basedOn w:val="Basic"/>
    <w:pPr>
      <w:spacing w:before="120" w:after="120" w:line="240" w:lineRule="auto"/>
      <w:ind w:firstLine="0"/>
    </w:pPr>
    <w:rPr>
      <w:sz w:val="20"/>
    </w:rPr>
  </w:style>
  <w:style w:type="paragraph" w:customStyle="1" w:styleId="Body">
    <w:name w:val="Body"/>
    <w:basedOn w:val="Basic"/>
  </w:style>
  <w:style w:type="paragraph" w:customStyle="1" w:styleId="Heading">
    <w:name w:val="Heading"/>
    <w:basedOn w:val="Basic"/>
    <w:next w:val="BodyL"/>
    <w:pPr>
      <w:keepNext/>
      <w:spacing w:before="240" w:after="120"/>
      <w:ind w:firstLine="0"/>
      <w:jc w:val="center"/>
      <w:outlineLvl w:val="0"/>
    </w:pPr>
    <w:rPr>
      <w:caps/>
      <w:sz w:val="28"/>
    </w:rPr>
  </w:style>
  <w:style w:type="paragraph" w:customStyle="1" w:styleId="Subheading">
    <w:name w:val="Subheading"/>
    <w:basedOn w:val="Basic"/>
    <w:next w:val="BodyL"/>
    <w:pPr>
      <w:keepNext/>
      <w:spacing w:before="240" w:after="120"/>
      <w:ind w:firstLine="0"/>
      <w:jc w:val="center"/>
      <w:outlineLvl w:val="1"/>
    </w:pPr>
    <w:rPr>
      <w:i/>
      <w:sz w:val="28"/>
    </w:rPr>
  </w:style>
  <w:style w:type="paragraph" w:customStyle="1" w:styleId="Footnote">
    <w:name w:val="Footnote"/>
    <w:basedOn w:val="Basic"/>
    <w:pPr>
      <w:spacing w:line="240" w:lineRule="auto"/>
      <w:ind w:firstLine="0"/>
      <w:jc w:val="left"/>
    </w:pPr>
    <w:rPr>
      <w:sz w:val="20"/>
    </w:rPr>
  </w:style>
  <w:style w:type="paragraph" w:customStyle="1" w:styleId="Figure">
    <w:name w:val="Figure"/>
    <w:basedOn w:val="Basic"/>
    <w:pPr>
      <w:numPr>
        <w:numId w:val="16"/>
      </w:numPr>
      <w:spacing w:before="120" w:after="120"/>
    </w:pPr>
  </w:style>
  <w:style w:type="paragraph" w:customStyle="1" w:styleId="References">
    <w:name w:val="References"/>
    <w:basedOn w:val="Basic"/>
    <w:pPr>
      <w:numPr>
        <w:numId w:val="15"/>
      </w:numPr>
    </w:pPr>
  </w:style>
  <w:style w:type="paragraph" w:customStyle="1" w:styleId="Equation">
    <w:name w:val="Equation"/>
    <w:basedOn w:val="Basic"/>
    <w:pPr>
      <w:tabs>
        <w:tab w:val="center" w:pos="4536"/>
        <w:tab w:val="right" w:pos="9078"/>
      </w:tabs>
      <w:overflowPunct w:val="0"/>
      <w:autoSpaceDE w:val="0"/>
      <w:autoSpaceDN w:val="0"/>
      <w:adjustRightInd w:val="0"/>
      <w:spacing w:before="120" w:after="120"/>
      <w:ind w:firstLine="0"/>
      <w:textAlignment w:val="baseline"/>
    </w:pPr>
    <w:rPr>
      <w:noProof/>
      <w:szCs w:val="28"/>
      <w:lang w:val="en-US" w:eastAsia="de-DE"/>
    </w:rPr>
  </w:style>
  <w:style w:type="paragraph" w:customStyle="1" w:styleId="BodyNoTab">
    <w:name w:val="BodyNoTab"/>
    <w:basedOn w:val="Body"/>
    <w:next w:val="Body"/>
    <w:pPr>
      <w:tabs>
        <w:tab w:val="left" w:pos="567"/>
      </w:tabs>
      <w:ind w:firstLine="0"/>
    </w:pPr>
  </w:style>
  <w:style w:type="paragraph" w:customStyle="1" w:styleId="TableTitle">
    <w:name w:val="TableTitle"/>
    <w:basedOn w:val="Basic"/>
    <w:pPr>
      <w:spacing w:before="240" w:after="120"/>
    </w:pPr>
    <w:rPr>
      <w:sz w:val="28"/>
    </w:rPr>
  </w:style>
  <w:style w:type="paragraph" w:customStyle="1" w:styleId="BodyLNoTab">
    <w:name w:val="BodyL.NoTab"/>
    <w:basedOn w:val="BodyL"/>
    <w:next w:val="BodyL"/>
    <w:pPr>
      <w:ind w:firstLine="0"/>
    </w:pPr>
  </w:style>
  <w:style w:type="paragraph" w:customStyle="1" w:styleId="Basic">
    <w:name w:val="Basic"/>
    <w:pPr>
      <w:spacing w:line="360" w:lineRule="auto"/>
      <w:ind w:firstLine="567"/>
      <w:jc w:val="both"/>
    </w:pPr>
    <w:rPr>
      <w:sz w:val="24"/>
      <w:lang w:eastAsia="en-US"/>
    </w:rPr>
  </w:style>
  <w:style w:type="paragraph" w:customStyle="1" w:styleId="EquationNum1">
    <w:name w:val="EquationNum+1"/>
    <w:basedOn w:val="Equation"/>
  </w:style>
  <w:style w:type="paragraph" w:customStyle="1" w:styleId="TableFootnote">
    <w:name w:val="TableFootnote"/>
    <w:basedOn w:val="Basic"/>
    <w:pPr>
      <w:tabs>
        <w:tab w:val="right" w:pos="284"/>
        <w:tab w:val="left" w:pos="369"/>
      </w:tabs>
      <w:spacing w:line="240" w:lineRule="auto"/>
      <w:ind w:firstLine="0"/>
    </w:pPr>
    <w:rPr>
      <w:sz w:val="18"/>
    </w:rPr>
  </w:style>
  <w:style w:type="paragraph" w:customStyle="1" w:styleId="CellBody">
    <w:name w:val="CellBody"/>
    <w:basedOn w:val="Basic"/>
    <w:pPr>
      <w:spacing w:after="40"/>
      <w:ind w:firstLine="0"/>
      <w:jc w:val="center"/>
    </w:pPr>
  </w:style>
  <w:style w:type="paragraph" w:customStyle="1" w:styleId="CellHeading">
    <w:name w:val="CellHeading"/>
    <w:basedOn w:val="Basic"/>
    <w:pPr>
      <w:spacing w:before="40" w:after="40"/>
      <w:ind w:firstLine="0"/>
      <w:jc w:val="center"/>
    </w:pPr>
  </w:style>
  <w:style w:type="paragraph" w:customStyle="1" w:styleId="Accepted">
    <w:name w:val="Accepted"/>
    <w:basedOn w:val="ManReceived"/>
  </w:style>
  <w:style w:type="paragraph" w:customStyle="1" w:styleId="UDC">
    <w:name w:val="UDC"/>
    <w:basedOn w:val="Basic"/>
    <w:next w:val="TitleArticle"/>
    <w:pPr>
      <w:ind w:firstLine="0"/>
      <w:jc w:val="left"/>
    </w:pPr>
    <w:rPr>
      <w:i/>
      <w:sz w:val="28"/>
    </w:rPr>
  </w:style>
  <w:style w:type="character" w:styleId="ac">
    <w:name w:val="Hyperlink"/>
    <w:basedOn w:val="a1"/>
    <w:uiPriority w:val="99"/>
    <w:unhideWhenUsed/>
    <w:rsid w:val="003715EB"/>
    <w:rPr>
      <w:color w:val="0000FF" w:themeColor="hyperlink"/>
      <w:u w:val="single"/>
    </w:rPr>
  </w:style>
  <w:style w:type="paragraph" w:customStyle="1" w:styleId="ad">
    <w:name w:val="основа"/>
    <w:link w:val="ae"/>
    <w:qFormat/>
    <w:rsid w:val="00C57A9E"/>
    <w:pPr>
      <w:spacing w:line="360" w:lineRule="auto"/>
      <w:ind w:firstLine="851"/>
      <w:jc w:val="both"/>
    </w:pPr>
    <w:rPr>
      <w:rFonts w:eastAsia="Calibri"/>
      <w:sz w:val="28"/>
      <w:szCs w:val="28"/>
      <w:lang w:val="en" w:eastAsia="en-US"/>
    </w:rPr>
  </w:style>
  <w:style w:type="character" w:customStyle="1" w:styleId="ae">
    <w:name w:val="основа Знак"/>
    <w:link w:val="ad"/>
    <w:rsid w:val="00C57A9E"/>
    <w:rPr>
      <w:rFonts w:eastAsia="Calibri"/>
      <w:sz w:val="28"/>
      <w:szCs w:val="28"/>
      <w:lang w:val="en" w:eastAsia="en-US"/>
    </w:rPr>
  </w:style>
  <w:style w:type="paragraph" w:customStyle="1" w:styleId="af">
    <w:name w:val="Таблицы"/>
    <w:qFormat/>
    <w:rsid w:val="00C06B7A"/>
    <w:pPr>
      <w:keepNext/>
      <w:suppressAutoHyphens/>
      <w:spacing w:line="276" w:lineRule="auto"/>
    </w:pPr>
    <w:rPr>
      <w:rFonts w:eastAsia="Calibri"/>
      <w:bCs/>
      <w:sz w:val="28"/>
      <w:szCs w:val="18"/>
      <w:lang w:val="en" w:eastAsia="ar-SA"/>
    </w:rPr>
  </w:style>
  <w:style w:type="character" w:styleId="af0">
    <w:name w:val="Book Title"/>
    <w:uiPriority w:val="33"/>
    <w:qFormat/>
    <w:rsid w:val="00EC59B5"/>
    <w:rPr>
      <w:sz w:val="24"/>
      <w:szCs w:val="24"/>
      <w:lang w:val="en-US"/>
    </w:rPr>
  </w:style>
  <w:style w:type="character" w:customStyle="1" w:styleId="ng-isolate-scope">
    <w:name w:val="ng-isolate-scope"/>
    <w:rsid w:val="00EC59B5"/>
  </w:style>
  <w:style w:type="paragraph" w:styleId="af1">
    <w:name w:val="footer"/>
    <w:basedOn w:val="a0"/>
    <w:link w:val="af2"/>
    <w:uiPriority w:val="99"/>
    <w:unhideWhenUsed/>
    <w:rsid w:val="00EA000D"/>
    <w:pPr>
      <w:tabs>
        <w:tab w:val="clear" w:pos="567"/>
        <w:tab w:val="center" w:pos="4677"/>
        <w:tab w:val="right" w:pos="9355"/>
      </w:tabs>
      <w:spacing w:line="240" w:lineRule="auto"/>
    </w:pPr>
  </w:style>
  <w:style w:type="character" w:customStyle="1" w:styleId="af2">
    <w:name w:val="Нижний колонтитул Знак"/>
    <w:basedOn w:val="a1"/>
    <w:link w:val="af1"/>
    <w:uiPriority w:val="99"/>
    <w:rsid w:val="00EA000D"/>
    <w:rPr>
      <w:sz w:val="24"/>
      <w:szCs w:val="24"/>
      <w:lang w:eastAsia="en-US"/>
    </w:rPr>
  </w:style>
  <w:style w:type="paragraph" w:styleId="af3">
    <w:name w:val="Normal (Web)"/>
    <w:basedOn w:val="a0"/>
    <w:uiPriority w:val="99"/>
    <w:semiHidden/>
    <w:unhideWhenUsed/>
    <w:rsid w:val="00DA5EF2"/>
    <w:pPr>
      <w:tabs>
        <w:tab w:val="clear" w:pos="567"/>
      </w:tabs>
      <w:spacing w:before="100" w:beforeAutospacing="1" w:after="100" w:afterAutospacing="1" w:line="240" w:lineRule="auto"/>
      <w:jc w:val="left"/>
    </w:pPr>
    <w:rPr>
      <w:lang w:eastAsia="ru-RU"/>
    </w:rPr>
  </w:style>
  <w:style w:type="character" w:customStyle="1" w:styleId="short">
    <w:name w:val="short"/>
    <w:basedOn w:val="a1"/>
    <w:rsid w:val="0036003E"/>
  </w:style>
  <w:style w:type="paragraph" w:styleId="af4">
    <w:name w:val="Balloon Text"/>
    <w:basedOn w:val="a0"/>
    <w:link w:val="af5"/>
    <w:uiPriority w:val="99"/>
    <w:semiHidden/>
    <w:unhideWhenUsed/>
    <w:rsid w:val="00123731"/>
    <w:pPr>
      <w:spacing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123731"/>
    <w:rPr>
      <w:rFonts w:ascii="Tahoma" w:hAnsi="Tahoma" w:cs="Tahoma"/>
      <w:sz w:val="16"/>
      <w:szCs w:val="16"/>
      <w:lang w:eastAsia="en-US"/>
    </w:rPr>
  </w:style>
  <w:style w:type="table" w:styleId="af6">
    <w:name w:val="Table Grid"/>
    <w:basedOn w:val="a2"/>
    <w:uiPriority w:val="59"/>
    <w:rsid w:val="00687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59271">
      <w:bodyDiv w:val="1"/>
      <w:marLeft w:val="0"/>
      <w:marRight w:val="0"/>
      <w:marTop w:val="0"/>
      <w:marBottom w:val="0"/>
      <w:divBdr>
        <w:top w:val="none" w:sz="0" w:space="0" w:color="auto"/>
        <w:left w:val="none" w:sz="0" w:space="0" w:color="auto"/>
        <w:bottom w:val="none" w:sz="0" w:space="0" w:color="auto"/>
        <w:right w:val="none" w:sz="0" w:space="0" w:color="auto"/>
      </w:divBdr>
    </w:div>
    <w:div w:id="207959126">
      <w:bodyDiv w:val="1"/>
      <w:marLeft w:val="0"/>
      <w:marRight w:val="0"/>
      <w:marTop w:val="0"/>
      <w:marBottom w:val="0"/>
      <w:divBdr>
        <w:top w:val="none" w:sz="0" w:space="0" w:color="auto"/>
        <w:left w:val="none" w:sz="0" w:space="0" w:color="auto"/>
        <w:bottom w:val="none" w:sz="0" w:space="0" w:color="auto"/>
        <w:right w:val="none" w:sz="0" w:space="0" w:color="auto"/>
      </w:divBdr>
    </w:div>
    <w:div w:id="1237975296">
      <w:bodyDiv w:val="1"/>
      <w:marLeft w:val="0"/>
      <w:marRight w:val="0"/>
      <w:marTop w:val="0"/>
      <w:marBottom w:val="0"/>
      <w:divBdr>
        <w:top w:val="none" w:sz="0" w:space="0" w:color="auto"/>
        <w:left w:val="none" w:sz="0" w:space="0" w:color="auto"/>
        <w:bottom w:val="none" w:sz="0" w:space="0" w:color="auto"/>
        <w:right w:val="none" w:sz="0" w:space="0" w:color="auto"/>
      </w:divBdr>
    </w:div>
    <w:div w:id="177027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4;&#1077;&#1095;&#1090;&#1072;\Desktop\&#1056;&#1072;&#1073;.&#1057;&#1090;&#1086;&#1083;%202024.%20&#1042;&#1057;&#1045;%20&#1060;&#1040;&#1049;&#1051;&#1067;\MAIK_Template_2008_ENG.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3BAE-247D-45A0-95BD-1C22D716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MAIK_Template_2008_ENG</Template>
  <TotalTime>18</TotalTime>
  <Pages>5</Pages>
  <Words>1577</Words>
  <Characters>8992</Characters>
  <Application>Microsoft Office Word</Application>
  <DocSecurity>0</DocSecurity>
  <Lines>74</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MAIK</Company>
  <LinksUpToDate>false</LinksUpToDate>
  <CharactersWithSpaces>10548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мечта</dc:creator>
  <cp:lastModifiedBy>мечта</cp:lastModifiedBy>
  <cp:revision>5</cp:revision>
  <cp:lastPrinted>2025-04-02T19:13:00Z</cp:lastPrinted>
  <dcterms:created xsi:type="dcterms:W3CDTF">2025-04-04T10:22:00Z</dcterms:created>
  <dcterms:modified xsi:type="dcterms:W3CDTF">2025-04-04T12:21:00Z</dcterms:modified>
</cp:coreProperties>
</file>