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82127" w14:textId="4CE1A029" w:rsidR="00F6587E" w:rsidRPr="008E25BC" w:rsidRDefault="007279A1">
      <w:pPr>
        <w:pStyle w:val="Author"/>
        <w:rPr>
          <w:caps/>
          <w:lang w:val="en-US"/>
        </w:rPr>
      </w:pPr>
      <w:r w:rsidRPr="008E25BC">
        <w:rPr>
          <w:caps/>
          <w:lang w:val="en-US"/>
        </w:rPr>
        <w:t xml:space="preserve">An </w:t>
      </w:r>
      <w:r w:rsidRPr="008E25BC">
        <w:rPr>
          <w:i/>
          <w:iCs/>
          <w:caps/>
          <w:lang w:val="en-US"/>
        </w:rPr>
        <w:t>in-silico</w:t>
      </w:r>
      <w:r w:rsidRPr="008E25BC">
        <w:rPr>
          <w:caps/>
          <w:lang w:val="en-US"/>
        </w:rPr>
        <w:t xml:space="preserve"> comparison of Clinical Target Volume and Clinical Target Distribution for skull base chordoma</w:t>
      </w:r>
    </w:p>
    <w:p w14:paraId="2C1CAAAA" w14:textId="05E42096" w:rsidR="00F6587E" w:rsidRPr="00D079C9" w:rsidRDefault="00EA0B5B" w:rsidP="003E59B3">
      <w:pPr>
        <w:pStyle w:val="Author"/>
        <w:ind w:left="567" w:firstLine="0"/>
        <w:rPr>
          <w:vertAlign w:val="superscript"/>
          <w:lang w:val="es-ES"/>
        </w:rPr>
      </w:pPr>
      <w:r w:rsidRPr="00D079C9">
        <w:rPr>
          <w:lang w:val="es-ES"/>
        </w:rPr>
        <w:t xml:space="preserve">Svetlana </w:t>
      </w:r>
      <w:proofErr w:type="spellStart"/>
      <w:r w:rsidRPr="00D079C9">
        <w:rPr>
          <w:lang w:val="es-ES"/>
        </w:rPr>
        <w:t>Dima</w:t>
      </w:r>
      <w:r w:rsidRPr="00D079C9">
        <w:rPr>
          <w:vertAlign w:val="superscript"/>
          <w:lang w:val="es-ES"/>
        </w:rPr>
        <w:t>a</w:t>
      </w:r>
      <w:proofErr w:type="spellEnd"/>
      <w:r w:rsidRPr="00D079C9">
        <w:rPr>
          <w:bCs/>
          <w:lang w:val="es-ES"/>
        </w:rPr>
        <w:t>,</w:t>
      </w:r>
      <w:r w:rsidRPr="00D079C9">
        <w:rPr>
          <w:lang w:val="es-ES"/>
        </w:rPr>
        <w:t xml:space="preserve"> </w:t>
      </w:r>
      <w:proofErr w:type="spellStart"/>
      <w:r w:rsidR="00D822BB" w:rsidRPr="00D079C9">
        <w:rPr>
          <w:lang w:val="es-ES"/>
        </w:rPr>
        <w:t>Viktoria</w:t>
      </w:r>
      <w:proofErr w:type="spellEnd"/>
      <w:r w:rsidR="00D822BB" w:rsidRPr="00D079C9">
        <w:rPr>
          <w:lang w:val="es-ES"/>
        </w:rPr>
        <w:t xml:space="preserve"> </w:t>
      </w:r>
      <w:proofErr w:type="spellStart"/>
      <w:r w:rsidRPr="00D079C9">
        <w:rPr>
          <w:lang w:val="es-ES"/>
        </w:rPr>
        <w:t>Pitina</w:t>
      </w:r>
      <w:r w:rsidRPr="00D079C9">
        <w:rPr>
          <w:vertAlign w:val="superscript"/>
          <w:lang w:val="es-ES"/>
        </w:rPr>
        <w:t>b</w:t>
      </w:r>
      <w:proofErr w:type="spellEnd"/>
      <w:r w:rsidRPr="00D079C9">
        <w:rPr>
          <w:lang w:val="es-ES"/>
        </w:rPr>
        <w:t xml:space="preserve">, </w:t>
      </w:r>
      <w:proofErr w:type="spellStart"/>
      <w:r w:rsidR="00432AC0" w:rsidRPr="00D079C9">
        <w:rPr>
          <w:lang w:val="es-ES"/>
        </w:rPr>
        <w:t>Mihai-Tiberiu</w:t>
      </w:r>
      <w:proofErr w:type="spellEnd"/>
      <w:r w:rsidR="00432AC0" w:rsidRPr="00D079C9">
        <w:rPr>
          <w:lang w:val="es-ES"/>
        </w:rPr>
        <w:t xml:space="preserve"> </w:t>
      </w:r>
      <w:proofErr w:type="spellStart"/>
      <w:r w:rsidR="00432AC0" w:rsidRPr="00D079C9">
        <w:rPr>
          <w:lang w:val="es-ES"/>
        </w:rPr>
        <w:t>Dima</w:t>
      </w:r>
      <w:r w:rsidR="00432AC0" w:rsidRPr="00D079C9">
        <w:rPr>
          <w:vertAlign w:val="superscript"/>
          <w:lang w:val="es-ES"/>
        </w:rPr>
        <w:t>a</w:t>
      </w:r>
      <w:proofErr w:type="spellEnd"/>
      <w:r w:rsidR="00432AC0" w:rsidRPr="00D079C9">
        <w:rPr>
          <w:lang w:val="es-ES"/>
        </w:rPr>
        <w:t xml:space="preserve">, </w:t>
      </w:r>
      <w:proofErr w:type="spellStart"/>
      <w:r w:rsidRPr="00D079C9">
        <w:rPr>
          <w:lang w:val="es-ES"/>
        </w:rPr>
        <w:t>Maria</w:t>
      </w:r>
      <w:proofErr w:type="spellEnd"/>
      <w:r w:rsidRPr="00D079C9">
        <w:rPr>
          <w:lang w:val="es-ES"/>
        </w:rPr>
        <w:t xml:space="preserve"> </w:t>
      </w:r>
      <w:proofErr w:type="spellStart"/>
      <w:r w:rsidRPr="00D079C9">
        <w:rPr>
          <w:lang w:val="es-ES"/>
        </w:rPr>
        <w:t>Dima</w:t>
      </w:r>
      <w:r w:rsidRPr="00D079C9">
        <w:rPr>
          <w:vertAlign w:val="superscript"/>
          <w:lang w:val="es-ES"/>
        </w:rPr>
        <w:t>ac</w:t>
      </w:r>
      <w:proofErr w:type="spellEnd"/>
      <w:r w:rsidRPr="00D079C9">
        <w:rPr>
          <w:lang w:val="es-ES"/>
        </w:rPr>
        <w:t xml:space="preserve"> </w:t>
      </w:r>
    </w:p>
    <w:p w14:paraId="62CBF8E6" w14:textId="1F6D35DD" w:rsidR="00F6587E" w:rsidRPr="008E25BC" w:rsidRDefault="00000000">
      <w:pPr>
        <w:pStyle w:val="Address"/>
        <w:rPr>
          <w:lang w:val="en-US"/>
        </w:rPr>
      </w:pPr>
      <w:proofErr w:type="spellStart"/>
      <w:r w:rsidRPr="008E25BC">
        <w:rPr>
          <w:bCs/>
          <w:iCs/>
          <w:vertAlign w:val="superscript"/>
          <w:lang w:val="en-US"/>
        </w:rPr>
        <w:t>a</w:t>
      </w:r>
      <w:r w:rsidR="00EA0B5B" w:rsidRPr="008E25BC">
        <w:rPr>
          <w:lang w:val="en-US"/>
        </w:rPr>
        <w:t>Dzhelepov</w:t>
      </w:r>
      <w:proofErr w:type="spellEnd"/>
      <w:r w:rsidR="00EA0B5B" w:rsidRPr="008E25BC">
        <w:rPr>
          <w:lang w:val="en-US"/>
        </w:rPr>
        <w:t xml:space="preserve"> Laboratory of Nuclear Problems</w:t>
      </w:r>
      <w:r w:rsidRPr="008E25BC">
        <w:rPr>
          <w:lang w:val="en-US"/>
        </w:rPr>
        <w:t xml:space="preserve">, JINR, RU-141980, Dubna, Russia, </w:t>
      </w:r>
    </w:p>
    <w:p w14:paraId="461871C9" w14:textId="39DEC558" w:rsidR="00F6587E" w:rsidRPr="008E25BC" w:rsidRDefault="00000000">
      <w:pPr>
        <w:pStyle w:val="Address"/>
        <w:rPr>
          <w:lang w:val="en-US"/>
        </w:rPr>
      </w:pPr>
      <w:r w:rsidRPr="008E25BC">
        <w:rPr>
          <w:lang w:val="en-US"/>
        </w:rPr>
        <w:t xml:space="preserve">e-mail: </w:t>
      </w:r>
      <w:hyperlink r:id="rId8" w:history="1">
        <w:r w:rsidR="00EA0B5B" w:rsidRPr="008E25BC">
          <w:rPr>
            <w:rStyle w:val="af"/>
            <w:i w:val="0"/>
            <w:sz w:val="28"/>
            <w:szCs w:val="28"/>
            <w:lang w:val="en-US"/>
          </w:rPr>
          <w:t>dima@jinr.ru</w:t>
        </w:r>
      </w:hyperlink>
      <w:r w:rsidRPr="008E25BC">
        <w:rPr>
          <w:lang w:val="en-US"/>
        </w:rPr>
        <w:t xml:space="preserve"> </w:t>
      </w:r>
    </w:p>
    <w:p w14:paraId="32D20AE1" w14:textId="0DB52D0C" w:rsidR="00F6587E" w:rsidRPr="008E25BC" w:rsidRDefault="00000000">
      <w:pPr>
        <w:pStyle w:val="Address"/>
        <w:rPr>
          <w:lang w:val="en-US"/>
        </w:rPr>
      </w:pPr>
      <w:proofErr w:type="spellStart"/>
      <w:r w:rsidRPr="008E25BC">
        <w:rPr>
          <w:bCs/>
          <w:vertAlign w:val="superscript"/>
          <w:lang w:val="en-US"/>
        </w:rPr>
        <w:t>b</w:t>
      </w:r>
      <w:r w:rsidR="00EA0B5B" w:rsidRPr="008E25BC">
        <w:rPr>
          <w:lang w:val="en-US"/>
        </w:rPr>
        <w:t>Lobachevsky</w:t>
      </w:r>
      <w:proofErr w:type="spellEnd"/>
      <w:r w:rsidR="00EA0B5B" w:rsidRPr="008E25BC">
        <w:rPr>
          <w:lang w:val="en-US"/>
        </w:rPr>
        <w:t xml:space="preserve"> State University of Nizhny Novgorod</w:t>
      </w:r>
      <w:r w:rsidR="00810FAB" w:rsidRPr="00810FAB">
        <w:rPr>
          <w:lang w:val="en-US"/>
        </w:rPr>
        <w:t>,</w:t>
      </w:r>
      <w:r w:rsidR="00EA0B5B" w:rsidRPr="008E25BC">
        <w:rPr>
          <w:lang w:val="en-US"/>
        </w:rPr>
        <w:t xml:space="preserve"> RU-603022, Nizhny Novgorod, Russia</w:t>
      </w:r>
    </w:p>
    <w:p w14:paraId="3EF831EE" w14:textId="7956B045" w:rsidR="00F6587E" w:rsidRPr="008E25BC" w:rsidRDefault="00000000">
      <w:pPr>
        <w:pStyle w:val="Address"/>
        <w:rPr>
          <w:lang w:val="en-US"/>
        </w:rPr>
      </w:pPr>
      <w:proofErr w:type="spellStart"/>
      <w:r w:rsidRPr="008E25BC">
        <w:rPr>
          <w:bCs/>
          <w:iCs/>
          <w:vertAlign w:val="superscript"/>
          <w:lang w:val="en-US"/>
        </w:rPr>
        <w:t>c</w:t>
      </w:r>
      <w:r w:rsidR="00EA0B5B" w:rsidRPr="008E25BC">
        <w:rPr>
          <w:lang w:val="en-US"/>
        </w:rPr>
        <w:t>Hyperion</w:t>
      </w:r>
      <w:proofErr w:type="spellEnd"/>
      <w:r w:rsidR="00EA0B5B" w:rsidRPr="008E25BC">
        <w:rPr>
          <w:lang w:val="en-US"/>
        </w:rPr>
        <w:t xml:space="preserve"> University, RO-030615. Bucharest, Romani</w:t>
      </w:r>
      <w:r w:rsidR="00892CDF" w:rsidRPr="008E25BC">
        <w:rPr>
          <w:lang w:val="en-US"/>
        </w:rPr>
        <w:t>a</w:t>
      </w:r>
      <w:r w:rsidR="00EA0B5B" w:rsidRPr="008E25BC">
        <w:rPr>
          <w:lang w:val="en-US"/>
        </w:rPr>
        <w:t xml:space="preserve"> </w:t>
      </w:r>
    </w:p>
    <w:p w14:paraId="52A04948" w14:textId="25769A77" w:rsidR="00F6587E" w:rsidRPr="008E25BC" w:rsidRDefault="00000000" w:rsidP="00212D9A">
      <w:pPr>
        <w:pStyle w:val="Abstract"/>
        <w:rPr>
          <w:rFonts w:eastAsia="TT7BDFo00"/>
          <w:lang w:val="en-US"/>
        </w:rPr>
      </w:pPr>
      <w:r w:rsidRPr="008E25BC">
        <w:rPr>
          <w:b/>
          <w:color w:val="000000"/>
          <w:lang w:val="en-US"/>
        </w:rPr>
        <w:t>Abstract –</w:t>
      </w:r>
      <w:r w:rsidR="00D079C9">
        <w:rPr>
          <w:b/>
          <w:color w:val="000000"/>
          <w:lang w:val="en-US"/>
        </w:rPr>
        <w:t xml:space="preserve"> </w:t>
      </w:r>
      <w:r w:rsidR="00EA0B5B" w:rsidRPr="008E25BC">
        <w:rPr>
          <w:rFonts w:eastAsia="TT7BDFo00"/>
          <w:lang w:val="en-US"/>
        </w:rPr>
        <w:t xml:space="preserve">Clinical target volume (CTV) is </w:t>
      </w:r>
      <w:r w:rsidR="00D079C9">
        <w:rPr>
          <w:rFonts w:eastAsia="TT7BDFo00"/>
          <w:lang w:val="en-US"/>
        </w:rPr>
        <w:t xml:space="preserve">a </w:t>
      </w:r>
      <w:r w:rsidR="00EA0B5B" w:rsidRPr="008E25BC">
        <w:rPr>
          <w:rFonts w:eastAsia="TT7BDFo00"/>
          <w:lang w:val="en-US"/>
        </w:rPr>
        <w:t>traditional</w:t>
      </w:r>
      <w:r w:rsidR="00D079C9">
        <w:rPr>
          <w:rFonts w:eastAsia="TT7BDFo00"/>
          <w:lang w:val="en-US"/>
        </w:rPr>
        <w:t xml:space="preserve"> target delineation method used</w:t>
      </w:r>
      <w:r w:rsidR="00EA0B5B" w:rsidRPr="008E25BC">
        <w:rPr>
          <w:rFonts w:eastAsia="TT7BDFo00"/>
          <w:lang w:val="en-US"/>
        </w:rPr>
        <w:t xml:space="preserve"> in radiotherapy</w:t>
      </w:r>
      <w:r w:rsidR="00D079C9">
        <w:rPr>
          <w:rFonts w:eastAsia="TT7BDFo00"/>
          <w:lang w:val="en-US"/>
        </w:rPr>
        <w:t xml:space="preserve">. The concept </w:t>
      </w:r>
      <w:r w:rsidR="00EA0B5B" w:rsidRPr="008E25BC">
        <w:rPr>
          <w:rFonts w:eastAsia="TT7BDFo00"/>
          <w:lang w:val="en-US"/>
        </w:rPr>
        <w:t>has several limitations (</w:t>
      </w:r>
      <w:r w:rsidR="00D079C9">
        <w:rPr>
          <w:rFonts w:eastAsia="TT7BDFo00"/>
          <w:lang w:val="en-US"/>
        </w:rPr>
        <w:t xml:space="preserve">such as </w:t>
      </w:r>
      <w:r w:rsidR="00EA0B5B" w:rsidRPr="008E25BC">
        <w:rPr>
          <w:rFonts w:eastAsia="TT7BDFo00"/>
          <w:lang w:val="en-US"/>
        </w:rPr>
        <w:t xml:space="preserve">binary </w:t>
      </w:r>
      <w:proofErr w:type="spellStart"/>
      <w:r w:rsidR="00EA0B5B" w:rsidRPr="008E25BC">
        <w:rPr>
          <w:rFonts w:eastAsia="TT7BDFo00"/>
          <w:lang w:val="en-US"/>
        </w:rPr>
        <w:t>concept</w:t>
      </w:r>
      <w:r w:rsidR="00D079C9">
        <w:rPr>
          <w:rFonts w:eastAsia="TT7BDFo00"/>
          <w:lang w:val="en-US"/>
        </w:rPr>
        <w:t>ualisation</w:t>
      </w:r>
      <w:proofErr w:type="spellEnd"/>
      <w:r w:rsidR="00EA0B5B" w:rsidRPr="008E25BC">
        <w:rPr>
          <w:rFonts w:eastAsia="TT7BDFo00"/>
          <w:lang w:val="en-US"/>
        </w:rPr>
        <w:t xml:space="preserve">, variability and uncertainty). </w:t>
      </w:r>
      <w:r w:rsidR="00D079C9">
        <w:rPr>
          <w:rFonts w:eastAsia="TT7BDFo00"/>
          <w:lang w:val="en-US"/>
        </w:rPr>
        <w:t>More r</w:t>
      </w:r>
      <w:r w:rsidR="00EA0B5B" w:rsidRPr="008E25BC">
        <w:rPr>
          <w:rFonts w:eastAsia="TT7BDFo00"/>
          <w:lang w:val="en-US"/>
        </w:rPr>
        <w:t>ecently</w:t>
      </w:r>
      <w:r w:rsidR="00D079C9">
        <w:rPr>
          <w:rFonts w:eastAsia="TT7BDFo00"/>
          <w:lang w:val="en-US"/>
        </w:rPr>
        <w:t xml:space="preserve"> a </w:t>
      </w:r>
      <w:r w:rsidR="00EA0B5B" w:rsidRPr="008E25BC">
        <w:rPr>
          <w:rFonts w:eastAsia="TT7BDFo00"/>
          <w:lang w:val="en-US"/>
        </w:rPr>
        <w:t>continuous probabilistic concept - Clinical Target Distribution (CTD)</w:t>
      </w:r>
      <w:r w:rsidR="00D079C9">
        <w:rPr>
          <w:rFonts w:eastAsia="TT7BDFo00"/>
          <w:lang w:val="en-US"/>
        </w:rPr>
        <w:t xml:space="preserve"> has come into prominence, which addresses the </w:t>
      </w:r>
      <w:r w:rsidR="000A7E18">
        <w:rPr>
          <w:rFonts w:eastAsia="TT7BDFo00"/>
          <w:lang w:val="en-US"/>
        </w:rPr>
        <w:t>above-mentioned</w:t>
      </w:r>
      <w:r w:rsidR="00EA0B5B" w:rsidRPr="008E25BC">
        <w:rPr>
          <w:rFonts w:eastAsia="TT7BDFo00"/>
          <w:lang w:val="en-US"/>
        </w:rPr>
        <w:t xml:space="preserve"> limitations. In this paper, we implemented CTD in</w:t>
      </w:r>
      <w:r w:rsidR="00903428">
        <w:rPr>
          <w:rFonts w:eastAsia="TT7BDFo00"/>
          <w:lang w:val="en-US"/>
        </w:rPr>
        <w:t xml:space="preserve"> the</w:t>
      </w:r>
      <w:r w:rsidR="00EA0B5B" w:rsidRPr="008E25BC">
        <w:rPr>
          <w:rFonts w:eastAsia="TT7BDFo00"/>
          <w:lang w:val="en-US"/>
        </w:rPr>
        <w:t xml:space="preserve"> treatment planning system and compared CTV and CTD in the cases of skull base chordomas. U</w:t>
      </w:r>
      <w:r w:rsidR="00D079C9">
        <w:rPr>
          <w:rFonts w:eastAsia="TT7BDFo00"/>
          <w:lang w:val="en-US"/>
        </w:rPr>
        <w:t>nder the CTD</w:t>
      </w:r>
      <w:r w:rsidR="00EA0B5B" w:rsidRPr="008E25BC">
        <w:rPr>
          <w:rFonts w:eastAsia="TT7BDFo00"/>
          <w:lang w:val="en-US"/>
        </w:rPr>
        <w:t xml:space="preserve"> concept we </w:t>
      </w:r>
      <w:r w:rsidR="00D079C9">
        <w:rPr>
          <w:rFonts w:eastAsia="TT7BDFo00"/>
          <w:lang w:val="en-US"/>
        </w:rPr>
        <w:t>infer</w:t>
      </w:r>
      <w:r w:rsidR="00EA0B5B" w:rsidRPr="008E25BC">
        <w:rPr>
          <w:rFonts w:eastAsia="TT7BDFo00"/>
          <w:lang w:val="en-US"/>
        </w:rPr>
        <w:t xml:space="preserve"> tumor</w:t>
      </w:r>
      <w:r w:rsidR="00D079C9">
        <w:rPr>
          <w:rFonts w:eastAsia="TT7BDFo00"/>
          <w:lang w:val="en-US"/>
        </w:rPr>
        <w:t>al prescription dose, observe</w:t>
      </w:r>
      <w:r w:rsidR="00EA0B5B" w:rsidRPr="008E25BC">
        <w:rPr>
          <w:rFonts w:eastAsia="TT7BDFo00"/>
          <w:lang w:val="en-US"/>
        </w:rPr>
        <w:t xml:space="preserve"> maximal </w:t>
      </w:r>
      <w:r w:rsidR="00D079C9">
        <w:rPr>
          <w:rFonts w:eastAsia="TT7BDFo00"/>
          <w:lang w:val="en-US"/>
        </w:rPr>
        <w:t xml:space="preserve">OAR </w:t>
      </w:r>
      <w:r w:rsidR="00EA0B5B" w:rsidRPr="008E25BC">
        <w:rPr>
          <w:rFonts w:eastAsia="TT7BDFo00"/>
          <w:lang w:val="en-US"/>
        </w:rPr>
        <w:t xml:space="preserve">dose constraints and </w:t>
      </w:r>
      <w:r w:rsidR="00D079C9">
        <w:rPr>
          <w:rFonts w:eastAsia="TT7BDFo00"/>
          <w:lang w:val="en-US"/>
        </w:rPr>
        <w:t>highlight</w:t>
      </w:r>
      <w:r w:rsidR="00EA0B5B" w:rsidRPr="008E25BC">
        <w:rPr>
          <w:rFonts w:eastAsia="TT7BDFo00"/>
          <w:lang w:val="en-US"/>
        </w:rPr>
        <w:t xml:space="preserve"> </w:t>
      </w:r>
      <w:r w:rsidR="00D079C9">
        <w:rPr>
          <w:rFonts w:eastAsia="TT7BDFo00"/>
          <w:lang w:val="en-US"/>
        </w:rPr>
        <w:t xml:space="preserve">the </w:t>
      </w:r>
      <w:r w:rsidR="00EA0B5B" w:rsidRPr="008E25BC">
        <w:rPr>
          <w:rFonts w:eastAsia="TT7BDFo00"/>
          <w:lang w:val="en-US"/>
        </w:rPr>
        <w:t>dose distribution</w:t>
      </w:r>
      <w:r w:rsidR="00D079C9">
        <w:rPr>
          <w:rFonts w:eastAsia="TT7BDFo00"/>
          <w:lang w:val="en-US"/>
        </w:rPr>
        <w:t xml:space="preserve"> advantages</w:t>
      </w:r>
      <w:r w:rsidR="00EA0B5B" w:rsidRPr="008E25BC">
        <w:rPr>
          <w:rFonts w:eastAsia="TT7BDFo00"/>
          <w:lang w:val="en-US"/>
        </w:rPr>
        <w:t>.</w:t>
      </w:r>
    </w:p>
    <w:p w14:paraId="6A28367B" w14:textId="77777777" w:rsidR="00F6587E" w:rsidRPr="008E25BC" w:rsidRDefault="00F6587E">
      <w:pPr>
        <w:pStyle w:val="Abstract"/>
        <w:rPr>
          <w:color w:val="000000"/>
          <w:lang w:val="en-US"/>
        </w:rPr>
      </w:pPr>
    </w:p>
    <w:p w14:paraId="23BEF908" w14:textId="35B5DEA3" w:rsidR="00F6587E" w:rsidRPr="008E25BC" w:rsidRDefault="00000000">
      <w:pPr>
        <w:pStyle w:val="Heading"/>
        <w:rPr>
          <w:lang w:val="en-US"/>
        </w:rPr>
      </w:pPr>
      <w:r w:rsidRPr="008E25BC">
        <w:rPr>
          <w:lang w:val="en-US"/>
        </w:rPr>
        <w:t>INTRODUCTION</w:t>
      </w:r>
      <w:r w:rsidR="00D079C9">
        <w:rPr>
          <w:lang w:val="en-US"/>
        </w:rPr>
        <w:t xml:space="preserve"> </w:t>
      </w:r>
    </w:p>
    <w:p w14:paraId="422F921C" w14:textId="10FE60EA" w:rsidR="00EA2A4D" w:rsidRPr="000A7E18" w:rsidRDefault="00EA2A4D" w:rsidP="00810FAB">
      <w:pPr>
        <w:pStyle w:val="BodyL"/>
        <w:rPr>
          <w:color w:val="000000" w:themeColor="text1"/>
          <w:lang w:val="en-US"/>
        </w:rPr>
      </w:pPr>
      <w:r w:rsidRPr="008E25BC">
        <w:rPr>
          <w:lang w:val="en-US"/>
        </w:rPr>
        <w:t xml:space="preserve">Accurate delineation of target volumes in proton therapy is an important challenge. The traditionally defined </w:t>
      </w:r>
      <w:r w:rsidR="00810FAB" w:rsidRPr="008E25BC">
        <w:rPr>
          <w:lang w:val="en-US"/>
        </w:rPr>
        <w:t xml:space="preserve">in radiotherapy </w:t>
      </w:r>
      <w:r w:rsidRPr="008E25BC">
        <w:rPr>
          <w:lang w:val="en-US"/>
        </w:rPr>
        <w:t>clinical target volume (CTV) has a number of limitations that may negatively impact treatment outcomes. Firs</w:t>
      </w:r>
      <w:r w:rsidR="00BD56EB">
        <w:rPr>
          <w:lang w:val="en-US"/>
        </w:rPr>
        <w:t>tly</w:t>
      </w:r>
      <w:r w:rsidRPr="008E25BC">
        <w:rPr>
          <w:lang w:val="en-US"/>
        </w:rPr>
        <w:t xml:space="preserve">, CTV is a binary concept. It means that there are tumor cells inside the area selected by the physician, but not outside. </w:t>
      </w:r>
      <w:r w:rsidR="00CF1460" w:rsidRPr="008E25BC">
        <w:rPr>
          <w:lang w:val="en-US"/>
        </w:rPr>
        <w:t xml:space="preserve">However, the distribution of the tumor occurs </w:t>
      </w:r>
      <w:r w:rsidR="00BD56EB" w:rsidRPr="00BD56EB">
        <w:rPr>
          <w:lang w:val="en-US"/>
        </w:rPr>
        <w:t>differently</w:t>
      </w:r>
      <w:r w:rsidR="00CF1460" w:rsidRPr="008E25BC">
        <w:rPr>
          <w:lang w:val="en-US"/>
        </w:rPr>
        <w:t xml:space="preserve">: the further the </w:t>
      </w:r>
      <w:r w:rsidR="00CF1460" w:rsidRPr="000A7E18">
        <w:rPr>
          <w:color w:val="000000" w:themeColor="text1"/>
          <w:lang w:val="en-US"/>
        </w:rPr>
        <w:t>point is from the gross tumor volume (GTV), the less likely it is that it is tumor</w:t>
      </w:r>
      <w:r w:rsidR="00810FAB" w:rsidRPr="000A7E18">
        <w:rPr>
          <w:color w:val="000000" w:themeColor="text1"/>
          <w:lang w:val="en-US"/>
        </w:rPr>
        <w:t>ous</w:t>
      </w:r>
      <w:r w:rsidR="00CF1460" w:rsidRPr="000A7E18">
        <w:rPr>
          <w:color w:val="000000" w:themeColor="text1"/>
          <w:lang w:val="en-US"/>
        </w:rPr>
        <w:t>. Moreover, the СTV may require redrawing or modification if it intersects with the Organs at Risk (OAR)</w:t>
      </w:r>
      <w:r w:rsidR="005C3B01" w:rsidRPr="000A7E18">
        <w:rPr>
          <w:color w:val="000000" w:themeColor="text1"/>
          <w:lang w:val="en-US"/>
        </w:rPr>
        <w:t xml:space="preserve"> to limit exposure to normal tissues</w:t>
      </w:r>
      <w:r w:rsidR="00CF1460" w:rsidRPr="000A7E18">
        <w:rPr>
          <w:color w:val="000000" w:themeColor="text1"/>
          <w:lang w:val="en-US"/>
        </w:rPr>
        <w:t xml:space="preserve">. Finally, traditional CTV has a high </w:t>
      </w:r>
      <w:r w:rsidR="00892CDF" w:rsidRPr="000A7E18">
        <w:rPr>
          <w:color w:val="000000" w:themeColor="text1"/>
          <w:lang w:val="en-US"/>
        </w:rPr>
        <w:t xml:space="preserve">interobserver </w:t>
      </w:r>
      <w:r w:rsidR="00CF1460" w:rsidRPr="000A7E18">
        <w:rPr>
          <w:color w:val="000000" w:themeColor="text1"/>
          <w:lang w:val="en-US"/>
        </w:rPr>
        <w:t>variability</w:t>
      </w:r>
      <w:r w:rsidR="009D484A" w:rsidRPr="000A7E18">
        <w:rPr>
          <w:color w:val="000000" w:themeColor="text1"/>
          <w:lang w:val="en-US"/>
        </w:rPr>
        <w:t xml:space="preserve"> [1</w:t>
      </w:r>
      <w:r w:rsidR="00892CDF" w:rsidRPr="000A7E18">
        <w:rPr>
          <w:color w:val="000000" w:themeColor="text1"/>
          <w:lang w:val="en-US"/>
        </w:rPr>
        <w:t>,2</w:t>
      </w:r>
      <w:r w:rsidR="009D484A" w:rsidRPr="000A7E18">
        <w:rPr>
          <w:color w:val="000000" w:themeColor="text1"/>
          <w:lang w:val="en-US"/>
        </w:rPr>
        <w:t>]</w:t>
      </w:r>
      <w:r w:rsidR="00CF1460" w:rsidRPr="000A7E18">
        <w:rPr>
          <w:color w:val="000000" w:themeColor="text1"/>
          <w:lang w:val="en-US"/>
        </w:rPr>
        <w:t xml:space="preserve">. </w:t>
      </w:r>
    </w:p>
    <w:p w14:paraId="57C073FE" w14:textId="0D2EC08D" w:rsidR="005C3B01" w:rsidRPr="000A7E18" w:rsidRDefault="00C30BAD" w:rsidP="005C3B01">
      <w:pPr>
        <w:pStyle w:val="BodyL"/>
        <w:rPr>
          <w:color w:val="000000" w:themeColor="text1"/>
        </w:rPr>
      </w:pPr>
      <w:r w:rsidRPr="000A7E18">
        <w:rPr>
          <w:color w:val="000000" w:themeColor="text1"/>
          <w:lang w:val="en-US"/>
        </w:rPr>
        <w:t xml:space="preserve">In contrast to this the clinical target distribution (CTD) is a continuous probabilistic concept that allows to describe closer to the real tumor distribution: the probability of having tumor cells decreases from 100% near the GTV to 0% away from it. </w:t>
      </w:r>
      <w:r w:rsidR="00847A4A" w:rsidRPr="000A7E18">
        <w:rPr>
          <w:color w:val="000000" w:themeColor="text1"/>
          <w:lang w:val="en-US"/>
        </w:rPr>
        <w:t xml:space="preserve">The CTD was introduced by </w:t>
      </w:r>
      <w:proofErr w:type="spellStart"/>
      <w:r w:rsidR="00847A4A" w:rsidRPr="000A7E18">
        <w:rPr>
          <w:color w:val="000000" w:themeColor="text1"/>
          <w:lang w:val="en-US"/>
        </w:rPr>
        <w:t>Shusharina</w:t>
      </w:r>
      <w:proofErr w:type="spellEnd"/>
      <w:r w:rsidR="00847A4A" w:rsidRPr="000A7E18">
        <w:rPr>
          <w:color w:val="000000" w:themeColor="text1"/>
          <w:lang w:val="en-US"/>
        </w:rPr>
        <w:t xml:space="preserve"> et. al. [3]</w:t>
      </w:r>
      <w:r w:rsidR="00D83A25" w:rsidRPr="000A7E18">
        <w:rPr>
          <w:color w:val="000000" w:themeColor="text1"/>
          <w:lang w:val="en-US"/>
        </w:rPr>
        <w:t xml:space="preserve">, </w:t>
      </w:r>
      <w:r w:rsidR="00434353" w:rsidRPr="000A7E18">
        <w:rPr>
          <w:color w:val="000000" w:themeColor="text1"/>
          <w:lang w:val="en-US"/>
        </w:rPr>
        <w:t xml:space="preserve">and represents probabilistic delineation of regions by several shells, each of which is assigned the probability </w:t>
      </w:r>
      <w:r w:rsidR="00434353" w:rsidRPr="000A7E18">
        <w:rPr>
          <w:i/>
          <w:iCs/>
          <w:color w:val="000000" w:themeColor="text1"/>
          <w:lang w:val="en-US"/>
        </w:rPr>
        <w:t>r</w:t>
      </w:r>
      <w:r w:rsidR="00434353" w:rsidRPr="000A7E18">
        <w:rPr>
          <w:color w:val="000000" w:themeColor="text1"/>
          <w:lang w:val="en-US"/>
        </w:rPr>
        <w:t xml:space="preserve"> of having a tumor outside this shell (the outer shell implies the absence of tumor cells).</w:t>
      </w:r>
      <w:r w:rsidR="00847A4A" w:rsidRPr="000A7E18">
        <w:rPr>
          <w:color w:val="000000" w:themeColor="text1"/>
          <w:lang w:val="en-US"/>
        </w:rPr>
        <w:t xml:space="preserve"> The probability </w:t>
      </w:r>
      <w:r w:rsidR="00847A4A" w:rsidRPr="000A7E18">
        <w:rPr>
          <w:i/>
          <w:iCs/>
          <w:color w:val="000000" w:themeColor="text1"/>
          <w:lang w:val="en-US"/>
        </w:rPr>
        <w:t>p</w:t>
      </w:r>
      <w:r w:rsidR="00847A4A" w:rsidRPr="000A7E18">
        <w:rPr>
          <w:color w:val="000000" w:themeColor="text1"/>
          <w:lang w:val="en-US"/>
        </w:rPr>
        <w:t xml:space="preserve"> that the voxel is tumorous:</w:t>
      </w:r>
    </w:p>
    <w:p w14:paraId="5A2F37DA" w14:textId="77777777" w:rsidR="00847A4A" w:rsidRPr="008E25BC" w:rsidRDefault="00000000" w:rsidP="00D83A25">
      <w:pPr>
        <w:pStyle w:val="BodyL"/>
        <w:jc w:val="center"/>
        <w:rPr>
          <w:b/>
          <w:bCs/>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h</m:t>
              </m:r>
            </m:sub>
          </m:sSub>
          <m:r>
            <w:rPr>
              <w:rFonts w:ascii="Cambria Math" w:hAnsi="Cambria Math"/>
              <w:lang w:val="en-US"/>
            </w:rPr>
            <m:t>=1-</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 xml:space="preserve">1- </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h</m:t>
                          </m:r>
                        </m:sub>
                      </m:sSub>
                    </m:num>
                    <m:den>
                      <m:r>
                        <w:rPr>
                          <w:rFonts w:ascii="Cambria Math" w:hAnsi="Cambria Math"/>
                          <w:lang w:val="en-US"/>
                        </w:rPr>
                        <m:t xml:space="preserve">1- </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h+</m:t>
                          </m:r>
                          <m:r>
                            <w:rPr>
                              <w:rFonts w:ascii="Cambria Math" w:hAnsi="Cambria Math"/>
                              <w:lang w:val="en-US"/>
                            </w:rPr>
                            <m:t>1</m:t>
                          </m:r>
                        </m:sub>
                      </m:sSub>
                    </m:den>
                  </m:f>
                </m:e>
              </m:d>
            </m:e>
            <m:sup>
              <m:f>
                <m:fPr>
                  <m:ctrlPr>
                    <w:rPr>
                      <w:rFonts w:ascii="Cambria Math" w:hAnsi="Cambria Math"/>
                      <w:i/>
                      <w:lang w:val="en-US"/>
                    </w:rPr>
                  </m:ctrlPr>
                </m:fPr>
                <m:num>
                  <m:r>
                    <w:rPr>
                      <w:rFonts w:ascii="Cambria Math" w:hAnsi="Cambria Math"/>
                      <w:lang w:val="en-US"/>
                    </w:rPr>
                    <m:t>1</m:t>
                  </m:r>
                </m:num>
                <m:den>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h</m:t>
                      </m:r>
                    </m:sub>
                  </m:sSub>
                </m:den>
              </m:f>
            </m:sup>
          </m:sSup>
          <m:r>
            <w:rPr>
              <w:rFonts w:ascii="Cambria Math" w:hAnsi="Cambria Math"/>
              <w:lang w:val="en-US"/>
            </w:rPr>
            <m:t xml:space="preserve"> ,</m:t>
          </m:r>
        </m:oMath>
      </m:oMathPara>
    </w:p>
    <w:p w14:paraId="0C4DAE78" w14:textId="7A2248D2" w:rsidR="00847A4A" w:rsidRPr="000A7E18" w:rsidRDefault="00847A4A" w:rsidP="00BD56EB">
      <w:pPr>
        <w:pStyle w:val="BodyL"/>
        <w:ind w:firstLine="0"/>
        <w:rPr>
          <w:color w:val="000000" w:themeColor="text1"/>
          <w:lang w:val="en-US"/>
        </w:rPr>
      </w:pPr>
      <w:r w:rsidRPr="008E25BC">
        <w:rPr>
          <w:lang w:val="en-US"/>
        </w:rPr>
        <w:lastRenderedPageBreak/>
        <w:t xml:space="preserve">where </w:t>
      </w:r>
      <w:r w:rsidRPr="008E25BC">
        <w:rPr>
          <w:i/>
          <w:iCs/>
          <w:lang w:val="en-US"/>
        </w:rPr>
        <w:t>N</w:t>
      </w:r>
      <w:r w:rsidRPr="008E25BC">
        <w:rPr>
          <w:lang w:val="en-US"/>
        </w:rPr>
        <w:t xml:space="preserve"> - number of voxels in layer </w:t>
      </w:r>
      <w:r w:rsidRPr="008E25BC">
        <w:rPr>
          <w:i/>
          <w:iCs/>
          <w:lang w:val="en-US"/>
        </w:rPr>
        <w:t>h</w:t>
      </w:r>
      <w:r w:rsidRPr="008E25BC">
        <w:rPr>
          <w:lang w:val="en-US"/>
        </w:rPr>
        <w:t xml:space="preserve">, </w:t>
      </w:r>
      <w:r w:rsidRPr="008E25BC">
        <w:rPr>
          <w:i/>
          <w:iCs/>
          <w:lang w:val="en-US"/>
        </w:rPr>
        <w:t>h</w:t>
      </w:r>
      <w:r w:rsidRPr="008E25BC">
        <w:rPr>
          <w:lang w:val="en-US"/>
        </w:rPr>
        <w:t xml:space="preserve"> – layer (area between </w:t>
      </w:r>
      <w:r w:rsidRPr="000A7E18">
        <w:rPr>
          <w:color w:val="000000" w:themeColor="text1"/>
          <w:lang w:val="en-US"/>
        </w:rPr>
        <w:t xml:space="preserve">two </w:t>
      </w:r>
      <w:r w:rsidR="00167116" w:rsidRPr="000A7E18">
        <w:rPr>
          <w:color w:val="000000" w:themeColor="text1"/>
          <w:lang w:val="en-US"/>
        </w:rPr>
        <w:t xml:space="preserve">contiguous </w:t>
      </w:r>
      <w:r w:rsidRPr="000A7E18">
        <w:rPr>
          <w:color w:val="000000" w:themeColor="text1"/>
          <w:lang w:val="en-US"/>
        </w:rPr>
        <w:t>shells).</w:t>
      </w:r>
    </w:p>
    <w:p w14:paraId="0B8246FF" w14:textId="720973F1" w:rsidR="00DE4DE8" w:rsidRPr="008E25BC" w:rsidRDefault="003D6304" w:rsidP="00DB2CB7">
      <w:pPr>
        <w:pStyle w:val="BodyL"/>
        <w:rPr>
          <w:lang w:val="en-US"/>
        </w:rPr>
      </w:pPr>
      <w:r w:rsidRPr="000A7E18">
        <w:rPr>
          <w:color w:val="000000" w:themeColor="text1"/>
          <w:lang w:val="en-US"/>
        </w:rPr>
        <w:t xml:space="preserve">The concept was developed by Buti et. al. [4]. It was proposed to </w:t>
      </w:r>
      <w:r w:rsidR="00DB2CB7" w:rsidRPr="000A7E18">
        <w:rPr>
          <w:color w:val="000000" w:themeColor="text1"/>
          <w:lang w:val="en-US"/>
        </w:rPr>
        <w:t xml:space="preserve">exclude </w:t>
      </w:r>
      <w:r w:rsidRPr="000A7E18">
        <w:rPr>
          <w:color w:val="000000" w:themeColor="text1"/>
          <w:lang w:val="en-US"/>
        </w:rPr>
        <w:t xml:space="preserve">treatment </w:t>
      </w:r>
      <w:r w:rsidR="00DB2CB7" w:rsidRPr="000A7E18">
        <w:rPr>
          <w:color w:val="000000" w:themeColor="text1"/>
          <w:lang w:val="en-US"/>
        </w:rPr>
        <w:t>of</w:t>
      </w:r>
      <w:r w:rsidRPr="000A7E18">
        <w:rPr>
          <w:color w:val="000000" w:themeColor="text1"/>
          <w:lang w:val="en-US"/>
        </w:rPr>
        <w:t xml:space="preserve"> 1% of </w:t>
      </w:r>
      <w:r w:rsidR="00DB2CB7" w:rsidRPr="000A7E18">
        <w:rPr>
          <w:color w:val="000000" w:themeColor="text1"/>
          <w:lang w:val="en-US"/>
        </w:rPr>
        <w:t>voxels</w:t>
      </w:r>
      <w:r w:rsidRPr="000A7E18">
        <w:rPr>
          <w:color w:val="000000" w:themeColor="text1"/>
          <w:lang w:val="en-US"/>
        </w:rPr>
        <w:t xml:space="preserve"> near </w:t>
      </w:r>
      <w:r w:rsidR="00DB2CB7" w:rsidRPr="000A7E18">
        <w:rPr>
          <w:color w:val="000000" w:themeColor="text1"/>
          <w:lang w:val="en-US"/>
        </w:rPr>
        <w:t>OAR</w:t>
      </w:r>
      <w:r w:rsidR="008E25BC" w:rsidRPr="000A7E18">
        <w:rPr>
          <w:color w:val="000000" w:themeColor="text1"/>
          <w:lang w:val="en-US"/>
        </w:rPr>
        <w:t xml:space="preserve"> (the dose of which is farthest from the prescribed </w:t>
      </w:r>
      <w:r w:rsidR="008E25BC" w:rsidRPr="008E25BC">
        <w:rPr>
          <w:lang w:val="en-US"/>
        </w:rPr>
        <w:t>one and the probability of the presence of a tumor is minimal)</w:t>
      </w:r>
      <w:r w:rsidRPr="008E25BC">
        <w:rPr>
          <w:lang w:val="en-US"/>
        </w:rPr>
        <w:t xml:space="preserve"> with minimal change in the </w:t>
      </w:r>
      <w:r w:rsidR="00DB2CB7" w:rsidRPr="008E25BC">
        <w:rPr>
          <w:lang w:val="en-US"/>
        </w:rPr>
        <w:t>tumor control probability (TCP)</w:t>
      </w:r>
      <w:r w:rsidRPr="008E25BC">
        <w:rPr>
          <w:lang w:val="en-US"/>
        </w:rPr>
        <w:t>.</w:t>
      </w:r>
      <w:r w:rsidR="00DB2CB7" w:rsidRPr="008E25BC">
        <w:rPr>
          <w:lang w:val="en-US"/>
        </w:rPr>
        <w:t xml:space="preserve"> </w:t>
      </w:r>
      <w:r w:rsidR="00DE4DE8" w:rsidRPr="008E25BC">
        <w:rPr>
          <w:lang w:val="en-US"/>
        </w:rPr>
        <w:t xml:space="preserve">This attitude let us find more suitable tradeoff between target coverage and sparing of OAR. </w:t>
      </w:r>
    </w:p>
    <w:p w14:paraId="62AFC182" w14:textId="4AAA8A23" w:rsidR="00DE4DE8" w:rsidRPr="008E25BC" w:rsidRDefault="00DE4DE8" w:rsidP="00DE4DE8">
      <w:pPr>
        <w:pStyle w:val="BodyL"/>
        <w:rPr>
          <w:lang w:val="en-US"/>
        </w:rPr>
      </w:pPr>
      <w:r w:rsidRPr="008E25BC">
        <w:rPr>
          <w:lang w:val="en-US"/>
        </w:rPr>
        <w:t>In this paper, we implemented CTD in treatment planning system and compared CTV and CTD in the five cases of skull base chordomas, exploring the benefits and limitations of the new concept.</w:t>
      </w:r>
    </w:p>
    <w:p w14:paraId="4BFB41AC" w14:textId="4FFCA7E9" w:rsidR="00681344" w:rsidRPr="008E25BC" w:rsidRDefault="00681344" w:rsidP="00681344">
      <w:pPr>
        <w:pStyle w:val="Heading"/>
        <w:rPr>
          <w:lang w:val="en-US"/>
        </w:rPr>
      </w:pPr>
      <w:r w:rsidRPr="008E25BC">
        <w:rPr>
          <w:lang w:val="en-US"/>
        </w:rPr>
        <w:t>materials and methods</w:t>
      </w:r>
    </w:p>
    <w:p w14:paraId="5005F093" w14:textId="7DA7C85E" w:rsidR="00F45A62" w:rsidRPr="008E25BC" w:rsidRDefault="00AE2D6D" w:rsidP="00681344">
      <w:pPr>
        <w:pStyle w:val="BodyL"/>
        <w:rPr>
          <w:lang w:val="en-US"/>
        </w:rPr>
      </w:pPr>
      <w:r w:rsidRPr="008E25BC">
        <w:rPr>
          <w:lang w:val="en-US"/>
        </w:rPr>
        <w:t>We created treatment plans for</w:t>
      </w:r>
      <w:r w:rsidR="00681344" w:rsidRPr="008E25BC">
        <w:rPr>
          <w:lang w:val="en-US"/>
        </w:rPr>
        <w:t xml:space="preserve"> </w:t>
      </w:r>
      <w:r w:rsidRPr="008E25BC">
        <w:rPr>
          <w:lang w:val="en-US"/>
        </w:rPr>
        <w:t>five cases of skull base chordomas</w:t>
      </w:r>
      <w:r w:rsidR="00C03C98" w:rsidRPr="008E25BC">
        <w:rPr>
          <w:lang w:val="en-US"/>
        </w:rPr>
        <w:t xml:space="preserve"> (one CTV plan and one CTD plan</w:t>
      </w:r>
      <w:r w:rsidR="00C050E2">
        <w:rPr>
          <w:lang w:val="en-US"/>
        </w:rPr>
        <w:t xml:space="preserve"> for each case</w:t>
      </w:r>
      <w:r w:rsidR="00C03C98" w:rsidRPr="008E25BC">
        <w:rPr>
          <w:lang w:val="en-US"/>
        </w:rPr>
        <w:t>)</w:t>
      </w:r>
      <w:r w:rsidRPr="008E25BC">
        <w:rPr>
          <w:lang w:val="en-US"/>
        </w:rPr>
        <w:t xml:space="preserve">. CT and MRI images </w:t>
      </w:r>
      <w:r w:rsidR="0023765F" w:rsidRPr="008E25BC">
        <w:rPr>
          <w:lang w:val="en-US"/>
        </w:rPr>
        <w:t xml:space="preserve">were obtained </w:t>
      </w:r>
      <w:r w:rsidRPr="008E25BC">
        <w:rPr>
          <w:lang w:val="en-US"/>
        </w:rPr>
        <w:t>from an open database [</w:t>
      </w:r>
      <w:r w:rsidR="008E25BC">
        <w:rPr>
          <w:lang w:val="en-US"/>
        </w:rPr>
        <w:t>5</w:t>
      </w:r>
      <w:r w:rsidRPr="008E25BC">
        <w:rPr>
          <w:lang w:val="en-US"/>
        </w:rPr>
        <w:t>].</w:t>
      </w:r>
      <w:r w:rsidR="0023765F" w:rsidRPr="008E25BC">
        <w:rPr>
          <w:lang w:val="en-US"/>
        </w:rPr>
        <w:t xml:space="preserve"> GTV, CTV, OAR </w:t>
      </w:r>
      <w:r w:rsidR="006A3020" w:rsidRPr="008E25BC">
        <w:rPr>
          <w:lang w:val="en-US"/>
        </w:rPr>
        <w:t xml:space="preserve">and </w:t>
      </w:r>
      <w:r w:rsidR="00C03C98" w:rsidRPr="008E25BC">
        <w:rPr>
          <w:lang w:val="en-US"/>
        </w:rPr>
        <w:t>five probability shells</w:t>
      </w:r>
      <w:r w:rsidR="006A3020" w:rsidRPr="008E25BC">
        <w:rPr>
          <w:lang w:val="en-US"/>
        </w:rPr>
        <w:t xml:space="preserve"> of</w:t>
      </w:r>
      <w:r w:rsidR="00C03C98" w:rsidRPr="008E25BC">
        <w:rPr>
          <w:lang w:val="en-US"/>
        </w:rPr>
        <w:t xml:space="preserve"> </w:t>
      </w:r>
      <w:r w:rsidR="006A3020" w:rsidRPr="008E25BC">
        <w:rPr>
          <w:lang w:val="en-US"/>
        </w:rPr>
        <w:t xml:space="preserve">CTD </w:t>
      </w:r>
      <w:r w:rsidR="00C03C98" w:rsidRPr="008E25BC">
        <w:rPr>
          <w:lang w:val="en-US"/>
        </w:rPr>
        <w:t xml:space="preserve">were defined under the guidance of oncologist. </w:t>
      </w:r>
    </w:p>
    <w:p w14:paraId="64FF8BAC" w14:textId="4BAB76FB" w:rsidR="00AB576F" w:rsidRPr="008E25BC" w:rsidRDefault="009E1D5E" w:rsidP="009E1D5E">
      <w:pPr>
        <w:pStyle w:val="BodyL"/>
        <w:rPr>
          <w:lang w:val="en-US"/>
        </w:rPr>
      </w:pPr>
      <w:r w:rsidRPr="008E25BC">
        <w:rPr>
          <w:lang w:val="en-US"/>
        </w:rPr>
        <w:t xml:space="preserve">Method described by </w:t>
      </w:r>
      <w:proofErr w:type="spellStart"/>
      <w:r w:rsidRPr="008E25BC">
        <w:rPr>
          <w:lang w:val="en-US"/>
        </w:rPr>
        <w:t>Shusharina</w:t>
      </w:r>
      <w:proofErr w:type="spellEnd"/>
      <w:r w:rsidRPr="008E25BC">
        <w:rPr>
          <w:lang w:val="en-US"/>
        </w:rPr>
        <w:t xml:space="preserve"> et. al. [3] and Buti et. al. [4] was introduced in </w:t>
      </w:r>
      <w:proofErr w:type="spellStart"/>
      <w:r w:rsidRPr="008E25BC">
        <w:rPr>
          <w:lang w:val="en-US"/>
        </w:rPr>
        <w:t>OpenTPS</w:t>
      </w:r>
      <w:proofErr w:type="spellEnd"/>
      <w:r w:rsidR="00CC71CF" w:rsidRPr="008E25BC">
        <w:rPr>
          <w:lang w:val="en-US"/>
        </w:rPr>
        <w:t xml:space="preserve"> (open-source treatment planning system for proton therapy)</w:t>
      </w:r>
      <w:r w:rsidR="00650972" w:rsidRPr="008E25BC">
        <w:rPr>
          <w:lang w:val="en-US"/>
        </w:rPr>
        <w:t xml:space="preserve">, which has </w:t>
      </w:r>
      <w:proofErr w:type="spellStart"/>
      <w:r w:rsidR="000C4C3B" w:rsidRPr="008E25BC">
        <w:rPr>
          <w:lang w:val="en-US"/>
        </w:rPr>
        <w:t>MCsquare</w:t>
      </w:r>
      <w:proofErr w:type="spellEnd"/>
      <w:r w:rsidR="000C4C3B" w:rsidRPr="008E25BC">
        <w:rPr>
          <w:lang w:val="en-US"/>
        </w:rPr>
        <w:t xml:space="preserve"> (</w:t>
      </w:r>
      <w:r w:rsidR="00650972" w:rsidRPr="008E25BC">
        <w:rPr>
          <w:lang w:val="en-US"/>
        </w:rPr>
        <w:t>Monte Carlo</w:t>
      </w:r>
      <w:r w:rsidR="000C4C3B" w:rsidRPr="008E25BC">
        <w:rPr>
          <w:lang w:val="en-US"/>
        </w:rPr>
        <w:t xml:space="preserve"> simulation) integrated in it</w:t>
      </w:r>
      <w:r w:rsidR="00CC71CF" w:rsidRPr="008E25BC">
        <w:rPr>
          <w:lang w:val="en-US"/>
        </w:rPr>
        <w:t xml:space="preserve"> [</w:t>
      </w:r>
      <w:r w:rsidR="006E0C02">
        <w:rPr>
          <w:lang w:val="en-US"/>
        </w:rPr>
        <w:t>6</w:t>
      </w:r>
      <w:r w:rsidR="00CC71CF" w:rsidRPr="008E25BC">
        <w:rPr>
          <w:lang w:val="en-US"/>
        </w:rPr>
        <w:t xml:space="preserve">]. </w:t>
      </w:r>
      <w:r w:rsidR="00F470E8">
        <w:rPr>
          <w:lang w:val="en-US"/>
        </w:rPr>
        <w:t xml:space="preserve">Treatment plans were created with pencil beam scanning (PBS) technique. </w:t>
      </w:r>
      <w:r w:rsidR="00CC71CF" w:rsidRPr="008E25BC">
        <w:rPr>
          <w:lang w:val="en-US"/>
        </w:rPr>
        <w:t xml:space="preserve">We chose to use four beams (2 anterior oblique and 2 posterior oblique), as this is standard clinical practice for this type of tumor and offers a good balance between efficiency and optimization time. The dose goal for chordoma is </w:t>
      </w:r>
      <w:r w:rsidR="00AB576F" w:rsidRPr="008E25BC">
        <w:rPr>
          <w:lang w:val="en-US"/>
        </w:rPr>
        <w:t xml:space="preserve">more </w:t>
      </w:r>
      <w:r>
        <w:rPr>
          <w:lang w:val="en-US"/>
        </w:rPr>
        <w:t>than 60-</w:t>
      </w:r>
      <w:r w:rsidR="00CC71CF" w:rsidRPr="008E25BC">
        <w:rPr>
          <w:lang w:val="en-US"/>
        </w:rPr>
        <w:t>70 Gy</w:t>
      </w:r>
      <w:r w:rsidR="00AB576F" w:rsidRPr="008E25BC">
        <w:rPr>
          <w:lang w:val="en-US"/>
        </w:rPr>
        <w:t xml:space="preserve"> [</w:t>
      </w:r>
      <w:r>
        <w:rPr>
          <w:lang w:val="en-US"/>
        </w:rPr>
        <w:t>7</w:t>
      </w:r>
      <w:r w:rsidR="00AB576F" w:rsidRPr="008E25BC">
        <w:rPr>
          <w:lang w:val="en-US"/>
        </w:rPr>
        <w:t>]</w:t>
      </w:r>
      <w:r w:rsidR="00CC71CF" w:rsidRPr="008E25BC">
        <w:rPr>
          <w:lang w:val="en-US"/>
        </w:rPr>
        <w:t>. Spot spacing and layer spacing w</w:t>
      </w:r>
      <w:r w:rsidR="00B91F22">
        <w:rPr>
          <w:lang w:val="en-US"/>
        </w:rPr>
        <w:t>ere</w:t>
      </w:r>
      <w:r w:rsidR="00CC71CF" w:rsidRPr="008E25BC">
        <w:rPr>
          <w:lang w:val="en-US"/>
        </w:rPr>
        <w:t xml:space="preserve"> 5 mm. </w:t>
      </w:r>
    </w:p>
    <w:p w14:paraId="448E02A4" w14:textId="2AFE82C7" w:rsidR="00847A4A" w:rsidRDefault="00C8763F" w:rsidP="00006064">
      <w:pPr>
        <w:pStyle w:val="BodyL"/>
        <w:rPr>
          <w:lang w:val="en-US"/>
        </w:rPr>
      </w:pPr>
      <w:r w:rsidRPr="008E25BC">
        <w:rPr>
          <w:lang w:val="en-US"/>
        </w:rPr>
        <w:t xml:space="preserve">The optimization was done with the limited-memory </w:t>
      </w:r>
      <w:proofErr w:type="spellStart"/>
      <w:r w:rsidRPr="008E25BC">
        <w:rPr>
          <w:lang w:val="en-US"/>
        </w:rPr>
        <w:t>Broyden</w:t>
      </w:r>
      <w:proofErr w:type="spellEnd"/>
      <w:r w:rsidRPr="008E25BC">
        <w:rPr>
          <w:lang w:val="en-US"/>
        </w:rPr>
        <w:t>–Fletcher–Goldfarb–Shann</w:t>
      </w:r>
      <w:r w:rsidR="00E04EC5">
        <w:rPr>
          <w:lang w:val="en-US"/>
        </w:rPr>
        <w:t>o</w:t>
      </w:r>
      <w:r w:rsidRPr="008E25BC">
        <w:rPr>
          <w:lang w:val="en-US"/>
        </w:rPr>
        <w:t xml:space="preserve"> (L</w:t>
      </w:r>
      <w:r w:rsidR="00847A4A" w:rsidRPr="008E25BC">
        <w:rPr>
          <w:lang w:val="en-US"/>
        </w:rPr>
        <w:t>M</w:t>
      </w:r>
      <w:r w:rsidRPr="008E25BC">
        <w:rPr>
          <w:lang w:val="en-US"/>
        </w:rPr>
        <w:t xml:space="preserve">-BFGS). </w:t>
      </w:r>
      <w:r w:rsidR="00AB576F" w:rsidRPr="008E25BC">
        <w:rPr>
          <w:lang w:val="en-US"/>
        </w:rPr>
        <w:t xml:space="preserve">OAR </w:t>
      </w:r>
      <w:r w:rsidRPr="008E25BC">
        <w:rPr>
          <w:lang w:val="en-US"/>
        </w:rPr>
        <w:t xml:space="preserve">optimization parameters </w:t>
      </w:r>
      <w:r w:rsidR="00847A4A" w:rsidRPr="008E25BC">
        <w:rPr>
          <w:lang w:val="en-US"/>
        </w:rPr>
        <w:t>satisfy the European Particle Therapy Network</w:t>
      </w:r>
      <w:r w:rsidR="00E04EC5">
        <w:rPr>
          <w:lang w:val="en-US"/>
        </w:rPr>
        <w:t xml:space="preserve"> </w:t>
      </w:r>
      <w:r w:rsidR="00847A4A" w:rsidRPr="008E25BC">
        <w:rPr>
          <w:lang w:val="en-US"/>
        </w:rPr>
        <w:t xml:space="preserve">consensus </w:t>
      </w:r>
      <w:r w:rsidR="00E04EC5">
        <w:rPr>
          <w:lang w:val="en-US"/>
        </w:rPr>
        <w:t xml:space="preserve">on </w:t>
      </w:r>
      <w:r w:rsidR="00847A4A" w:rsidRPr="008E25BC">
        <w:rPr>
          <w:lang w:val="en-US"/>
        </w:rPr>
        <w:t xml:space="preserve">OAR dose constraints </w:t>
      </w:r>
      <w:r w:rsidR="00006064">
        <w:rPr>
          <w:lang w:val="en-US"/>
        </w:rPr>
        <w:t>(</w:t>
      </w:r>
      <w:r w:rsidRPr="008E25BC">
        <w:rPr>
          <w:lang w:val="en-US"/>
        </w:rPr>
        <w:t>Table 1</w:t>
      </w:r>
      <w:r w:rsidR="00006064">
        <w:rPr>
          <w:lang w:val="en-US"/>
        </w:rPr>
        <w:t>)</w:t>
      </w:r>
      <w:r w:rsidR="00AB576F" w:rsidRPr="008E25BC">
        <w:rPr>
          <w:lang w:val="en-US"/>
        </w:rPr>
        <w:t xml:space="preserve"> [</w:t>
      </w:r>
      <w:r w:rsidR="006E0C02">
        <w:rPr>
          <w:lang w:val="en-US"/>
        </w:rPr>
        <w:t>8</w:t>
      </w:r>
      <w:r w:rsidR="00AB576F" w:rsidRPr="008E25BC">
        <w:rPr>
          <w:lang w:val="en-US"/>
        </w:rPr>
        <w:t>]</w:t>
      </w:r>
      <w:r w:rsidRPr="008E25BC">
        <w:rPr>
          <w:lang w:val="en-US"/>
        </w:rPr>
        <w:t>.</w:t>
      </w:r>
      <w:r w:rsidR="001372A6">
        <w:rPr>
          <w:lang w:val="en-US"/>
        </w:rPr>
        <w:t xml:space="preserve"> </w:t>
      </w:r>
      <w:r w:rsidR="00006064">
        <w:rPr>
          <w:lang w:val="en-US"/>
        </w:rPr>
        <w:t xml:space="preserve">Each plan was evaluated by calculating </w:t>
      </w:r>
      <w:r w:rsidR="00006064" w:rsidRPr="008E25BC">
        <w:rPr>
          <w:lang w:val="en-US"/>
        </w:rPr>
        <w:t>TCP</w:t>
      </w:r>
      <w:r w:rsidR="00006064">
        <w:rPr>
          <w:lang w:val="en-US"/>
        </w:rPr>
        <w:t xml:space="preserve"> and by a</w:t>
      </w:r>
      <w:r w:rsidR="00006064" w:rsidRPr="001B1143">
        <w:rPr>
          <w:lang w:val="en-US"/>
        </w:rPr>
        <w:t xml:space="preserve">cceptance criteria </w:t>
      </w:r>
      <w:r w:rsidR="00006064">
        <w:rPr>
          <w:lang w:val="en-US"/>
        </w:rPr>
        <w:t xml:space="preserve">of treatment goals [9] and </w:t>
      </w:r>
      <w:r w:rsidR="00006064" w:rsidRPr="00E82D4E">
        <w:rPr>
          <w:lang w:val="en-US"/>
        </w:rPr>
        <w:t>DVH</w:t>
      </w:r>
      <w:r w:rsidR="00903428">
        <w:rPr>
          <w:lang w:val="en-US"/>
        </w:rPr>
        <w:t xml:space="preserve"> </w:t>
      </w:r>
      <w:r w:rsidR="00903428" w:rsidRPr="00903428">
        <w:rPr>
          <w:lang w:val="en-US"/>
        </w:rPr>
        <w:t>(dose-volume histogram)</w:t>
      </w:r>
      <w:r w:rsidR="00006064" w:rsidRPr="00E82D4E">
        <w:rPr>
          <w:lang w:val="en-US"/>
        </w:rPr>
        <w:t xml:space="preserve"> parameters</w:t>
      </w:r>
      <w:r w:rsidR="00006064">
        <w:rPr>
          <w:lang w:val="en-US"/>
        </w:rPr>
        <w:t xml:space="preserve"> [10].</w:t>
      </w:r>
    </w:p>
    <w:p w14:paraId="2E89A94B" w14:textId="4FB13507" w:rsidR="00847A4A" w:rsidRPr="0019448E" w:rsidRDefault="00847A4A" w:rsidP="00006064">
      <w:pPr>
        <w:pStyle w:val="BodyL"/>
        <w:spacing w:before="240"/>
        <w:ind w:firstLine="0"/>
        <w:jc w:val="center"/>
        <w:rPr>
          <w:sz w:val="20"/>
          <w:szCs w:val="16"/>
          <w:lang w:val="en-US"/>
        </w:rPr>
      </w:pPr>
      <w:r w:rsidRPr="0019448E">
        <w:rPr>
          <w:b/>
          <w:bCs/>
          <w:sz w:val="20"/>
          <w:szCs w:val="16"/>
          <w:lang w:val="en-US"/>
        </w:rPr>
        <w:t>Table 1:</w:t>
      </w:r>
      <w:r w:rsidRPr="0019448E">
        <w:rPr>
          <w:sz w:val="20"/>
          <w:szCs w:val="16"/>
          <w:lang w:val="en-US"/>
        </w:rPr>
        <w:t xml:space="preserve"> Optimization parameters for OAR</w:t>
      </w:r>
    </w:p>
    <w:tbl>
      <w:tblPr>
        <w:tblStyle w:val="af4"/>
        <w:tblW w:w="7225" w:type="dxa"/>
        <w:jc w:val="center"/>
        <w:tblLook w:val="0600" w:firstRow="0" w:lastRow="0" w:firstColumn="0" w:lastColumn="0" w:noHBand="1" w:noVBand="1"/>
      </w:tblPr>
      <w:tblGrid>
        <w:gridCol w:w="2061"/>
        <w:gridCol w:w="1617"/>
        <w:gridCol w:w="1846"/>
        <w:gridCol w:w="1701"/>
      </w:tblGrid>
      <w:tr w:rsidR="00C050E2" w:rsidRPr="0019448E" w14:paraId="291C9C83" w14:textId="77777777" w:rsidTr="00C050E2">
        <w:trPr>
          <w:trHeight w:val="358"/>
          <w:jc w:val="center"/>
        </w:trPr>
        <w:tc>
          <w:tcPr>
            <w:tcW w:w="2061" w:type="dxa"/>
            <w:shd w:val="clear" w:color="auto" w:fill="D9D9D9" w:themeFill="background1" w:themeFillShade="D9"/>
            <w:hideMark/>
          </w:tcPr>
          <w:p w14:paraId="70E6AD3C" w14:textId="77777777" w:rsidR="00C8763F" w:rsidRPr="00C8763F" w:rsidRDefault="00C8763F" w:rsidP="00847A4A">
            <w:pPr>
              <w:pStyle w:val="BodyL"/>
              <w:ind w:firstLine="0"/>
              <w:jc w:val="center"/>
              <w:rPr>
                <w:b/>
                <w:bCs/>
                <w:sz w:val="20"/>
                <w:szCs w:val="16"/>
                <w:lang w:val="en-US"/>
              </w:rPr>
            </w:pPr>
            <w:r w:rsidRPr="00C8763F">
              <w:rPr>
                <w:b/>
                <w:bCs/>
                <w:sz w:val="20"/>
                <w:szCs w:val="16"/>
                <w:lang w:val="en-US"/>
              </w:rPr>
              <w:t>Target</w:t>
            </w:r>
          </w:p>
        </w:tc>
        <w:tc>
          <w:tcPr>
            <w:tcW w:w="1617" w:type="dxa"/>
            <w:shd w:val="clear" w:color="auto" w:fill="D9D9D9" w:themeFill="background1" w:themeFillShade="D9"/>
            <w:hideMark/>
          </w:tcPr>
          <w:p w14:paraId="5C90CCA8" w14:textId="77777777" w:rsidR="00C8763F" w:rsidRPr="00C8763F" w:rsidRDefault="00C8763F" w:rsidP="00847A4A">
            <w:pPr>
              <w:pStyle w:val="BodyL"/>
              <w:ind w:firstLine="0"/>
              <w:jc w:val="center"/>
              <w:rPr>
                <w:b/>
                <w:bCs/>
                <w:sz w:val="20"/>
                <w:szCs w:val="16"/>
                <w:lang w:val="en-US"/>
              </w:rPr>
            </w:pPr>
            <w:r w:rsidRPr="00C8763F">
              <w:rPr>
                <w:b/>
                <w:bCs/>
                <w:sz w:val="20"/>
                <w:szCs w:val="16"/>
                <w:lang w:val="en-US"/>
              </w:rPr>
              <w:t>Function</w:t>
            </w:r>
          </w:p>
        </w:tc>
        <w:tc>
          <w:tcPr>
            <w:tcW w:w="1846" w:type="dxa"/>
            <w:shd w:val="clear" w:color="auto" w:fill="D9D9D9" w:themeFill="background1" w:themeFillShade="D9"/>
            <w:hideMark/>
          </w:tcPr>
          <w:p w14:paraId="3A083E98" w14:textId="77777777" w:rsidR="00C8763F" w:rsidRPr="00C8763F" w:rsidRDefault="00C8763F" w:rsidP="00847A4A">
            <w:pPr>
              <w:pStyle w:val="BodyL"/>
              <w:ind w:firstLine="0"/>
              <w:jc w:val="center"/>
              <w:rPr>
                <w:b/>
                <w:bCs/>
                <w:sz w:val="20"/>
                <w:szCs w:val="16"/>
                <w:lang w:val="en-US"/>
              </w:rPr>
            </w:pPr>
            <w:r w:rsidRPr="00C8763F">
              <w:rPr>
                <w:b/>
                <w:bCs/>
                <w:sz w:val="20"/>
                <w:szCs w:val="16"/>
                <w:lang w:val="en-US"/>
              </w:rPr>
              <w:t>Dose level, Gy</w:t>
            </w:r>
          </w:p>
        </w:tc>
        <w:tc>
          <w:tcPr>
            <w:tcW w:w="1701" w:type="dxa"/>
            <w:shd w:val="clear" w:color="auto" w:fill="D9D9D9" w:themeFill="background1" w:themeFillShade="D9"/>
            <w:hideMark/>
          </w:tcPr>
          <w:p w14:paraId="695626D5" w14:textId="77777777" w:rsidR="00C8763F" w:rsidRPr="00C8763F" w:rsidRDefault="00C8763F" w:rsidP="00847A4A">
            <w:pPr>
              <w:pStyle w:val="BodyL"/>
              <w:ind w:firstLine="0"/>
              <w:jc w:val="center"/>
              <w:rPr>
                <w:b/>
                <w:bCs/>
                <w:sz w:val="20"/>
                <w:szCs w:val="16"/>
                <w:lang w:val="en-US"/>
              </w:rPr>
            </w:pPr>
            <w:r w:rsidRPr="00C8763F">
              <w:rPr>
                <w:b/>
                <w:bCs/>
                <w:sz w:val="20"/>
                <w:szCs w:val="16"/>
                <w:lang w:val="en-US"/>
              </w:rPr>
              <w:t>Weight</w:t>
            </w:r>
          </w:p>
        </w:tc>
      </w:tr>
      <w:tr w:rsidR="00C8763F" w:rsidRPr="00C8763F" w14:paraId="4285C83F" w14:textId="77777777" w:rsidTr="00C050E2">
        <w:trPr>
          <w:trHeight w:val="358"/>
          <w:jc w:val="center"/>
        </w:trPr>
        <w:tc>
          <w:tcPr>
            <w:tcW w:w="2061" w:type="dxa"/>
            <w:hideMark/>
          </w:tcPr>
          <w:p w14:paraId="49AD0CFB" w14:textId="77777777" w:rsidR="00C8763F" w:rsidRPr="00C8763F" w:rsidRDefault="00C8763F" w:rsidP="00C8763F">
            <w:pPr>
              <w:pStyle w:val="BodyL"/>
              <w:ind w:firstLine="0"/>
              <w:rPr>
                <w:sz w:val="20"/>
                <w:szCs w:val="16"/>
                <w:lang w:val="en-US"/>
              </w:rPr>
            </w:pPr>
            <w:r w:rsidRPr="00C8763F">
              <w:rPr>
                <w:sz w:val="20"/>
                <w:szCs w:val="16"/>
                <w:lang w:val="en-US"/>
              </w:rPr>
              <w:t>Brainstem surface</w:t>
            </w:r>
          </w:p>
        </w:tc>
        <w:tc>
          <w:tcPr>
            <w:tcW w:w="1617" w:type="dxa"/>
            <w:hideMark/>
          </w:tcPr>
          <w:p w14:paraId="0ED7C64A" w14:textId="77777777" w:rsidR="00C8763F" w:rsidRPr="00C8763F" w:rsidRDefault="00C8763F" w:rsidP="00847A4A">
            <w:pPr>
              <w:pStyle w:val="BodyL"/>
              <w:ind w:firstLine="0"/>
              <w:jc w:val="center"/>
              <w:rPr>
                <w:sz w:val="20"/>
                <w:szCs w:val="16"/>
                <w:lang w:val="en-US"/>
              </w:rPr>
            </w:pPr>
            <w:r w:rsidRPr="00C8763F">
              <w:rPr>
                <w:sz w:val="20"/>
                <w:szCs w:val="16"/>
                <w:lang w:val="en-US"/>
              </w:rPr>
              <w:t>Max dose</w:t>
            </w:r>
          </w:p>
        </w:tc>
        <w:tc>
          <w:tcPr>
            <w:tcW w:w="1846" w:type="dxa"/>
            <w:hideMark/>
          </w:tcPr>
          <w:p w14:paraId="06DEB4D7" w14:textId="77777777" w:rsidR="00C8763F" w:rsidRPr="00C8763F" w:rsidRDefault="00C8763F" w:rsidP="00847A4A">
            <w:pPr>
              <w:pStyle w:val="BodyL"/>
              <w:ind w:firstLine="0"/>
              <w:jc w:val="center"/>
              <w:rPr>
                <w:sz w:val="20"/>
                <w:szCs w:val="16"/>
                <w:lang w:val="en-US"/>
              </w:rPr>
            </w:pPr>
            <w:r w:rsidRPr="00C8763F">
              <w:rPr>
                <w:sz w:val="20"/>
                <w:szCs w:val="16"/>
                <w:lang w:val="en-US"/>
              </w:rPr>
              <w:t>65</w:t>
            </w:r>
          </w:p>
        </w:tc>
        <w:tc>
          <w:tcPr>
            <w:tcW w:w="1701" w:type="dxa"/>
            <w:hideMark/>
          </w:tcPr>
          <w:p w14:paraId="28CC592C" w14:textId="77777777" w:rsidR="00C8763F" w:rsidRPr="00C8763F" w:rsidRDefault="00C8763F" w:rsidP="00847A4A">
            <w:pPr>
              <w:pStyle w:val="BodyL"/>
              <w:ind w:firstLine="0"/>
              <w:jc w:val="center"/>
              <w:rPr>
                <w:sz w:val="20"/>
                <w:szCs w:val="16"/>
                <w:lang w:val="en-US"/>
              </w:rPr>
            </w:pPr>
            <w:r w:rsidRPr="00C8763F">
              <w:rPr>
                <w:sz w:val="20"/>
                <w:szCs w:val="16"/>
                <w:lang w:val="en-US"/>
              </w:rPr>
              <w:t>Constraint</w:t>
            </w:r>
          </w:p>
        </w:tc>
      </w:tr>
      <w:tr w:rsidR="00C8763F" w:rsidRPr="00C8763F" w14:paraId="473BD170" w14:textId="77777777" w:rsidTr="00C050E2">
        <w:trPr>
          <w:trHeight w:val="358"/>
          <w:jc w:val="center"/>
        </w:trPr>
        <w:tc>
          <w:tcPr>
            <w:tcW w:w="2061" w:type="dxa"/>
            <w:hideMark/>
          </w:tcPr>
          <w:p w14:paraId="215FFBDF" w14:textId="77777777" w:rsidR="00C8763F" w:rsidRPr="00C8763F" w:rsidRDefault="00C8763F" w:rsidP="00C8763F">
            <w:pPr>
              <w:pStyle w:val="BodyL"/>
              <w:ind w:firstLine="0"/>
              <w:rPr>
                <w:sz w:val="20"/>
                <w:szCs w:val="16"/>
                <w:lang w:val="en-US"/>
              </w:rPr>
            </w:pPr>
            <w:r w:rsidRPr="00C8763F">
              <w:rPr>
                <w:sz w:val="20"/>
                <w:szCs w:val="16"/>
                <w:lang w:val="en-US"/>
              </w:rPr>
              <w:t>Brainstem center</w:t>
            </w:r>
          </w:p>
        </w:tc>
        <w:tc>
          <w:tcPr>
            <w:tcW w:w="1617" w:type="dxa"/>
            <w:hideMark/>
          </w:tcPr>
          <w:p w14:paraId="7A4E4B76" w14:textId="77777777" w:rsidR="00C8763F" w:rsidRPr="00C8763F" w:rsidRDefault="00C8763F" w:rsidP="00847A4A">
            <w:pPr>
              <w:pStyle w:val="BodyL"/>
              <w:ind w:firstLine="0"/>
              <w:jc w:val="center"/>
              <w:rPr>
                <w:sz w:val="20"/>
                <w:szCs w:val="16"/>
                <w:lang w:val="en-US"/>
              </w:rPr>
            </w:pPr>
            <w:r w:rsidRPr="00C8763F">
              <w:rPr>
                <w:sz w:val="20"/>
                <w:szCs w:val="16"/>
                <w:lang w:val="en-US"/>
              </w:rPr>
              <w:t>Max dose</w:t>
            </w:r>
          </w:p>
        </w:tc>
        <w:tc>
          <w:tcPr>
            <w:tcW w:w="1846" w:type="dxa"/>
            <w:hideMark/>
          </w:tcPr>
          <w:p w14:paraId="28B1E993" w14:textId="77777777" w:rsidR="00C8763F" w:rsidRPr="00C8763F" w:rsidRDefault="00C8763F" w:rsidP="00847A4A">
            <w:pPr>
              <w:pStyle w:val="BodyL"/>
              <w:ind w:firstLine="0"/>
              <w:jc w:val="center"/>
              <w:rPr>
                <w:sz w:val="20"/>
                <w:szCs w:val="16"/>
                <w:lang w:val="en-US"/>
              </w:rPr>
            </w:pPr>
            <w:r w:rsidRPr="00C8763F">
              <w:rPr>
                <w:sz w:val="20"/>
                <w:szCs w:val="16"/>
                <w:lang w:val="en-US"/>
              </w:rPr>
              <w:t>50</w:t>
            </w:r>
          </w:p>
        </w:tc>
        <w:tc>
          <w:tcPr>
            <w:tcW w:w="1701" w:type="dxa"/>
            <w:hideMark/>
          </w:tcPr>
          <w:p w14:paraId="4C5A820C" w14:textId="77777777" w:rsidR="00C8763F" w:rsidRPr="00C8763F" w:rsidRDefault="00C8763F" w:rsidP="00847A4A">
            <w:pPr>
              <w:pStyle w:val="BodyL"/>
              <w:ind w:firstLine="0"/>
              <w:jc w:val="center"/>
              <w:rPr>
                <w:sz w:val="20"/>
                <w:szCs w:val="16"/>
                <w:lang w:val="en-US"/>
              </w:rPr>
            </w:pPr>
            <w:r w:rsidRPr="00C8763F">
              <w:rPr>
                <w:sz w:val="20"/>
                <w:szCs w:val="16"/>
                <w:lang w:val="en-US"/>
              </w:rPr>
              <w:t>Constraint</w:t>
            </w:r>
          </w:p>
        </w:tc>
      </w:tr>
      <w:tr w:rsidR="00C8763F" w:rsidRPr="00C8763F" w14:paraId="67687BA6" w14:textId="77777777" w:rsidTr="00C050E2">
        <w:trPr>
          <w:trHeight w:val="358"/>
          <w:jc w:val="center"/>
        </w:trPr>
        <w:tc>
          <w:tcPr>
            <w:tcW w:w="2061" w:type="dxa"/>
            <w:hideMark/>
          </w:tcPr>
          <w:p w14:paraId="5CDE8FAD" w14:textId="77777777" w:rsidR="00C8763F" w:rsidRPr="00C8763F" w:rsidRDefault="00C8763F" w:rsidP="00C8763F">
            <w:pPr>
              <w:pStyle w:val="BodyL"/>
              <w:ind w:firstLine="0"/>
              <w:rPr>
                <w:sz w:val="20"/>
                <w:szCs w:val="16"/>
                <w:lang w:val="en-US"/>
              </w:rPr>
            </w:pPr>
            <w:r w:rsidRPr="00C8763F">
              <w:rPr>
                <w:sz w:val="20"/>
                <w:szCs w:val="16"/>
                <w:lang w:val="en-US"/>
              </w:rPr>
              <w:t>Optic Chiasm</w:t>
            </w:r>
          </w:p>
        </w:tc>
        <w:tc>
          <w:tcPr>
            <w:tcW w:w="1617" w:type="dxa"/>
            <w:hideMark/>
          </w:tcPr>
          <w:p w14:paraId="613ABF74" w14:textId="77777777" w:rsidR="00C8763F" w:rsidRPr="00C8763F" w:rsidRDefault="00C8763F" w:rsidP="00847A4A">
            <w:pPr>
              <w:pStyle w:val="BodyL"/>
              <w:ind w:firstLine="0"/>
              <w:jc w:val="center"/>
              <w:rPr>
                <w:sz w:val="20"/>
                <w:szCs w:val="16"/>
                <w:lang w:val="en-US"/>
              </w:rPr>
            </w:pPr>
            <w:r w:rsidRPr="00C8763F">
              <w:rPr>
                <w:sz w:val="20"/>
                <w:szCs w:val="16"/>
                <w:lang w:val="en-US"/>
              </w:rPr>
              <w:t>Max dose</w:t>
            </w:r>
          </w:p>
        </w:tc>
        <w:tc>
          <w:tcPr>
            <w:tcW w:w="1846" w:type="dxa"/>
            <w:hideMark/>
          </w:tcPr>
          <w:p w14:paraId="25CFBCA7" w14:textId="77777777" w:rsidR="00C8763F" w:rsidRPr="00C8763F" w:rsidRDefault="00C8763F" w:rsidP="00847A4A">
            <w:pPr>
              <w:pStyle w:val="BodyL"/>
              <w:ind w:firstLine="0"/>
              <w:jc w:val="center"/>
              <w:rPr>
                <w:sz w:val="20"/>
                <w:szCs w:val="16"/>
                <w:lang w:val="en-US"/>
              </w:rPr>
            </w:pPr>
            <w:r w:rsidRPr="00C8763F">
              <w:rPr>
                <w:sz w:val="20"/>
                <w:szCs w:val="16"/>
                <w:lang w:val="en-US"/>
              </w:rPr>
              <w:t>55</w:t>
            </w:r>
          </w:p>
        </w:tc>
        <w:tc>
          <w:tcPr>
            <w:tcW w:w="1701" w:type="dxa"/>
            <w:hideMark/>
          </w:tcPr>
          <w:p w14:paraId="2D8521A5" w14:textId="77777777" w:rsidR="00C8763F" w:rsidRPr="00C8763F" w:rsidRDefault="00C8763F" w:rsidP="00847A4A">
            <w:pPr>
              <w:pStyle w:val="BodyL"/>
              <w:ind w:firstLine="0"/>
              <w:jc w:val="center"/>
              <w:rPr>
                <w:sz w:val="20"/>
                <w:szCs w:val="16"/>
                <w:lang w:val="en-US"/>
              </w:rPr>
            </w:pPr>
            <w:r w:rsidRPr="00C8763F">
              <w:rPr>
                <w:sz w:val="20"/>
                <w:szCs w:val="16"/>
                <w:lang w:val="en-US"/>
              </w:rPr>
              <w:t>Constraint</w:t>
            </w:r>
          </w:p>
        </w:tc>
      </w:tr>
      <w:tr w:rsidR="00C8763F" w:rsidRPr="00C8763F" w14:paraId="52C72A8B" w14:textId="77777777" w:rsidTr="00C050E2">
        <w:trPr>
          <w:trHeight w:val="358"/>
          <w:jc w:val="center"/>
        </w:trPr>
        <w:tc>
          <w:tcPr>
            <w:tcW w:w="2061" w:type="dxa"/>
            <w:hideMark/>
          </w:tcPr>
          <w:p w14:paraId="2E5C7ECD" w14:textId="77777777" w:rsidR="00C8763F" w:rsidRPr="00C8763F" w:rsidRDefault="00C8763F" w:rsidP="00C8763F">
            <w:pPr>
              <w:pStyle w:val="BodyL"/>
              <w:ind w:firstLine="0"/>
              <w:rPr>
                <w:sz w:val="20"/>
                <w:szCs w:val="16"/>
                <w:lang w:val="en-US"/>
              </w:rPr>
            </w:pPr>
            <w:r w:rsidRPr="00C8763F">
              <w:rPr>
                <w:sz w:val="20"/>
                <w:szCs w:val="16"/>
                <w:lang w:val="en-US"/>
              </w:rPr>
              <w:t>Hippocampi</w:t>
            </w:r>
          </w:p>
        </w:tc>
        <w:tc>
          <w:tcPr>
            <w:tcW w:w="1617" w:type="dxa"/>
            <w:hideMark/>
          </w:tcPr>
          <w:p w14:paraId="2D793CBD" w14:textId="77777777" w:rsidR="00C8763F" w:rsidRPr="00C8763F" w:rsidRDefault="00C8763F" w:rsidP="00847A4A">
            <w:pPr>
              <w:pStyle w:val="BodyL"/>
              <w:ind w:firstLine="0"/>
              <w:jc w:val="center"/>
              <w:rPr>
                <w:sz w:val="20"/>
                <w:szCs w:val="16"/>
                <w:lang w:val="en-US"/>
              </w:rPr>
            </w:pPr>
            <w:r w:rsidRPr="00C8763F">
              <w:rPr>
                <w:sz w:val="20"/>
                <w:szCs w:val="16"/>
                <w:lang w:val="en-US"/>
              </w:rPr>
              <w:t>Max dose</w:t>
            </w:r>
          </w:p>
        </w:tc>
        <w:tc>
          <w:tcPr>
            <w:tcW w:w="1846" w:type="dxa"/>
            <w:hideMark/>
          </w:tcPr>
          <w:p w14:paraId="1F1BF654" w14:textId="77777777" w:rsidR="00C8763F" w:rsidRPr="00C8763F" w:rsidRDefault="00C8763F" w:rsidP="00847A4A">
            <w:pPr>
              <w:pStyle w:val="BodyL"/>
              <w:ind w:firstLine="0"/>
              <w:jc w:val="center"/>
              <w:rPr>
                <w:sz w:val="20"/>
                <w:szCs w:val="16"/>
                <w:lang w:val="en-US"/>
              </w:rPr>
            </w:pPr>
            <w:r w:rsidRPr="00C8763F">
              <w:rPr>
                <w:sz w:val="20"/>
                <w:szCs w:val="16"/>
                <w:lang w:val="en-US"/>
              </w:rPr>
              <w:t>7.3</w:t>
            </w:r>
          </w:p>
        </w:tc>
        <w:tc>
          <w:tcPr>
            <w:tcW w:w="1701" w:type="dxa"/>
            <w:hideMark/>
          </w:tcPr>
          <w:p w14:paraId="0EC5BBED" w14:textId="77777777" w:rsidR="00C8763F" w:rsidRPr="00C8763F" w:rsidRDefault="00C8763F" w:rsidP="00847A4A">
            <w:pPr>
              <w:pStyle w:val="BodyL"/>
              <w:ind w:firstLine="0"/>
              <w:jc w:val="center"/>
              <w:rPr>
                <w:sz w:val="20"/>
                <w:szCs w:val="16"/>
                <w:lang w:val="en-US"/>
              </w:rPr>
            </w:pPr>
            <w:r w:rsidRPr="00C8763F">
              <w:rPr>
                <w:sz w:val="20"/>
                <w:szCs w:val="16"/>
                <w:lang w:val="en-US"/>
              </w:rPr>
              <w:t>Constraint</w:t>
            </w:r>
          </w:p>
        </w:tc>
      </w:tr>
    </w:tbl>
    <w:p w14:paraId="261DB9D9" w14:textId="57A41E73" w:rsidR="003D7147" w:rsidRPr="003D7147" w:rsidRDefault="003D7147" w:rsidP="00006064">
      <w:pPr>
        <w:pStyle w:val="BodyL"/>
        <w:spacing w:before="240"/>
        <w:rPr>
          <w:lang w:val="en-US"/>
        </w:rPr>
      </w:pPr>
      <w:r w:rsidRPr="003D7147">
        <w:rPr>
          <w:lang w:val="en-US"/>
        </w:rPr>
        <w:lastRenderedPageBreak/>
        <w:t xml:space="preserve">Due to the small sample (n=5), statistical significance of differences between groups was determined using the sign </w:t>
      </w:r>
      <w:r>
        <w:rPr>
          <w:lang w:val="en-US"/>
        </w:rPr>
        <w:t>test</w:t>
      </w:r>
      <w:r w:rsidRPr="003D7147">
        <w:rPr>
          <w:lang w:val="en-US"/>
        </w:rPr>
        <w:t xml:space="preserve"> and the Wilcoxon </w:t>
      </w:r>
      <w:r>
        <w:rPr>
          <w:lang w:val="en-US"/>
        </w:rPr>
        <w:t xml:space="preserve">signed-rank </w:t>
      </w:r>
      <w:r w:rsidRPr="003D7147">
        <w:rPr>
          <w:lang w:val="en-US"/>
        </w:rPr>
        <w:t>test. Differences were considered statistically significant at a significance level of less than 0.05.</w:t>
      </w:r>
    </w:p>
    <w:p w14:paraId="1A366E0C" w14:textId="4CC375F2" w:rsidR="00681344" w:rsidRPr="008E25BC" w:rsidRDefault="00681344" w:rsidP="00681344">
      <w:pPr>
        <w:pStyle w:val="Heading"/>
        <w:rPr>
          <w:lang w:val="en-US"/>
        </w:rPr>
      </w:pPr>
      <w:r w:rsidRPr="008E25BC">
        <w:rPr>
          <w:lang w:val="en-US"/>
        </w:rPr>
        <w:t>results</w:t>
      </w:r>
    </w:p>
    <w:p w14:paraId="23B62E36" w14:textId="6FB1DCBC" w:rsidR="00E1023A" w:rsidRPr="008E25BC" w:rsidRDefault="00681344" w:rsidP="00515F88">
      <w:pPr>
        <w:pStyle w:val="BodyL"/>
        <w:rPr>
          <w:lang w:val="en-US"/>
        </w:rPr>
      </w:pPr>
      <w:r w:rsidRPr="008E25BC">
        <w:rPr>
          <w:lang w:val="en-US"/>
        </w:rPr>
        <w:t xml:space="preserve"> </w:t>
      </w:r>
      <w:r w:rsidR="00847A4A" w:rsidRPr="008E25BC">
        <w:rPr>
          <w:lang w:val="en-US"/>
        </w:rPr>
        <w:t xml:space="preserve">For our cases of skull base chordomas in both CTV and CTD plans we received prescription dose in GTV </w:t>
      </w:r>
      <w:r w:rsidR="0007497A" w:rsidRPr="008E25BC">
        <w:rPr>
          <w:lang w:val="en-US"/>
        </w:rPr>
        <w:t xml:space="preserve">(Table 2). </w:t>
      </w:r>
      <w:r w:rsidR="00847A4A" w:rsidRPr="008E25BC">
        <w:rPr>
          <w:lang w:val="en-US"/>
        </w:rPr>
        <w:t xml:space="preserve">Moreover, the maximal dose constraints for the </w:t>
      </w:r>
      <w:r w:rsidR="00AC413A">
        <w:rPr>
          <w:lang w:val="en-US"/>
        </w:rPr>
        <w:t>OAR</w:t>
      </w:r>
      <w:r w:rsidR="00847A4A" w:rsidRPr="008E25BC">
        <w:rPr>
          <w:lang w:val="en-US"/>
        </w:rPr>
        <w:t xml:space="preserve"> </w:t>
      </w:r>
      <w:r w:rsidR="00AC413A">
        <w:rPr>
          <w:lang w:val="en-US"/>
        </w:rPr>
        <w:t>were</w:t>
      </w:r>
      <w:r w:rsidR="00847A4A" w:rsidRPr="008E25BC">
        <w:rPr>
          <w:lang w:val="en-US"/>
        </w:rPr>
        <w:t xml:space="preserve"> satisfied for all plans</w:t>
      </w:r>
      <w:r w:rsidR="00BD56EB">
        <w:rPr>
          <w:lang w:val="en-US"/>
        </w:rPr>
        <w:t>,</w:t>
      </w:r>
      <w:r w:rsidR="00847A4A" w:rsidRPr="008E25BC">
        <w:rPr>
          <w:lang w:val="en-US"/>
        </w:rPr>
        <w:t xml:space="preserve"> and </w:t>
      </w:r>
      <w:r w:rsidR="00801CF3">
        <w:rPr>
          <w:lang w:val="en-US"/>
        </w:rPr>
        <w:t>w</w:t>
      </w:r>
      <w:r w:rsidR="00801CF3" w:rsidRPr="00801CF3">
        <w:rPr>
          <w:lang w:val="en-US"/>
        </w:rPr>
        <w:t xml:space="preserve">e observed a statistically significant decrease in the values </w:t>
      </w:r>
      <w:r w:rsidR="00847A4A" w:rsidRPr="008E25BC">
        <w:rPr>
          <w:lang w:val="en-US"/>
        </w:rPr>
        <w:t>for CTD plans</w:t>
      </w:r>
      <w:r w:rsidR="00801CF3">
        <w:rPr>
          <w:lang w:val="en-US"/>
        </w:rPr>
        <w:t xml:space="preserve"> </w:t>
      </w:r>
      <w:r w:rsidR="00801CF3" w:rsidRPr="008E25BC">
        <w:rPr>
          <w:lang w:val="en-US"/>
        </w:rPr>
        <w:t>(Fig. 1)</w:t>
      </w:r>
      <w:r w:rsidR="00801CF3" w:rsidRPr="00801CF3">
        <w:rPr>
          <w:lang w:val="en-US"/>
        </w:rPr>
        <w:t xml:space="preserve">. </w:t>
      </w:r>
      <w:r w:rsidR="00801CF3">
        <w:rPr>
          <w:lang w:val="en-US"/>
        </w:rPr>
        <w:t>T</w:t>
      </w:r>
      <w:r w:rsidR="00317592" w:rsidRPr="00317592">
        <w:rPr>
          <w:lang w:val="en-US"/>
        </w:rPr>
        <w:t xml:space="preserve">he mean dose reduction to the optic chiasm was 4.02 Gy and to the brainstem </w:t>
      </w:r>
      <w:r w:rsidR="00317592">
        <w:rPr>
          <w:lang w:val="en-US"/>
        </w:rPr>
        <w:t xml:space="preserve">was </w:t>
      </w:r>
      <w:r w:rsidR="00317592" w:rsidRPr="00317592">
        <w:rPr>
          <w:lang w:val="en-US"/>
        </w:rPr>
        <w:t>2.98 Gy</w:t>
      </w:r>
      <w:r w:rsidR="00847A4A" w:rsidRPr="008E25BC">
        <w:rPr>
          <w:lang w:val="en-US"/>
        </w:rPr>
        <w:t xml:space="preserve">. </w:t>
      </w:r>
      <w:r w:rsidR="00317592">
        <w:rPr>
          <w:lang w:val="en-US"/>
        </w:rPr>
        <w:t xml:space="preserve">Meanwhile, TCP reduction was lower than 1%. </w:t>
      </w:r>
      <w:r w:rsidR="00515F88" w:rsidRPr="008E25BC">
        <w:rPr>
          <w:lang w:val="en-US"/>
        </w:rPr>
        <w:t xml:space="preserve">In one case, we were able to change the brainstem risk </w:t>
      </w:r>
      <w:r w:rsidR="00515F88">
        <w:rPr>
          <w:lang w:val="en-US"/>
        </w:rPr>
        <w:t>a</w:t>
      </w:r>
      <w:r w:rsidR="00515F88" w:rsidRPr="00515F88">
        <w:rPr>
          <w:lang w:val="en-US"/>
        </w:rPr>
        <w:t>cceptance</w:t>
      </w:r>
      <w:r w:rsidR="00515F88">
        <w:rPr>
          <w:lang w:val="en-US"/>
        </w:rPr>
        <w:t xml:space="preserve"> </w:t>
      </w:r>
      <w:r w:rsidR="00515F88" w:rsidRPr="008E25BC">
        <w:rPr>
          <w:lang w:val="en-US"/>
        </w:rPr>
        <w:t>criterion from "Minor Deviation" to "Acceptable"</w:t>
      </w:r>
      <w:r w:rsidR="00515F88">
        <w:rPr>
          <w:lang w:val="en-US"/>
        </w:rPr>
        <w:t xml:space="preserve"> [10]</w:t>
      </w:r>
      <w:r w:rsidR="00515F88" w:rsidRPr="008E25BC">
        <w:rPr>
          <w:lang w:val="en-US"/>
        </w:rPr>
        <w:t>.</w:t>
      </w:r>
    </w:p>
    <w:p w14:paraId="646CBFA1" w14:textId="77777777" w:rsidR="00E1023A" w:rsidRPr="008E25BC" w:rsidRDefault="00E1023A" w:rsidP="00847A4A">
      <w:pPr>
        <w:pStyle w:val="BodyL"/>
        <w:rPr>
          <w:lang w:val="en-US"/>
        </w:rPr>
      </w:pPr>
    </w:p>
    <w:p w14:paraId="0078BEBF" w14:textId="54D33799" w:rsidR="00E1023A" w:rsidRPr="0019448E" w:rsidRDefault="00E1023A" w:rsidP="00C050E2">
      <w:pPr>
        <w:pStyle w:val="BodyL"/>
        <w:ind w:firstLine="0"/>
        <w:jc w:val="center"/>
        <w:rPr>
          <w:sz w:val="20"/>
          <w:szCs w:val="16"/>
          <w:lang w:val="en-US"/>
        </w:rPr>
      </w:pPr>
      <w:r w:rsidRPr="0019448E">
        <w:rPr>
          <w:b/>
          <w:bCs/>
          <w:sz w:val="20"/>
          <w:szCs w:val="16"/>
          <w:lang w:val="en-US"/>
        </w:rPr>
        <w:t>Table 2:</w:t>
      </w:r>
      <w:r w:rsidRPr="0019448E">
        <w:rPr>
          <w:sz w:val="20"/>
          <w:szCs w:val="16"/>
          <w:lang w:val="en-US"/>
        </w:rPr>
        <w:t xml:space="preserve"> Treatment characteristics</w:t>
      </w:r>
    </w:p>
    <w:tbl>
      <w:tblPr>
        <w:tblStyle w:val="af4"/>
        <w:tblW w:w="7512" w:type="dxa"/>
        <w:jc w:val="center"/>
        <w:tblLook w:val="0600" w:firstRow="0" w:lastRow="0" w:firstColumn="0" w:lastColumn="0" w:noHBand="1" w:noVBand="1"/>
      </w:tblPr>
      <w:tblGrid>
        <w:gridCol w:w="2362"/>
        <w:gridCol w:w="2599"/>
        <w:gridCol w:w="2551"/>
      </w:tblGrid>
      <w:tr w:rsidR="00E1023A" w:rsidRPr="00E1023A" w14:paraId="771A8876" w14:textId="77777777" w:rsidTr="000F31A7">
        <w:trPr>
          <w:trHeight w:val="92"/>
          <w:jc w:val="center"/>
        </w:trPr>
        <w:tc>
          <w:tcPr>
            <w:tcW w:w="2362" w:type="dxa"/>
            <w:vMerge w:val="restart"/>
            <w:shd w:val="clear" w:color="auto" w:fill="D9D9D9" w:themeFill="background1" w:themeFillShade="D9"/>
            <w:hideMark/>
          </w:tcPr>
          <w:p w14:paraId="6A66ED91" w14:textId="77777777" w:rsidR="00E1023A" w:rsidRPr="00E1023A" w:rsidRDefault="00E1023A" w:rsidP="00E1023A">
            <w:pPr>
              <w:pStyle w:val="BodyL"/>
              <w:spacing w:line="240" w:lineRule="auto"/>
              <w:rPr>
                <w:sz w:val="20"/>
                <w:szCs w:val="16"/>
                <w:lang w:val="en-US"/>
              </w:rPr>
            </w:pPr>
          </w:p>
        </w:tc>
        <w:tc>
          <w:tcPr>
            <w:tcW w:w="5150" w:type="dxa"/>
            <w:gridSpan w:val="2"/>
            <w:shd w:val="clear" w:color="auto" w:fill="D9D9D9" w:themeFill="background1" w:themeFillShade="D9"/>
            <w:hideMark/>
          </w:tcPr>
          <w:p w14:paraId="09B4C5F2" w14:textId="00C3BA2F" w:rsidR="00E1023A" w:rsidRPr="00E1023A" w:rsidRDefault="00E1023A" w:rsidP="00E1023A">
            <w:pPr>
              <w:pStyle w:val="BodyL"/>
              <w:spacing w:line="240" w:lineRule="auto"/>
              <w:ind w:firstLine="0"/>
              <w:jc w:val="center"/>
              <w:rPr>
                <w:b/>
                <w:bCs/>
                <w:sz w:val="20"/>
                <w:szCs w:val="16"/>
                <w:lang w:val="en-US"/>
              </w:rPr>
            </w:pPr>
            <w:r w:rsidRPr="00E1023A">
              <w:rPr>
                <w:b/>
                <w:bCs/>
                <w:sz w:val="20"/>
                <w:szCs w:val="16"/>
                <w:lang w:val="en-US"/>
              </w:rPr>
              <w:t>Mean dose level, Gy</w:t>
            </w:r>
          </w:p>
        </w:tc>
      </w:tr>
      <w:tr w:rsidR="000F31A7" w:rsidRPr="008E25BC" w14:paraId="1D45259A" w14:textId="77777777" w:rsidTr="000F31A7">
        <w:trPr>
          <w:trHeight w:val="92"/>
          <w:jc w:val="center"/>
        </w:trPr>
        <w:tc>
          <w:tcPr>
            <w:tcW w:w="2362" w:type="dxa"/>
            <w:vMerge/>
            <w:shd w:val="clear" w:color="auto" w:fill="D9D9D9" w:themeFill="background1" w:themeFillShade="D9"/>
            <w:hideMark/>
          </w:tcPr>
          <w:p w14:paraId="4FF215DF" w14:textId="77777777" w:rsidR="00E1023A" w:rsidRPr="00E1023A" w:rsidRDefault="00E1023A" w:rsidP="00E1023A">
            <w:pPr>
              <w:pStyle w:val="BodyL"/>
              <w:spacing w:line="240" w:lineRule="auto"/>
              <w:rPr>
                <w:sz w:val="20"/>
                <w:szCs w:val="16"/>
                <w:lang w:val="en-US"/>
              </w:rPr>
            </w:pPr>
          </w:p>
        </w:tc>
        <w:tc>
          <w:tcPr>
            <w:tcW w:w="2599" w:type="dxa"/>
            <w:shd w:val="clear" w:color="auto" w:fill="D9D9D9" w:themeFill="background1" w:themeFillShade="D9"/>
            <w:hideMark/>
          </w:tcPr>
          <w:p w14:paraId="153DE15C" w14:textId="77777777" w:rsidR="00E1023A" w:rsidRPr="00E1023A" w:rsidRDefault="00E1023A" w:rsidP="00E1023A">
            <w:pPr>
              <w:pStyle w:val="BodyL"/>
              <w:spacing w:line="240" w:lineRule="auto"/>
              <w:ind w:firstLine="0"/>
              <w:jc w:val="center"/>
              <w:rPr>
                <w:b/>
                <w:bCs/>
                <w:sz w:val="20"/>
                <w:szCs w:val="16"/>
                <w:lang w:val="en-US"/>
              </w:rPr>
            </w:pPr>
            <w:r w:rsidRPr="00E1023A">
              <w:rPr>
                <w:b/>
                <w:bCs/>
                <w:sz w:val="20"/>
                <w:szCs w:val="16"/>
                <w:lang w:val="en-US"/>
              </w:rPr>
              <w:t>CTV</w:t>
            </w:r>
          </w:p>
        </w:tc>
        <w:tc>
          <w:tcPr>
            <w:tcW w:w="2551" w:type="dxa"/>
            <w:shd w:val="clear" w:color="auto" w:fill="D9D9D9" w:themeFill="background1" w:themeFillShade="D9"/>
            <w:hideMark/>
          </w:tcPr>
          <w:p w14:paraId="01FB35A1" w14:textId="77777777" w:rsidR="00E1023A" w:rsidRPr="00E1023A" w:rsidRDefault="00E1023A" w:rsidP="00E1023A">
            <w:pPr>
              <w:pStyle w:val="BodyL"/>
              <w:spacing w:line="240" w:lineRule="auto"/>
              <w:ind w:firstLine="0"/>
              <w:jc w:val="center"/>
              <w:rPr>
                <w:b/>
                <w:bCs/>
                <w:sz w:val="20"/>
                <w:szCs w:val="16"/>
                <w:lang w:val="en-US"/>
              </w:rPr>
            </w:pPr>
            <w:r w:rsidRPr="00E1023A">
              <w:rPr>
                <w:b/>
                <w:bCs/>
                <w:sz w:val="20"/>
                <w:szCs w:val="16"/>
                <w:lang w:val="en-US"/>
              </w:rPr>
              <w:t>CTD</w:t>
            </w:r>
          </w:p>
        </w:tc>
      </w:tr>
      <w:tr w:rsidR="00E1023A" w:rsidRPr="008E25BC" w14:paraId="77E3F635" w14:textId="77777777" w:rsidTr="00E1023A">
        <w:trPr>
          <w:trHeight w:val="92"/>
          <w:jc w:val="center"/>
        </w:trPr>
        <w:tc>
          <w:tcPr>
            <w:tcW w:w="2362" w:type="dxa"/>
            <w:vAlign w:val="center"/>
            <w:hideMark/>
          </w:tcPr>
          <w:p w14:paraId="00C03CB3" w14:textId="77777777" w:rsidR="00E1023A" w:rsidRPr="00E1023A" w:rsidRDefault="00E1023A" w:rsidP="00E1023A">
            <w:pPr>
              <w:pStyle w:val="BodyL"/>
              <w:spacing w:line="240" w:lineRule="auto"/>
              <w:ind w:firstLine="0"/>
              <w:jc w:val="left"/>
              <w:rPr>
                <w:sz w:val="20"/>
                <w:szCs w:val="16"/>
                <w:lang w:val="en-US"/>
              </w:rPr>
            </w:pPr>
            <w:r w:rsidRPr="00E1023A">
              <w:rPr>
                <w:sz w:val="20"/>
                <w:szCs w:val="16"/>
                <w:lang w:val="en-US"/>
              </w:rPr>
              <w:t>GTV (D98)</w:t>
            </w:r>
          </w:p>
        </w:tc>
        <w:tc>
          <w:tcPr>
            <w:tcW w:w="2599" w:type="dxa"/>
            <w:hideMark/>
          </w:tcPr>
          <w:p w14:paraId="69E54889" w14:textId="77777777"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70.83</w:t>
            </w:r>
          </w:p>
          <w:p w14:paraId="1C1CA1BD" w14:textId="77777777"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(67.70 – 74.21)</w:t>
            </w:r>
          </w:p>
        </w:tc>
        <w:tc>
          <w:tcPr>
            <w:tcW w:w="2551" w:type="dxa"/>
            <w:hideMark/>
          </w:tcPr>
          <w:p w14:paraId="1175992B" w14:textId="2DAC649B"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70.</w:t>
            </w:r>
            <w:r w:rsidR="001B1143" w:rsidRPr="0019448E">
              <w:rPr>
                <w:sz w:val="20"/>
                <w:szCs w:val="16"/>
                <w:lang w:val="en-US"/>
              </w:rPr>
              <w:t>77</w:t>
            </w:r>
          </w:p>
          <w:p w14:paraId="6781C15D" w14:textId="359EDC46"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(67.34 – 7</w:t>
            </w:r>
            <w:r w:rsidR="007176D9">
              <w:rPr>
                <w:sz w:val="20"/>
                <w:szCs w:val="16"/>
              </w:rPr>
              <w:t>3</w:t>
            </w:r>
            <w:r w:rsidRPr="00E1023A">
              <w:rPr>
                <w:sz w:val="20"/>
                <w:szCs w:val="16"/>
                <w:lang w:val="en-US"/>
              </w:rPr>
              <w:t>.</w:t>
            </w:r>
            <w:r w:rsidR="007176D9">
              <w:rPr>
                <w:sz w:val="20"/>
                <w:szCs w:val="16"/>
              </w:rPr>
              <w:t>9</w:t>
            </w:r>
            <w:r w:rsidRPr="00E1023A">
              <w:rPr>
                <w:sz w:val="20"/>
                <w:szCs w:val="16"/>
                <w:lang w:val="en-US"/>
              </w:rPr>
              <w:t>3)</w:t>
            </w:r>
          </w:p>
        </w:tc>
      </w:tr>
      <w:tr w:rsidR="00E1023A" w:rsidRPr="008E25BC" w14:paraId="6F066CAD" w14:textId="77777777" w:rsidTr="00E1023A">
        <w:trPr>
          <w:trHeight w:val="92"/>
          <w:jc w:val="center"/>
        </w:trPr>
        <w:tc>
          <w:tcPr>
            <w:tcW w:w="2362" w:type="dxa"/>
            <w:vAlign w:val="center"/>
            <w:hideMark/>
          </w:tcPr>
          <w:p w14:paraId="7F693EE5" w14:textId="77777777" w:rsidR="00E1023A" w:rsidRPr="00E1023A" w:rsidRDefault="00E1023A" w:rsidP="00E1023A">
            <w:pPr>
              <w:pStyle w:val="BodyL"/>
              <w:spacing w:line="240" w:lineRule="auto"/>
              <w:ind w:firstLine="0"/>
              <w:jc w:val="left"/>
              <w:rPr>
                <w:sz w:val="20"/>
                <w:szCs w:val="16"/>
                <w:lang w:val="en-US"/>
              </w:rPr>
            </w:pPr>
            <w:r w:rsidRPr="00E1023A">
              <w:rPr>
                <w:sz w:val="20"/>
                <w:szCs w:val="16"/>
                <w:lang w:val="en-US"/>
              </w:rPr>
              <w:t>Brainstem (</w:t>
            </w:r>
            <w:proofErr w:type="spellStart"/>
            <w:r w:rsidRPr="00E1023A">
              <w:rPr>
                <w:sz w:val="20"/>
                <w:szCs w:val="16"/>
                <w:lang w:val="en-US"/>
              </w:rPr>
              <w:t>Dmax</w:t>
            </w:r>
            <w:proofErr w:type="spellEnd"/>
            <w:r w:rsidRPr="00E1023A">
              <w:rPr>
                <w:sz w:val="20"/>
                <w:szCs w:val="16"/>
                <w:lang w:val="en-US"/>
              </w:rPr>
              <w:t>)</w:t>
            </w:r>
          </w:p>
        </w:tc>
        <w:tc>
          <w:tcPr>
            <w:tcW w:w="2599" w:type="dxa"/>
            <w:hideMark/>
          </w:tcPr>
          <w:p w14:paraId="039EC9E9" w14:textId="5366B4F6"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53.44</w:t>
            </w:r>
          </w:p>
          <w:p w14:paraId="7DB4A6B7" w14:textId="77777777"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(48.55 – 58.33)</w:t>
            </w:r>
          </w:p>
        </w:tc>
        <w:tc>
          <w:tcPr>
            <w:tcW w:w="2551" w:type="dxa"/>
            <w:hideMark/>
          </w:tcPr>
          <w:p w14:paraId="166CA7BB" w14:textId="020C3A85"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5</w:t>
            </w:r>
            <w:r w:rsidR="00317592">
              <w:rPr>
                <w:sz w:val="20"/>
                <w:szCs w:val="16"/>
                <w:lang w:val="en-US"/>
              </w:rPr>
              <w:t>0</w:t>
            </w:r>
            <w:r w:rsidRPr="00E1023A">
              <w:rPr>
                <w:sz w:val="20"/>
                <w:szCs w:val="16"/>
                <w:lang w:val="en-US"/>
              </w:rPr>
              <w:t>.</w:t>
            </w:r>
            <w:r w:rsidR="00317592">
              <w:rPr>
                <w:sz w:val="20"/>
                <w:szCs w:val="16"/>
                <w:lang w:val="en-US"/>
              </w:rPr>
              <w:t>4</w:t>
            </w:r>
            <w:r w:rsidRPr="00E1023A">
              <w:rPr>
                <w:sz w:val="20"/>
                <w:szCs w:val="16"/>
                <w:lang w:val="en-US"/>
              </w:rPr>
              <w:t>7</w:t>
            </w:r>
          </w:p>
          <w:p w14:paraId="616B5E1D" w14:textId="0D3DC1AD"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(4</w:t>
            </w:r>
            <w:r w:rsidR="00317592">
              <w:rPr>
                <w:sz w:val="20"/>
                <w:szCs w:val="16"/>
                <w:lang w:val="en-US"/>
              </w:rPr>
              <w:t>6</w:t>
            </w:r>
            <w:r w:rsidRPr="00E1023A">
              <w:rPr>
                <w:sz w:val="20"/>
                <w:szCs w:val="16"/>
                <w:lang w:val="en-US"/>
              </w:rPr>
              <w:t>.</w:t>
            </w:r>
            <w:r w:rsidR="00317592">
              <w:rPr>
                <w:sz w:val="20"/>
                <w:szCs w:val="16"/>
                <w:lang w:val="en-US"/>
              </w:rPr>
              <w:t>8</w:t>
            </w:r>
            <w:r w:rsidRPr="00E1023A">
              <w:rPr>
                <w:sz w:val="20"/>
                <w:szCs w:val="16"/>
                <w:lang w:val="en-US"/>
              </w:rPr>
              <w:t>5 – 54.</w:t>
            </w:r>
            <w:r w:rsidR="00317592">
              <w:rPr>
                <w:sz w:val="20"/>
                <w:szCs w:val="16"/>
                <w:lang w:val="en-US"/>
              </w:rPr>
              <w:t>3</w:t>
            </w:r>
            <w:r w:rsidRPr="00E1023A">
              <w:rPr>
                <w:sz w:val="20"/>
                <w:szCs w:val="16"/>
                <w:lang w:val="en-US"/>
              </w:rPr>
              <w:t>3)</w:t>
            </w:r>
          </w:p>
        </w:tc>
      </w:tr>
      <w:tr w:rsidR="00E1023A" w:rsidRPr="008E25BC" w14:paraId="66B7EAD9" w14:textId="77777777" w:rsidTr="00E1023A">
        <w:trPr>
          <w:trHeight w:val="92"/>
          <w:jc w:val="center"/>
        </w:trPr>
        <w:tc>
          <w:tcPr>
            <w:tcW w:w="2362" w:type="dxa"/>
            <w:vAlign w:val="center"/>
            <w:hideMark/>
          </w:tcPr>
          <w:p w14:paraId="6484297F" w14:textId="77777777" w:rsidR="00E1023A" w:rsidRPr="00E1023A" w:rsidRDefault="00E1023A" w:rsidP="00E1023A">
            <w:pPr>
              <w:pStyle w:val="BodyL"/>
              <w:spacing w:line="240" w:lineRule="auto"/>
              <w:ind w:firstLine="0"/>
              <w:jc w:val="left"/>
              <w:rPr>
                <w:sz w:val="20"/>
                <w:szCs w:val="16"/>
                <w:lang w:val="en-US"/>
              </w:rPr>
            </w:pPr>
            <w:r w:rsidRPr="00E1023A">
              <w:rPr>
                <w:sz w:val="20"/>
                <w:szCs w:val="16"/>
                <w:lang w:val="en-US"/>
              </w:rPr>
              <w:t>Optic Chiasm (</w:t>
            </w:r>
            <w:proofErr w:type="spellStart"/>
            <w:r w:rsidRPr="00E1023A">
              <w:rPr>
                <w:sz w:val="20"/>
                <w:szCs w:val="16"/>
                <w:lang w:val="en-US"/>
              </w:rPr>
              <w:t>Dmax</w:t>
            </w:r>
            <w:proofErr w:type="spellEnd"/>
            <w:r w:rsidRPr="00E1023A">
              <w:rPr>
                <w:sz w:val="20"/>
                <w:szCs w:val="16"/>
                <w:lang w:val="en-US"/>
              </w:rPr>
              <w:t>)</w:t>
            </w:r>
          </w:p>
        </w:tc>
        <w:tc>
          <w:tcPr>
            <w:tcW w:w="2599" w:type="dxa"/>
            <w:hideMark/>
          </w:tcPr>
          <w:p w14:paraId="3D38E8B2" w14:textId="77777777"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52.75</w:t>
            </w:r>
          </w:p>
          <w:p w14:paraId="4B43BC4C" w14:textId="0BD7E981"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(50.90 – 54</w:t>
            </w:r>
            <w:r w:rsidR="00903428">
              <w:rPr>
                <w:sz w:val="20"/>
                <w:szCs w:val="16"/>
                <w:lang w:val="en-US"/>
              </w:rPr>
              <w:t>.</w:t>
            </w:r>
            <w:r w:rsidRPr="00E1023A">
              <w:rPr>
                <w:sz w:val="20"/>
                <w:szCs w:val="16"/>
                <w:lang w:val="en-US"/>
              </w:rPr>
              <w:t>99)</w:t>
            </w:r>
          </w:p>
        </w:tc>
        <w:tc>
          <w:tcPr>
            <w:tcW w:w="2551" w:type="dxa"/>
            <w:hideMark/>
          </w:tcPr>
          <w:p w14:paraId="009B7BF7" w14:textId="01AFFD44"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4</w:t>
            </w:r>
            <w:r w:rsidR="00317592">
              <w:rPr>
                <w:sz w:val="20"/>
                <w:szCs w:val="16"/>
                <w:lang w:val="en-US"/>
              </w:rPr>
              <w:t>8</w:t>
            </w:r>
            <w:r w:rsidRPr="00E1023A">
              <w:rPr>
                <w:sz w:val="20"/>
                <w:szCs w:val="16"/>
                <w:lang w:val="en-US"/>
              </w:rPr>
              <w:t>.</w:t>
            </w:r>
            <w:r w:rsidR="00317592">
              <w:rPr>
                <w:sz w:val="20"/>
                <w:szCs w:val="16"/>
                <w:lang w:val="en-US"/>
              </w:rPr>
              <w:t>74</w:t>
            </w:r>
          </w:p>
          <w:p w14:paraId="67EF69BA" w14:textId="7CDCEA79" w:rsidR="00E1023A" w:rsidRPr="00E1023A" w:rsidRDefault="00E1023A" w:rsidP="00E1023A">
            <w:pPr>
              <w:pStyle w:val="BodyL"/>
              <w:spacing w:line="240" w:lineRule="auto"/>
              <w:ind w:firstLine="0"/>
              <w:jc w:val="center"/>
              <w:rPr>
                <w:sz w:val="20"/>
                <w:szCs w:val="16"/>
                <w:lang w:val="en-US"/>
              </w:rPr>
            </w:pPr>
            <w:r w:rsidRPr="00E1023A">
              <w:rPr>
                <w:sz w:val="20"/>
                <w:szCs w:val="16"/>
                <w:lang w:val="en-US"/>
              </w:rPr>
              <w:t>(45.</w:t>
            </w:r>
            <w:r w:rsidR="00317592">
              <w:rPr>
                <w:sz w:val="20"/>
                <w:szCs w:val="16"/>
                <w:lang w:val="en-US"/>
              </w:rPr>
              <w:t>5</w:t>
            </w:r>
            <w:r w:rsidRPr="00E1023A">
              <w:rPr>
                <w:sz w:val="20"/>
                <w:szCs w:val="16"/>
                <w:lang w:val="en-US"/>
              </w:rPr>
              <w:t>4 – 5</w:t>
            </w:r>
            <w:r w:rsidR="00317592">
              <w:rPr>
                <w:sz w:val="20"/>
                <w:szCs w:val="16"/>
                <w:lang w:val="en-US"/>
              </w:rPr>
              <w:t>0</w:t>
            </w:r>
            <w:r w:rsidRPr="00E1023A">
              <w:rPr>
                <w:sz w:val="20"/>
                <w:szCs w:val="16"/>
                <w:lang w:val="en-US"/>
              </w:rPr>
              <w:t>.4</w:t>
            </w:r>
            <w:r w:rsidR="00317592">
              <w:rPr>
                <w:sz w:val="20"/>
                <w:szCs w:val="16"/>
                <w:lang w:val="en-US"/>
              </w:rPr>
              <w:t>2</w:t>
            </w:r>
            <w:r w:rsidRPr="00E1023A">
              <w:rPr>
                <w:sz w:val="20"/>
                <w:szCs w:val="16"/>
                <w:lang w:val="en-US"/>
              </w:rPr>
              <w:t>)</w:t>
            </w:r>
          </w:p>
        </w:tc>
      </w:tr>
    </w:tbl>
    <w:p w14:paraId="563F1B18" w14:textId="77777777" w:rsidR="000F31A7" w:rsidRPr="008E25BC" w:rsidRDefault="000F31A7" w:rsidP="000F31A7">
      <w:pPr>
        <w:pStyle w:val="BodyL"/>
        <w:ind w:firstLine="0"/>
        <w:rPr>
          <w:lang w:val="en-US"/>
        </w:rPr>
      </w:pPr>
    </w:p>
    <w:p w14:paraId="5FFF113C" w14:textId="21ABC8B2" w:rsidR="0007497A" w:rsidRPr="008E25BC" w:rsidRDefault="0007497A" w:rsidP="00E04EC5">
      <w:pPr>
        <w:pStyle w:val="BodyL"/>
        <w:ind w:firstLine="0"/>
        <w:jc w:val="center"/>
        <w:rPr>
          <w:lang w:val="en-US"/>
        </w:rPr>
      </w:pPr>
      <w:r w:rsidRPr="008E25BC">
        <w:rPr>
          <w:noProof/>
          <w:lang w:val="en-US"/>
        </w:rPr>
        <w:drawing>
          <wp:inline distT="0" distB="0" distL="0" distR="0" wp14:anchorId="53703898" wp14:editId="0E708141">
            <wp:extent cx="4808838" cy="2085340"/>
            <wp:effectExtent l="0" t="0" r="0" b="0"/>
            <wp:docPr id="2925021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502150" name="Рисунок 1"/>
                    <pic:cNvPicPr/>
                  </pic:nvPicPr>
                  <pic:blipFill rotWithShape="1">
                    <a:blip r:embed="rId9" cstate="print">
                      <a:extLst>
                        <a:ext uri="{28A0092B-C50C-407E-A947-70E740481C1C}">
                          <a14:useLocalDpi xmlns:a14="http://schemas.microsoft.com/office/drawing/2010/main" val="0"/>
                        </a:ext>
                      </a:extLst>
                    </a:blip>
                    <a:srcRect t="1732" b="2648"/>
                    <a:stretch/>
                  </pic:blipFill>
                  <pic:spPr bwMode="auto">
                    <a:xfrm>
                      <a:off x="0" y="0"/>
                      <a:ext cx="4827015" cy="2093223"/>
                    </a:xfrm>
                    <a:prstGeom prst="rect">
                      <a:avLst/>
                    </a:prstGeom>
                    <a:ln>
                      <a:noFill/>
                    </a:ln>
                    <a:extLst>
                      <a:ext uri="{53640926-AAD7-44D8-BBD7-CCE9431645EC}">
                        <a14:shadowObscured xmlns:a14="http://schemas.microsoft.com/office/drawing/2010/main"/>
                      </a:ext>
                    </a:extLst>
                  </pic:spPr>
                </pic:pic>
              </a:graphicData>
            </a:graphic>
          </wp:inline>
        </w:drawing>
      </w:r>
    </w:p>
    <w:p w14:paraId="4E926ED0" w14:textId="1986B07B" w:rsidR="0007497A" w:rsidRPr="0019448E" w:rsidRDefault="0007497A" w:rsidP="00E04EC5">
      <w:pPr>
        <w:pStyle w:val="BodyL"/>
        <w:ind w:firstLine="0"/>
        <w:jc w:val="center"/>
        <w:rPr>
          <w:sz w:val="20"/>
          <w:szCs w:val="16"/>
          <w:lang w:val="en-US"/>
        </w:rPr>
      </w:pPr>
      <w:r w:rsidRPr="0019448E">
        <w:rPr>
          <w:b/>
          <w:bCs/>
          <w:sz w:val="20"/>
          <w:szCs w:val="16"/>
          <w:lang w:val="en-US"/>
        </w:rPr>
        <w:t>Figure 1</w:t>
      </w:r>
      <w:r w:rsidR="0019448E" w:rsidRPr="0019448E">
        <w:rPr>
          <w:b/>
          <w:bCs/>
          <w:sz w:val="20"/>
          <w:szCs w:val="16"/>
          <w:lang w:val="en-US"/>
        </w:rPr>
        <w:t xml:space="preserve"> -</w:t>
      </w:r>
      <w:r w:rsidRPr="0019448E">
        <w:rPr>
          <w:b/>
          <w:bCs/>
          <w:sz w:val="20"/>
          <w:szCs w:val="16"/>
          <w:lang w:val="en-US"/>
        </w:rPr>
        <w:t xml:space="preserve"> </w:t>
      </w:r>
      <w:r w:rsidRPr="0019448E">
        <w:rPr>
          <w:sz w:val="20"/>
          <w:szCs w:val="16"/>
          <w:lang w:val="en-US"/>
        </w:rPr>
        <w:t>Plot of maximum dose to the (a) brainstem and (b) optic chiasm.</w:t>
      </w:r>
      <w:r w:rsidRPr="0019448E">
        <w:rPr>
          <w:rFonts w:asciiTheme="minorHAnsi" w:eastAsiaTheme="minorEastAsia" w:hAnsi="Calibri" w:cstheme="minorBidi"/>
          <w:color w:val="000000" w:themeColor="text1"/>
          <w:kern w:val="24"/>
          <w:sz w:val="28"/>
          <w:szCs w:val="28"/>
          <w:lang w:val="en-US"/>
        </w:rPr>
        <w:t xml:space="preserve"> </w:t>
      </w:r>
      <w:r w:rsidRPr="0019448E">
        <w:rPr>
          <w:sz w:val="20"/>
          <w:szCs w:val="16"/>
          <w:lang w:val="en-US"/>
        </w:rPr>
        <w:t>Black – CTV, grey – CTD.</w:t>
      </w:r>
    </w:p>
    <w:p w14:paraId="12955BED" w14:textId="77777777" w:rsidR="0007497A" w:rsidRPr="008E25BC" w:rsidRDefault="0007497A" w:rsidP="00847A4A">
      <w:pPr>
        <w:pStyle w:val="BodyL"/>
        <w:rPr>
          <w:lang w:val="en-US"/>
        </w:rPr>
      </w:pPr>
    </w:p>
    <w:p w14:paraId="586CA8AF" w14:textId="38029FEF" w:rsidR="003D7147" w:rsidRPr="00006064" w:rsidRDefault="00847A4A" w:rsidP="00006064">
      <w:pPr>
        <w:pStyle w:val="BodyL"/>
        <w:rPr>
          <w:lang w:val="en-US"/>
        </w:rPr>
      </w:pPr>
      <w:r w:rsidRPr="008E25BC">
        <w:rPr>
          <w:lang w:val="en-US"/>
        </w:rPr>
        <w:t>CTD allows better OAR sparing by reducing the high-dose regions</w:t>
      </w:r>
      <w:r w:rsidR="005A1FA1">
        <w:rPr>
          <w:lang w:val="en-US"/>
        </w:rPr>
        <w:t xml:space="preserve"> (Fig. 2a-b)</w:t>
      </w:r>
      <w:r w:rsidRPr="008E25BC">
        <w:rPr>
          <w:lang w:val="en-US"/>
        </w:rPr>
        <w:t xml:space="preserve">.  </w:t>
      </w:r>
      <w:r w:rsidR="00F21520">
        <w:rPr>
          <w:lang w:val="en-US"/>
        </w:rPr>
        <w:t xml:space="preserve">The </w:t>
      </w:r>
      <w:r w:rsidR="00F618BE">
        <w:rPr>
          <w:lang w:val="en-US"/>
        </w:rPr>
        <w:t>CTD</w:t>
      </w:r>
      <w:r w:rsidRPr="008E25BC">
        <w:rPr>
          <w:lang w:val="en-US"/>
        </w:rPr>
        <w:t xml:space="preserve"> plan optimization results in steeper high dose shift which provides us lower dose in most of the OAR</w:t>
      </w:r>
      <w:r w:rsidR="000F31A7" w:rsidRPr="008E25BC">
        <w:rPr>
          <w:lang w:val="en-US"/>
        </w:rPr>
        <w:t xml:space="preserve"> (Fig. 2</w:t>
      </w:r>
      <w:r w:rsidR="005A1FA1">
        <w:rPr>
          <w:lang w:val="en-US"/>
        </w:rPr>
        <w:t>c</w:t>
      </w:r>
      <w:r w:rsidR="000F31A7" w:rsidRPr="008E25BC">
        <w:rPr>
          <w:lang w:val="en-US"/>
        </w:rPr>
        <w:t>)</w:t>
      </w:r>
      <w:r w:rsidRPr="008E25BC">
        <w:rPr>
          <w:lang w:val="en-US"/>
        </w:rPr>
        <w:t>.</w:t>
      </w:r>
    </w:p>
    <w:p w14:paraId="3D8BFC89" w14:textId="09952B73" w:rsidR="00F618BE" w:rsidRPr="00F618BE" w:rsidRDefault="00F618BE" w:rsidP="00F618BE">
      <w:pPr>
        <w:pStyle w:val="Heading"/>
        <w:rPr>
          <w:lang w:val="en-US"/>
        </w:rPr>
      </w:pPr>
      <w:r>
        <w:rPr>
          <w:lang w:val="en-US"/>
        </w:rPr>
        <w:lastRenderedPageBreak/>
        <w:t>discussion</w:t>
      </w:r>
    </w:p>
    <w:p w14:paraId="60907019" w14:textId="0C7820D8" w:rsidR="00006064" w:rsidRDefault="00F618BE" w:rsidP="00F618BE">
      <w:pPr>
        <w:pStyle w:val="BodyL"/>
        <w:rPr>
          <w:lang w:val="en-US"/>
        </w:rPr>
      </w:pPr>
      <w:r w:rsidRPr="008E25BC">
        <w:rPr>
          <w:lang w:val="en-US"/>
        </w:rPr>
        <w:t xml:space="preserve"> CTD is a</w:t>
      </w:r>
      <w:r>
        <w:rPr>
          <w:lang w:val="en-US"/>
        </w:rPr>
        <w:t xml:space="preserve"> new </w:t>
      </w:r>
      <w:r w:rsidRPr="008E25BC">
        <w:rPr>
          <w:lang w:val="en-US"/>
        </w:rPr>
        <w:t xml:space="preserve">concept that </w:t>
      </w:r>
      <w:r>
        <w:rPr>
          <w:lang w:val="en-US"/>
        </w:rPr>
        <w:t xml:space="preserve">should help to </w:t>
      </w:r>
      <w:r w:rsidRPr="008E25BC">
        <w:rPr>
          <w:lang w:val="en-US"/>
        </w:rPr>
        <w:t>eliminate the limitations of CTV (especially binary concept</w:t>
      </w:r>
      <w:r>
        <w:rPr>
          <w:lang w:val="en-US"/>
        </w:rPr>
        <w:t>,</w:t>
      </w:r>
      <w:r w:rsidRPr="008E25BC">
        <w:rPr>
          <w:lang w:val="en-US"/>
        </w:rPr>
        <w:t xml:space="preserve"> variability and uncertainty).</w:t>
      </w:r>
      <w:r>
        <w:rPr>
          <w:lang w:val="en-US"/>
        </w:rPr>
        <w:t xml:space="preserve"> </w:t>
      </w:r>
      <w:r w:rsidRPr="008E25BC">
        <w:rPr>
          <w:lang w:val="en-US"/>
        </w:rPr>
        <w:t xml:space="preserve">For our cases of skull base chordomas using CTD let us receive prescription dose in </w:t>
      </w:r>
      <w:r w:rsidR="002567E4">
        <w:rPr>
          <w:lang w:val="en-US"/>
        </w:rPr>
        <w:t>target</w:t>
      </w:r>
      <w:r w:rsidRPr="008E25BC">
        <w:rPr>
          <w:lang w:val="en-US"/>
        </w:rPr>
        <w:t xml:space="preserve">, satisfied maximal dose constraints for the OAR (we observe an overall lower dose in CTD </w:t>
      </w:r>
      <w:r w:rsidR="00E04EC5">
        <w:rPr>
          <w:lang w:val="en-US"/>
        </w:rPr>
        <w:t>plans</w:t>
      </w:r>
      <w:r w:rsidRPr="008E25BC">
        <w:rPr>
          <w:lang w:val="en-US"/>
        </w:rPr>
        <w:t>) and</w:t>
      </w:r>
      <w:r w:rsidRPr="008912A0">
        <w:rPr>
          <w:lang w:val="en-US"/>
        </w:rPr>
        <w:t xml:space="preserve"> </w:t>
      </w:r>
      <w:r>
        <w:rPr>
          <w:lang w:val="en-US"/>
        </w:rPr>
        <w:t>had</w:t>
      </w:r>
      <w:r w:rsidRPr="008E25BC">
        <w:rPr>
          <w:lang w:val="en-US"/>
        </w:rPr>
        <w:t xml:space="preserve"> </w:t>
      </w:r>
      <w:r w:rsidRPr="008912A0">
        <w:rPr>
          <w:lang w:val="en-US"/>
        </w:rPr>
        <w:t>balance</w:t>
      </w:r>
      <w:r>
        <w:rPr>
          <w:lang w:val="en-US"/>
        </w:rPr>
        <w:t xml:space="preserve"> between</w:t>
      </w:r>
      <w:r w:rsidRPr="008912A0">
        <w:rPr>
          <w:lang w:val="en-US"/>
        </w:rPr>
        <w:t xml:space="preserve"> target coverage </w:t>
      </w:r>
      <w:r>
        <w:rPr>
          <w:lang w:val="en-US"/>
        </w:rPr>
        <w:t>and</w:t>
      </w:r>
      <w:r w:rsidRPr="008912A0">
        <w:rPr>
          <w:lang w:val="en-US"/>
        </w:rPr>
        <w:t xml:space="preserve"> OAR sparing</w:t>
      </w:r>
      <w:r w:rsidRPr="008E25BC">
        <w:rPr>
          <w:lang w:val="en-US"/>
        </w:rPr>
        <w:t>.</w:t>
      </w:r>
      <w:r w:rsidR="00006064">
        <w:rPr>
          <w:lang w:val="en-US"/>
        </w:rPr>
        <w:t xml:space="preserve"> </w:t>
      </w:r>
      <w:r w:rsidR="00801CF3" w:rsidRPr="00801CF3">
        <w:rPr>
          <w:lang w:val="en-US"/>
        </w:rPr>
        <w:t>Despite the positive results, the data should be interpreted with caution due to the limited sample size.</w:t>
      </w:r>
      <w:r w:rsidRPr="008912A0">
        <w:rPr>
          <w:lang w:val="en-US"/>
        </w:rPr>
        <w:t xml:space="preserve"> </w:t>
      </w:r>
    </w:p>
    <w:p w14:paraId="7F06FB73" w14:textId="77777777" w:rsidR="00F41D1D" w:rsidRPr="008E25BC" w:rsidRDefault="00F41D1D" w:rsidP="00847A4A">
      <w:pPr>
        <w:pStyle w:val="BodyL"/>
        <w:rPr>
          <w:lang w:val="en-US"/>
        </w:rPr>
      </w:pPr>
    </w:p>
    <w:p w14:paraId="0E7B926E" w14:textId="41F3B00B" w:rsidR="000F31A7" w:rsidRPr="00C93C9A" w:rsidRDefault="009D068B" w:rsidP="000F31A7">
      <w:pPr>
        <w:pStyle w:val="BodyL"/>
        <w:jc w:val="center"/>
        <w:rPr>
          <w:b/>
          <w:bCs/>
        </w:rPr>
      </w:pPr>
      <w:r>
        <w:rPr>
          <w:b/>
          <w:bCs/>
          <w:noProof/>
        </w:rPr>
        <w:drawing>
          <wp:inline distT="0" distB="0" distL="0" distR="0" wp14:anchorId="3CB577DA" wp14:editId="32A18304">
            <wp:extent cx="4405693" cy="5922334"/>
            <wp:effectExtent l="0" t="0" r="0" b="2540"/>
            <wp:docPr id="55397944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979442" name="Рисунок 55397944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17145" cy="5937729"/>
                    </a:xfrm>
                    <a:prstGeom prst="rect">
                      <a:avLst/>
                    </a:prstGeom>
                  </pic:spPr>
                </pic:pic>
              </a:graphicData>
            </a:graphic>
          </wp:inline>
        </w:drawing>
      </w:r>
    </w:p>
    <w:p w14:paraId="5DA42E24" w14:textId="5552EA22" w:rsidR="000F31A7" w:rsidRPr="0019448E" w:rsidRDefault="000F31A7" w:rsidP="000F31A7">
      <w:pPr>
        <w:pStyle w:val="BodyL"/>
        <w:jc w:val="center"/>
        <w:rPr>
          <w:sz w:val="20"/>
          <w:szCs w:val="16"/>
          <w:lang w:val="en-US"/>
        </w:rPr>
      </w:pPr>
      <w:r w:rsidRPr="0019448E">
        <w:rPr>
          <w:b/>
          <w:bCs/>
          <w:sz w:val="20"/>
          <w:szCs w:val="16"/>
          <w:lang w:val="en-US"/>
        </w:rPr>
        <w:t>Figure 2</w:t>
      </w:r>
      <w:r w:rsidR="0019448E" w:rsidRPr="0019448E">
        <w:rPr>
          <w:b/>
          <w:bCs/>
          <w:sz w:val="20"/>
          <w:szCs w:val="16"/>
          <w:lang w:val="en-US"/>
        </w:rPr>
        <w:t xml:space="preserve"> -</w:t>
      </w:r>
      <w:r w:rsidRPr="0019448E">
        <w:rPr>
          <w:b/>
          <w:bCs/>
          <w:sz w:val="20"/>
          <w:szCs w:val="16"/>
          <w:lang w:val="en-US"/>
        </w:rPr>
        <w:t xml:space="preserve"> </w:t>
      </w:r>
      <w:r w:rsidR="006009F0" w:rsidRPr="0019448E">
        <w:rPr>
          <w:sz w:val="20"/>
          <w:szCs w:val="16"/>
          <w:lang w:val="en-US"/>
        </w:rPr>
        <w:t>Dose image for CTV (a) and CTD (b) plans. The most significant dose differences are indicated by the white arrows.</w:t>
      </w:r>
      <w:r w:rsidR="006009F0" w:rsidRPr="0019448E">
        <w:rPr>
          <w:b/>
          <w:bCs/>
          <w:sz w:val="20"/>
          <w:szCs w:val="16"/>
          <w:lang w:val="en-US"/>
        </w:rPr>
        <w:t xml:space="preserve">  </w:t>
      </w:r>
      <w:r w:rsidRPr="0019448E">
        <w:rPr>
          <w:sz w:val="20"/>
          <w:szCs w:val="16"/>
          <w:lang w:val="en-US"/>
        </w:rPr>
        <w:t>DVH (c) of the СTV (black), brainstem (dark grey) and optic chiasm (light grey) for CTV (solid) and CTD (dashed) plans.</w:t>
      </w:r>
    </w:p>
    <w:p w14:paraId="5D4B5E45" w14:textId="77777777" w:rsidR="00F6587E" w:rsidRPr="008E25BC" w:rsidRDefault="00000000">
      <w:pPr>
        <w:pStyle w:val="Heading"/>
        <w:rPr>
          <w:lang w:val="en-US"/>
        </w:rPr>
      </w:pPr>
      <w:r w:rsidRPr="008E25BC">
        <w:rPr>
          <w:lang w:val="en-US"/>
        </w:rPr>
        <w:lastRenderedPageBreak/>
        <w:t>Conclusion</w:t>
      </w:r>
    </w:p>
    <w:p w14:paraId="0B27F153" w14:textId="46151B8A" w:rsidR="00F41D1D" w:rsidRPr="00801CF3" w:rsidRDefault="00801CF3" w:rsidP="002567E4">
      <w:pPr>
        <w:pStyle w:val="BodyL"/>
        <w:rPr>
          <w:lang w:val="en-US"/>
        </w:rPr>
      </w:pPr>
      <w:r>
        <w:rPr>
          <w:lang w:val="en-US"/>
        </w:rPr>
        <w:t>We</w:t>
      </w:r>
      <w:r w:rsidRPr="008E25BC">
        <w:rPr>
          <w:lang w:val="en-US"/>
        </w:rPr>
        <w:t xml:space="preserve"> implemented CTD in treatment planning system and compared CTV and CTD in the five cases of skull base chordomas</w:t>
      </w:r>
      <w:r w:rsidR="002567E4">
        <w:rPr>
          <w:lang w:val="en-US"/>
        </w:rPr>
        <w:t>. Our</w:t>
      </w:r>
      <w:r w:rsidR="002567E4" w:rsidRPr="009241E5">
        <w:rPr>
          <w:lang w:val="en-US"/>
        </w:rPr>
        <w:t xml:space="preserve"> results suggest that </w:t>
      </w:r>
      <w:r w:rsidR="002567E4" w:rsidRPr="008E25BC">
        <w:rPr>
          <w:lang w:val="en-US"/>
        </w:rPr>
        <w:t xml:space="preserve">CTD </w:t>
      </w:r>
      <w:r w:rsidR="002567E4">
        <w:rPr>
          <w:lang w:val="en-US"/>
        </w:rPr>
        <w:t>might</w:t>
      </w:r>
      <w:r w:rsidR="002567E4" w:rsidRPr="009241E5">
        <w:rPr>
          <w:lang w:val="en-US"/>
        </w:rPr>
        <w:t xml:space="preserve"> be a good alternative to </w:t>
      </w:r>
      <w:r w:rsidR="002567E4">
        <w:t>С</w:t>
      </w:r>
      <w:r w:rsidR="002567E4" w:rsidRPr="009241E5">
        <w:rPr>
          <w:lang w:val="en-US"/>
        </w:rPr>
        <w:t xml:space="preserve">TV, but further research is needed to overcome </w:t>
      </w:r>
      <w:r w:rsidR="002567E4" w:rsidRPr="008912A0">
        <w:rPr>
          <w:lang w:val="en-US"/>
        </w:rPr>
        <w:t>number of limitations</w:t>
      </w:r>
      <w:r w:rsidR="002567E4" w:rsidRPr="009241E5">
        <w:rPr>
          <w:lang w:val="en-US"/>
        </w:rPr>
        <w:t xml:space="preserve">. </w:t>
      </w:r>
      <w:r w:rsidR="002567E4">
        <w:rPr>
          <w:lang w:val="en-US"/>
        </w:rPr>
        <w:t xml:space="preserve">For example, </w:t>
      </w:r>
      <w:r w:rsidR="002567E4" w:rsidRPr="008E25BC">
        <w:rPr>
          <w:lang w:val="en-US"/>
        </w:rPr>
        <w:t>determin</w:t>
      </w:r>
      <w:r w:rsidR="002567E4">
        <w:rPr>
          <w:lang w:val="en-US"/>
        </w:rPr>
        <w:t>ing</w:t>
      </w:r>
      <w:r w:rsidR="002567E4" w:rsidRPr="008E25BC">
        <w:rPr>
          <w:lang w:val="en-US"/>
        </w:rPr>
        <w:t xml:space="preserve"> the </w:t>
      </w:r>
      <w:r w:rsidR="002567E4" w:rsidRPr="00F41D1D">
        <w:rPr>
          <w:lang w:val="en-US"/>
        </w:rPr>
        <w:t xml:space="preserve">planning target volume </w:t>
      </w:r>
      <w:r w:rsidR="002567E4">
        <w:rPr>
          <w:lang w:val="en-US"/>
        </w:rPr>
        <w:t>(</w:t>
      </w:r>
      <w:r w:rsidR="002567E4" w:rsidRPr="008E25BC">
        <w:rPr>
          <w:lang w:val="en-US"/>
        </w:rPr>
        <w:t>PTV</w:t>
      </w:r>
      <w:r w:rsidR="002567E4">
        <w:rPr>
          <w:lang w:val="en-US"/>
        </w:rPr>
        <w:t>)</w:t>
      </w:r>
      <w:r w:rsidR="00D83A25">
        <w:rPr>
          <w:lang w:val="en-US"/>
        </w:rPr>
        <w:t xml:space="preserve"> for the CTD plans</w:t>
      </w:r>
      <w:r w:rsidR="002567E4" w:rsidRPr="008E25BC">
        <w:rPr>
          <w:lang w:val="en-US"/>
        </w:rPr>
        <w:t xml:space="preserve"> </w:t>
      </w:r>
      <w:r w:rsidR="002567E4">
        <w:rPr>
          <w:lang w:val="en-US"/>
        </w:rPr>
        <w:t xml:space="preserve">or </w:t>
      </w:r>
      <w:r w:rsidR="002567E4" w:rsidRPr="008E25BC">
        <w:rPr>
          <w:lang w:val="en-US"/>
        </w:rPr>
        <w:t>mov</w:t>
      </w:r>
      <w:r w:rsidR="002567E4">
        <w:rPr>
          <w:lang w:val="en-US"/>
        </w:rPr>
        <w:t>ing</w:t>
      </w:r>
      <w:r w:rsidR="002567E4" w:rsidRPr="008E25BC">
        <w:rPr>
          <w:lang w:val="en-US"/>
        </w:rPr>
        <w:t xml:space="preserve"> on to the objective creation of CTD shells (</w:t>
      </w:r>
      <w:r w:rsidR="002567E4">
        <w:rPr>
          <w:lang w:val="en-US"/>
        </w:rPr>
        <w:t xml:space="preserve">which can be achieved with </w:t>
      </w:r>
      <w:r w:rsidR="002567E4" w:rsidRPr="008E25BC">
        <w:rPr>
          <w:lang w:val="en-US"/>
        </w:rPr>
        <w:t>pathological studies).</w:t>
      </w:r>
      <w:r w:rsidR="002567E4">
        <w:rPr>
          <w:lang w:val="en-US"/>
        </w:rPr>
        <w:t xml:space="preserve"> However, the method is worth further consideration and may be introduced to clinical practice after needed research.</w:t>
      </w:r>
    </w:p>
    <w:p w14:paraId="02F1FD1F" w14:textId="7495C3A0" w:rsidR="00436EBC" w:rsidRPr="008E25BC" w:rsidRDefault="00000000" w:rsidP="007279A1">
      <w:pPr>
        <w:pStyle w:val="Heading"/>
        <w:rPr>
          <w:lang w:val="en-US"/>
        </w:rPr>
      </w:pPr>
      <w:r w:rsidRPr="008E25BC">
        <w:rPr>
          <w:lang w:val="en-US"/>
        </w:rPr>
        <w:t>REFERENCE</w:t>
      </w:r>
    </w:p>
    <w:p w14:paraId="3DEB1255" w14:textId="77777777" w:rsidR="008E25BC" w:rsidRPr="008E25BC" w:rsidRDefault="009D484A" w:rsidP="00624261">
      <w:pPr>
        <w:pStyle w:val="HTML"/>
        <w:numPr>
          <w:ilvl w:val="0"/>
          <w:numId w:val="19"/>
        </w:numPr>
        <w:ind w:left="360"/>
        <w:jc w:val="both"/>
        <w:rPr>
          <w:rFonts w:ascii="Times New Roman" w:hAnsi="Times New Roman"/>
          <w:color w:val="000000"/>
          <w:lang w:val="en-US"/>
        </w:rPr>
      </w:pPr>
      <w:r w:rsidRPr="008E25BC">
        <w:rPr>
          <w:rFonts w:ascii="Times New Roman" w:hAnsi="Times New Roman"/>
          <w:color w:val="000000"/>
          <w:lang w:val="en-US"/>
        </w:rPr>
        <w:t>van der Veen J</w:t>
      </w:r>
      <w:r w:rsidR="008E25BC" w:rsidRPr="008E25BC">
        <w:rPr>
          <w:rFonts w:ascii="Times New Roman" w:hAnsi="Times New Roman"/>
          <w:color w:val="000000"/>
          <w:lang w:val="en-US"/>
        </w:rPr>
        <w:t>.</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Gulyban</w:t>
      </w:r>
      <w:proofErr w:type="spellEnd"/>
      <w:r w:rsidRPr="008E25BC">
        <w:rPr>
          <w:rFonts w:ascii="Times New Roman" w:hAnsi="Times New Roman"/>
          <w:color w:val="000000"/>
          <w:lang w:val="en-US"/>
        </w:rPr>
        <w:t xml:space="preserve"> A</w:t>
      </w:r>
      <w:r w:rsidR="008E25BC" w:rsidRPr="008E25BC">
        <w:rPr>
          <w:rFonts w:ascii="Times New Roman" w:hAnsi="Times New Roman"/>
          <w:color w:val="000000"/>
          <w:lang w:val="en-US"/>
        </w:rPr>
        <w:t>.</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Nuyts</w:t>
      </w:r>
      <w:proofErr w:type="spellEnd"/>
      <w:r w:rsidRPr="008E25BC">
        <w:rPr>
          <w:rFonts w:ascii="Times New Roman" w:hAnsi="Times New Roman"/>
          <w:color w:val="000000"/>
          <w:lang w:val="en-US"/>
        </w:rPr>
        <w:t xml:space="preserve"> S. Interobserver variability in delineation of target volumes in head and neck cancer</w:t>
      </w:r>
      <w:r w:rsidR="008E25BC" w:rsidRPr="008E25BC">
        <w:rPr>
          <w:rFonts w:ascii="Times New Roman" w:hAnsi="Times New Roman"/>
          <w:color w:val="000000"/>
          <w:lang w:val="en-US"/>
        </w:rPr>
        <w:t xml:space="preserve"> //</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Radiother</w:t>
      </w:r>
      <w:proofErr w:type="spellEnd"/>
      <w:r w:rsidRPr="008E25BC">
        <w:rPr>
          <w:rFonts w:ascii="Times New Roman" w:hAnsi="Times New Roman"/>
          <w:color w:val="000000"/>
          <w:lang w:val="en-US"/>
        </w:rPr>
        <w:t xml:space="preserve"> Oncol. 2019</w:t>
      </w:r>
      <w:r w:rsidR="008E25BC" w:rsidRPr="008E25BC">
        <w:rPr>
          <w:rFonts w:ascii="Times New Roman" w:hAnsi="Times New Roman"/>
          <w:color w:val="000000"/>
          <w:lang w:val="en-US"/>
        </w:rPr>
        <w:t>.</w:t>
      </w:r>
      <w:r w:rsidRPr="008E25BC">
        <w:rPr>
          <w:rFonts w:ascii="Times New Roman" w:hAnsi="Times New Roman"/>
          <w:color w:val="000000"/>
          <w:lang w:val="en-US"/>
        </w:rPr>
        <w:t xml:space="preserve"> </w:t>
      </w:r>
      <w:r w:rsidR="008E25BC" w:rsidRPr="008E25BC">
        <w:rPr>
          <w:rFonts w:ascii="Times New Roman" w:hAnsi="Times New Roman"/>
          <w:color w:val="000000"/>
          <w:lang w:val="en-US"/>
        </w:rPr>
        <w:t xml:space="preserve"> V. </w:t>
      </w:r>
      <w:r w:rsidRPr="008E25BC">
        <w:rPr>
          <w:rFonts w:ascii="Times New Roman" w:hAnsi="Times New Roman"/>
          <w:color w:val="000000"/>
          <w:lang w:val="en-US"/>
        </w:rPr>
        <w:t>137</w:t>
      </w:r>
      <w:r w:rsidR="008E25BC" w:rsidRPr="008E25BC">
        <w:rPr>
          <w:rFonts w:ascii="Times New Roman" w:hAnsi="Times New Roman"/>
          <w:color w:val="000000"/>
          <w:lang w:val="en-US"/>
        </w:rPr>
        <w:t xml:space="preserve">. P. </w:t>
      </w:r>
      <w:r w:rsidRPr="008E25BC">
        <w:rPr>
          <w:rFonts w:ascii="Times New Roman" w:hAnsi="Times New Roman"/>
          <w:color w:val="000000"/>
          <w:lang w:val="en-US"/>
        </w:rPr>
        <w:t xml:space="preserve">9-15. </w:t>
      </w:r>
      <w:r w:rsidR="008E25BC" w:rsidRPr="008E25BC">
        <w:rPr>
          <w:rFonts w:ascii="Times New Roman" w:hAnsi="Times New Roman"/>
          <w:color w:val="000000"/>
          <w:lang w:val="en-US"/>
        </w:rPr>
        <w:t>DOI</w:t>
      </w:r>
      <w:r w:rsidRPr="008E25BC">
        <w:rPr>
          <w:rFonts w:ascii="Times New Roman" w:hAnsi="Times New Roman"/>
          <w:color w:val="000000"/>
          <w:lang w:val="en-US"/>
        </w:rPr>
        <w:t>: 10.1016/j.radonc.2019.04.006.</w:t>
      </w:r>
    </w:p>
    <w:p w14:paraId="7193B720" w14:textId="77777777" w:rsidR="008E25BC" w:rsidRPr="008E25BC" w:rsidRDefault="00892CDF" w:rsidP="00624261">
      <w:pPr>
        <w:pStyle w:val="HTML"/>
        <w:numPr>
          <w:ilvl w:val="0"/>
          <w:numId w:val="19"/>
        </w:numPr>
        <w:ind w:left="360"/>
        <w:jc w:val="both"/>
        <w:rPr>
          <w:rFonts w:ascii="Times New Roman" w:hAnsi="Times New Roman"/>
          <w:color w:val="000000"/>
          <w:lang w:val="en-US"/>
        </w:rPr>
      </w:pPr>
      <w:r w:rsidRPr="008E25BC">
        <w:rPr>
          <w:rFonts w:ascii="Times New Roman" w:hAnsi="Times New Roman"/>
          <w:color w:val="000000"/>
          <w:lang w:val="en-US"/>
        </w:rPr>
        <w:t>Vinod S</w:t>
      </w:r>
      <w:r w:rsidR="008E25BC" w:rsidRPr="008E25BC">
        <w:rPr>
          <w:rFonts w:ascii="Times New Roman" w:hAnsi="Times New Roman"/>
          <w:color w:val="000000"/>
          <w:lang w:val="en-US"/>
        </w:rPr>
        <w:t>.</w:t>
      </w:r>
      <w:r w:rsidRPr="008E25BC">
        <w:rPr>
          <w:rFonts w:ascii="Times New Roman" w:hAnsi="Times New Roman"/>
          <w:color w:val="000000"/>
          <w:lang w:val="en-US"/>
        </w:rPr>
        <w:t>K</w:t>
      </w:r>
      <w:r w:rsidR="008E25BC" w:rsidRPr="008E25BC">
        <w:rPr>
          <w:rFonts w:ascii="Times New Roman" w:hAnsi="Times New Roman"/>
          <w:color w:val="000000"/>
          <w:lang w:val="en-US"/>
        </w:rPr>
        <w:t>.</w:t>
      </w:r>
      <w:r w:rsidRPr="008E25BC">
        <w:rPr>
          <w:rFonts w:ascii="Times New Roman" w:hAnsi="Times New Roman"/>
          <w:color w:val="000000"/>
          <w:lang w:val="en-US"/>
        </w:rPr>
        <w:t>, Jameson M</w:t>
      </w:r>
      <w:r w:rsidR="008E25BC" w:rsidRPr="008E25BC">
        <w:rPr>
          <w:rFonts w:ascii="Times New Roman" w:hAnsi="Times New Roman"/>
          <w:color w:val="000000"/>
          <w:lang w:val="en-US"/>
        </w:rPr>
        <w:t>.</w:t>
      </w:r>
      <w:r w:rsidRPr="008E25BC">
        <w:rPr>
          <w:rFonts w:ascii="Times New Roman" w:hAnsi="Times New Roman"/>
          <w:color w:val="000000"/>
          <w:lang w:val="en-US"/>
        </w:rPr>
        <w:t>G</w:t>
      </w:r>
      <w:r w:rsidR="008E25BC" w:rsidRPr="008E25BC">
        <w:rPr>
          <w:rFonts w:ascii="Times New Roman" w:hAnsi="Times New Roman"/>
          <w:color w:val="000000"/>
          <w:lang w:val="en-US"/>
        </w:rPr>
        <w:t>.</w:t>
      </w:r>
      <w:r w:rsidRPr="008E25BC">
        <w:rPr>
          <w:rFonts w:ascii="Times New Roman" w:hAnsi="Times New Roman"/>
          <w:color w:val="000000"/>
          <w:lang w:val="en-US"/>
        </w:rPr>
        <w:t>, Min M</w:t>
      </w:r>
      <w:r w:rsidR="008E25BC" w:rsidRPr="008E25BC">
        <w:rPr>
          <w:rFonts w:ascii="Times New Roman" w:hAnsi="Times New Roman"/>
          <w:color w:val="000000"/>
          <w:lang w:val="en-US"/>
        </w:rPr>
        <w:t>.</w:t>
      </w:r>
      <w:r w:rsidRPr="008E25BC">
        <w:rPr>
          <w:rFonts w:ascii="Times New Roman" w:hAnsi="Times New Roman"/>
          <w:color w:val="000000"/>
          <w:lang w:val="en-US"/>
        </w:rPr>
        <w:t>, Holloway L</w:t>
      </w:r>
      <w:r w:rsidR="008E25BC" w:rsidRPr="008E25BC">
        <w:rPr>
          <w:rFonts w:ascii="Times New Roman" w:hAnsi="Times New Roman"/>
          <w:color w:val="000000"/>
          <w:lang w:val="en-US"/>
        </w:rPr>
        <w:t>.</w:t>
      </w:r>
      <w:r w:rsidRPr="008E25BC">
        <w:rPr>
          <w:rFonts w:ascii="Times New Roman" w:hAnsi="Times New Roman"/>
          <w:color w:val="000000"/>
          <w:lang w:val="en-US"/>
        </w:rPr>
        <w:t>C. Uncertainties in volume delineation in radiation oncology: A systematic review and recommendations for future studies</w:t>
      </w:r>
      <w:r w:rsidR="008E25BC" w:rsidRPr="008E25BC">
        <w:rPr>
          <w:rFonts w:ascii="Times New Roman" w:hAnsi="Times New Roman"/>
          <w:color w:val="000000"/>
          <w:lang w:val="en-US"/>
        </w:rPr>
        <w:t xml:space="preserve"> //</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Radiother</w:t>
      </w:r>
      <w:proofErr w:type="spellEnd"/>
      <w:r w:rsidRPr="008E25BC">
        <w:rPr>
          <w:rFonts w:ascii="Times New Roman" w:hAnsi="Times New Roman"/>
          <w:color w:val="000000"/>
          <w:lang w:val="en-US"/>
        </w:rPr>
        <w:t xml:space="preserve"> Oncol. 2016</w:t>
      </w:r>
      <w:r w:rsidR="008E25BC" w:rsidRPr="008E25BC">
        <w:rPr>
          <w:rFonts w:ascii="Times New Roman" w:hAnsi="Times New Roman"/>
          <w:color w:val="000000"/>
          <w:lang w:val="en-US"/>
        </w:rPr>
        <w:t xml:space="preserve">. V. </w:t>
      </w:r>
      <w:r w:rsidRPr="008E25BC">
        <w:rPr>
          <w:rFonts w:ascii="Times New Roman" w:hAnsi="Times New Roman"/>
          <w:color w:val="000000"/>
          <w:lang w:val="en-US"/>
        </w:rPr>
        <w:t>121(2)</w:t>
      </w:r>
      <w:r w:rsidR="008E25BC" w:rsidRPr="008E25BC">
        <w:rPr>
          <w:rFonts w:ascii="Times New Roman" w:hAnsi="Times New Roman"/>
          <w:color w:val="000000"/>
          <w:lang w:val="en-US"/>
        </w:rPr>
        <w:t xml:space="preserve">. P. </w:t>
      </w:r>
      <w:r w:rsidRPr="008E25BC">
        <w:rPr>
          <w:rFonts w:ascii="Times New Roman" w:hAnsi="Times New Roman"/>
          <w:color w:val="000000"/>
          <w:lang w:val="en-US"/>
        </w:rPr>
        <w:t xml:space="preserve">169-179. </w:t>
      </w:r>
      <w:r w:rsidR="008E25BC" w:rsidRPr="008E25BC">
        <w:rPr>
          <w:rFonts w:ascii="Times New Roman" w:hAnsi="Times New Roman"/>
          <w:color w:val="000000"/>
          <w:lang w:val="en-US"/>
        </w:rPr>
        <w:t>DOI</w:t>
      </w:r>
      <w:r w:rsidRPr="008E25BC">
        <w:rPr>
          <w:rFonts w:ascii="Times New Roman" w:hAnsi="Times New Roman"/>
          <w:color w:val="000000"/>
          <w:lang w:val="en-US"/>
        </w:rPr>
        <w:t xml:space="preserve">: 10.1016/j.radonc.2016.09.009. </w:t>
      </w:r>
    </w:p>
    <w:p w14:paraId="1CFBEF64" w14:textId="77777777" w:rsidR="008E25BC" w:rsidRPr="008E25BC" w:rsidRDefault="00C30BAD" w:rsidP="008E25BC">
      <w:pPr>
        <w:pStyle w:val="HTML"/>
        <w:numPr>
          <w:ilvl w:val="0"/>
          <w:numId w:val="19"/>
        </w:numPr>
        <w:ind w:left="360"/>
        <w:jc w:val="both"/>
        <w:rPr>
          <w:rFonts w:ascii="Times New Roman" w:hAnsi="Times New Roman"/>
          <w:color w:val="000000"/>
          <w:lang w:val="en-US"/>
        </w:rPr>
      </w:pPr>
      <w:proofErr w:type="spellStart"/>
      <w:r w:rsidRPr="008E25BC">
        <w:rPr>
          <w:rFonts w:ascii="Times New Roman" w:hAnsi="Times New Roman"/>
          <w:color w:val="000000"/>
          <w:lang w:val="en-US"/>
        </w:rPr>
        <w:t>Shusharina</w:t>
      </w:r>
      <w:proofErr w:type="spellEnd"/>
      <w:r w:rsidRPr="008E25BC">
        <w:rPr>
          <w:rFonts w:ascii="Times New Roman" w:hAnsi="Times New Roman"/>
          <w:color w:val="000000"/>
          <w:lang w:val="en-US"/>
        </w:rPr>
        <w:t xml:space="preserve"> N</w:t>
      </w:r>
      <w:r w:rsidR="008E25BC" w:rsidRPr="008E25BC">
        <w:rPr>
          <w:rFonts w:ascii="Times New Roman" w:hAnsi="Times New Roman"/>
          <w:color w:val="000000"/>
          <w:lang w:val="en-US"/>
        </w:rPr>
        <w:t>.</w:t>
      </w:r>
      <w:r w:rsidRPr="008E25BC">
        <w:rPr>
          <w:rFonts w:ascii="Times New Roman" w:hAnsi="Times New Roman"/>
          <w:color w:val="000000"/>
          <w:lang w:val="en-US"/>
        </w:rPr>
        <w:t>, Craft D</w:t>
      </w:r>
      <w:r w:rsidR="008E25BC" w:rsidRPr="008E25BC">
        <w:rPr>
          <w:rFonts w:ascii="Times New Roman" w:hAnsi="Times New Roman"/>
          <w:color w:val="000000"/>
          <w:lang w:val="en-US"/>
        </w:rPr>
        <w:t>.</w:t>
      </w:r>
      <w:r w:rsidRPr="008E25BC">
        <w:rPr>
          <w:rFonts w:ascii="Times New Roman" w:hAnsi="Times New Roman"/>
          <w:color w:val="000000"/>
          <w:lang w:val="en-US"/>
        </w:rPr>
        <w:t>, Chen Y</w:t>
      </w:r>
      <w:r w:rsidR="008E25BC" w:rsidRPr="008E25BC">
        <w:rPr>
          <w:rFonts w:ascii="Times New Roman" w:hAnsi="Times New Roman"/>
          <w:color w:val="000000"/>
          <w:lang w:val="en-US"/>
        </w:rPr>
        <w:t>.</w:t>
      </w:r>
      <w:r w:rsidRPr="008E25BC">
        <w:rPr>
          <w:rFonts w:ascii="Times New Roman" w:hAnsi="Times New Roman"/>
          <w:color w:val="000000"/>
          <w:lang w:val="en-US"/>
        </w:rPr>
        <w:t>L</w:t>
      </w:r>
      <w:r w:rsidR="008E25BC" w:rsidRPr="008E25BC">
        <w:rPr>
          <w:rFonts w:ascii="Times New Roman" w:hAnsi="Times New Roman"/>
          <w:color w:val="000000"/>
          <w:lang w:val="en-US"/>
        </w:rPr>
        <w:t>.</w:t>
      </w:r>
      <w:r w:rsidRPr="008E25BC">
        <w:rPr>
          <w:rFonts w:ascii="Times New Roman" w:hAnsi="Times New Roman"/>
          <w:color w:val="000000"/>
          <w:lang w:val="en-US"/>
        </w:rPr>
        <w:t>, Shih H</w:t>
      </w:r>
      <w:r w:rsidR="008E25BC" w:rsidRPr="008E25BC">
        <w:rPr>
          <w:rFonts w:ascii="Times New Roman" w:hAnsi="Times New Roman"/>
          <w:color w:val="000000"/>
          <w:lang w:val="en-US"/>
        </w:rPr>
        <w:t>.</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Bortfeld</w:t>
      </w:r>
      <w:proofErr w:type="spellEnd"/>
      <w:r w:rsidRPr="008E25BC">
        <w:rPr>
          <w:rFonts w:ascii="Times New Roman" w:hAnsi="Times New Roman"/>
          <w:color w:val="000000"/>
          <w:lang w:val="en-US"/>
        </w:rPr>
        <w:t xml:space="preserve"> T. The clinical target distribution: a probabilistic alternative to the clinical target volume</w:t>
      </w:r>
      <w:r w:rsidR="008E25BC" w:rsidRPr="008E25BC">
        <w:rPr>
          <w:rFonts w:ascii="Times New Roman" w:hAnsi="Times New Roman"/>
          <w:color w:val="000000"/>
          <w:lang w:val="en-US"/>
        </w:rPr>
        <w:t xml:space="preserve"> //</w:t>
      </w:r>
      <w:r w:rsidRPr="008E25BC">
        <w:rPr>
          <w:rFonts w:ascii="Times New Roman" w:hAnsi="Times New Roman"/>
          <w:color w:val="000000"/>
          <w:lang w:val="en-US"/>
        </w:rPr>
        <w:t xml:space="preserve"> Phys Med Biol. 2018</w:t>
      </w:r>
      <w:r w:rsidR="008E25BC" w:rsidRPr="008E25BC">
        <w:rPr>
          <w:rFonts w:ascii="Times New Roman" w:hAnsi="Times New Roman"/>
          <w:color w:val="000000"/>
          <w:lang w:val="en-US"/>
        </w:rPr>
        <w:t xml:space="preserve">. V. </w:t>
      </w:r>
      <w:r w:rsidRPr="008E25BC">
        <w:rPr>
          <w:rFonts w:ascii="Times New Roman" w:hAnsi="Times New Roman"/>
          <w:color w:val="000000"/>
          <w:lang w:val="en-US"/>
        </w:rPr>
        <w:t>63(15)</w:t>
      </w:r>
      <w:r w:rsidR="008E25BC" w:rsidRPr="008E25BC">
        <w:rPr>
          <w:rFonts w:ascii="Times New Roman" w:hAnsi="Times New Roman"/>
          <w:color w:val="000000"/>
          <w:lang w:val="en-US"/>
        </w:rPr>
        <w:t xml:space="preserve">. P. </w:t>
      </w:r>
      <w:r w:rsidRPr="008E25BC">
        <w:rPr>
          <w:rFonts w:ascii="Times New Roman" w:hAnsi="Times New Roman"/>
          <w:color w:val="000000"/>
          <w:lang w:val="en-US"/>
        </w:rPr>
        <w:t xml:space="preserve">155001. </w:t>
      </w:r>
      <w:r w:rsidR="008E25BC" w:rsidRPr="008E25BC">
        <w:rPr>
          <w:rFonts w:ascii="Times New Roman" w:hAnsi="Times New Roman"/>
          <w:color w:val="000000"/>
          <w:lang w:val="en-US"/>
        </w:rPr>
        <w:t>DOI</w:t>
      </w:r>
      <w:r w:rsidRPr="008E25BC">
        <w:rPr>
          <w:rFonts w:ascii="Times New Roman" w:hAnsi="Times New Roman"/>
          <w:color w:val="000000"/>
          <w:lang w:val="en-US"/>
        </w:rPr>
        <w:t>: 10.1088/1361-6560/aacfb4.</w:t>
      </w:r>
    </w:p>
    <w:p w14:paraId="5AB5B8F7" w14:textId="2ED8D11E" w:rsidR="00F6587E" w:rsidRDefault="00624261" w:rsidP="008E25BC">
      <w:pPr>
        <w:pStyle w:val="HTML"/>
        <w:numPr>
          <w:ilvl w:val="0"/>
          <w:numId w:val="19"/>
        </w:numPr>
        <w:ind w:left="360"/>
        <w:jc w:val="both"/>
        <w:rPr>
          <w:rFonts w:ascii="Times New Roman" w:hAnsi="Times New Roman"/>
          <w:color w:val="000000"/>
          <w:lang w:val="en-US"/>
        </w:rPr>
      </w:pPr>
      <w:r w:rsidRPr="008E25BC">
        <w:rPr>
          <w:rFonts w:ascii="Times New Roman" w:hAnsi="Times New Roman"/>
          <w:color w:val="000000"/>
          <w:lang w:val="en-US"/>
        </w:rPr>
        <w:t>Buti</w:t>
      </w:r>
      <w:r w:rsidR="008E25BC" w:rsidRPr="008E25BC">
        <w:rPr>
          <w:rFonts w:ascii="Times New Roman" w:hAnsi="Times New Roman"/>
          <w:color w:val="000000"/>
          <w:lang w:val="en-US"/>
        </w:rPr>
        <w:t xml:space="preserve"> G.</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Shusharina</w:t>
      </w:r>
      <w:proofErr w:type="spellEnd"/>
      <w:r w:rsidR="008E25BC" w:rsidRPr="008E25BC">
        <w:rPr>
          <w:rFonts w:ascii="Times New Roman" w:hAnsi="Times New Roman"/>
          <w:color w:val="000000"/>
          <w:lang w:val="en-US"/>
        </w:rPr>
        <w:t xml:space="preserve"> N</w:t>
      </w:r>
      <w:r w:rsidR="008E25BC">
        <w:rPr>
          <w:rFonts w:ascii="Times New Roman" w:hAnsi="Times New Roman"/>
          <w:color w:val="000000"/>
          <w:lang w:val="en-US"/>
        </w:rPr>
        <w:t>.</w:t>
      </w:r>
      <w:r w:rsidRPr="008E25BC">
        <w:rPr>
          <w:rFonts w:ascii="Times New Roman" w:hAnsi="Times New Roman"/>
          <w:color w:val="000000"/>
          <w:lang w:val="en-US"/>
        </w:rPr>
        <w:t>, Ajdari</w:t>
      </w:r>
      <w:r w:rsidR="008E25BC" w:rsidRPr="008E25BC">
        <w:rPr>
          <w:rFonts w:ascii="Times New Roman" w:hAnsi="Times New Roman"/>
          <w:color w:val="000000"/>
          <w:lang w:val="en-US"/>
        </w:rPr>
        <w:t xml:space="preserve"> A</w:t>
      </w:r>
      <w:r w:rsidR="008E25BC">
        <w:rPr>
          <w:rFonts w:ascii="Times New Roman" w:hAnsi="Times New Roman"/>
          <w:color w:val="000000"/>
          <w:lang w:val="en-US"/>
        </w:rPr>
        <w:t>.</w:t>
      </w:r>
      <w:r w:rsidRPr="008E25BC">
        <w:rPr>
          <w:rFonts w:ascii="Times New Roman" w:hAnsi="Times New Roman"/>
          <w:color w:val="000000"/>
          <w:lang w:val="en-US"/>
        </w:rPr>
        <w:t>, Sterpin</w:t>
      </w:r>
      <w:r w:rsidR="008E25BC" w:rsidRPr="008E25BC">
        <w:rPr>
          <w:rFonts w:ascii="Times New Roman" w:hAnsi="Times New Roman"/>
          <w:color w:val="000000"/>
          <w:lang w:val="en-US"/>
        </w:rPr>
        <w:t xml:space="preserve"> E</w:t>
      </w:r>
      <w:r w:rsidR="008E25BC">
        <w:rPr>
          <w:rFonts w:ascii="Times New Roman" w:hAnsi="Times New Roman"/>
          <w:color w:val="000000"/>
          <w:lang w:val="en-US"/>
        </w:rPr>
        <w:t>.</w:t>
      </w:r>
      <w:r w:rsidRPr="008E25BC">
        <w:rPr>
          <w:rFonts w:ascii="Times New Roman" w:hAnsi="Times New Roman"/>
          <w:color w:val="000000"/>
          <w:lang w:val="en-US"/>
        </w:rPr>
        <w:t xml:space="preserve">, </w:t>
      </w:r>
      <w:proofErr w:type="spellStart"/>
      <w:r w:rsidRPr="008E25BC">
        <w:rPr>
          <w:rFonts w:ascii="Times New Roman" w:hAnsi="Times New Roman"/>
          <w:color w:val="000000"/>
          <w:lang w:val="en-US"/>
        </w:rPr>
        <w:t>Bortfeld</w:t>
      </w:r>
      <w:proofErr w:type="spellEnd"/>
      <w:r w:rsidRPr="008E25BC">
        <w:rPr>
          <w:rFonts w:ascii="Times New Roman" w:hAnsi="Times New Roman"/>
          <w:color w:val="000000"/>
          <w:lang w:val="en-US"/>
        </w:rPr>
        <w:t xml:space="preserve"> </w:t>
      </w:r>
      <w:r w:rsidR="008E25BC" w:rsidRPr="008E25BC">
        <w:rPr>
          <w:rFonts w:ascii="Times New Roman" w:hAnsi="Times New Roman"/>
          <w:color w:val="000000"/>
          <w:lang w:val="en-US"/>
        </w:rPr>
        <w:t>T</w:t>
      </w:r>
      <w:r w:rsidR="008E25BC">
        <w:rPr>
          <w:rFonts w:ascii="Times New Roman" w:hAnsi="Times New Roman"/>
          <w:color w:val="000000"/>
          <w:lang w:val="en-US"/>
        </w:rPr>
        <w:t xml:space="preserve">. </w:t>
      </w:r>
      <w:r w:rsidRPr="008E25BC">
        <w:rPr>
          <w:rFonts w:ascii="Times New Roman" w:hAnsi="Times New Roman"/>
          <w:color w:val="000000"/>
          <w:lang w:val="en-US"/>
        </w:rPr>
        <w:t>Exploring trade‐offs in treatment planning for brain tumor cases with a probabilistic definition of the clinical target volume</w:t>
      </w:r>
      <w:r w:rsidR="008E25BC">
        <w:rPr>
          <w:rFonts w:ascii="Times New Roman" w:hAnsi="Times New Roman"/>
          <w:color w:val="000000"/>
          <w:lang w:val="en-US"/>
        </w:rPr>
        <w:t xml:space="preserve"> //</w:t>
      </w:r>
      <w:r w:rsidRPr="008E25BC">
        <w:rPr>
          <w:rFonts w:ascii="Times New Roman" w:hAnsi="Times New Roman"/>
          <w:color w:val="000000"/>
          <w:lang w:val="en-US"/>
        </w:rPr>
        <w:t xml:space="preserve"> Medical Physics</w:t>
      </w:r>
      <w:r w:rsidR="008E25BC">
        <w:rPr>
          <w:rFonts w:ascii="Times New Roman" w:hAnsi="Times New Roman"/>
          <w:color w:val="000000"/>
          <w:lang w:val="en-US"/>
        </w:rPr>
        <w:t>. 2023. V.</w:t>
      </w:r>
      <w:r w:rsidRPr="008E25BC">
        <w:rPr>
          <w:rFonts w:ascii="Times New Roman" w:hAnsi="Times New Roman"/>
          <w:color w:val="000000"/>
          <w:lang w:val="en-US"/>
        </w:rPr>
        <w:t xml:space="preserve"> 50</w:t>
      </w:r>
      <w:r w:rsidR="008E25BC">
        <w:rPr>
          <w:rFonts w:ascii="Times New Roman" w:hAnsi="Times New Roman"/>
          <w:color w:val="000000"/>
          <w:lang w:val="en-US"/>
        </w:rPr>
        <w:t>(</w:t>
      </w:r>
      <w:r w:rsidRPr="008E25BC">
        <w:rPr>
          <w:rFonts w:ascii="Times New Roman" w:hAnsi="Times New Roman"/>
          <w:color w:val="000000"/>
          <w:lang w:val="en-US"/>
        </w:rPr>
        <w:t>1</w:t>
      </w:r>
      <w:r w:rsidR="008E25BC">
        <w:rPr>
          <w:rFonts w:ascii="Times New Roman" w:hAnsi="Times New Roman"/>
          <w:color w:val="000000"/>
          <w:lang w:val="en-US"/>
        </w:rPr>
        <w:t xml:space="preserve">). P. </w:t>
      </w:r>
      <w:r w:rsidRPr="008E25BC">
        <w:rPr>
          <w:rFonts w:ascii="Times New Roman" w:hAnsi="Times New Roman"/>
          <w:color w:val="000000"/>
          <w:lang w:val="en-US"/>
        </w:rPr>
        <w:t>410-423.</w:t>
      </w:r>
      <w:r w:rsidR="008E25BC">
        <w:rPr>
          <w:rFonts w:ascii="Times New Roman" w:hAnsi="Times New Roman"/>
          <w:color w:val="000000"/>
          <w:lang w:val="en-US"/>
        </w:rPr>
        <w:t xml:space="preserve"> </w:t>
      </w:r>
      <w:r w:rsidR="008E25BC" w:rsidRPr="008E25BC">
        <w:rPr>
          <w:rFonts w:ascii="Times New Roman" w:hAnsi="Times New Roman"/>
          <w:color w:val="000000"/>
          <w:lang w:val="en-US"/>
        </w:rPr>
        <w:t>DOI:</w:t>
      </w:r>
      <w:r w:rsidR="008E25BC">
        <w:rPr>
          <w:rFonts w:ascii="Times New Roman" w:hAnsi="Times New Roman"/>
          <w:color w:val="000000"/>
          <w:lang w:val="en-US"/>
        </w:rPr>
        <w:t xml:space="preserve"> </w:t>
      </w:r>
      <w:r w:rsidR="008E25BC" w:rsidRPr="008E25BC">
        <w:rPr>
          <w:rFonts w:ascii="Times New Roman" w:hAnsi="Times New Roman"/>
          <w:color w:val="000000"/>
          <w:lang w:val="en-US"/>
        </w:rPr>
        <w:t>10.1002/mp.16097</w:t>
      </w:r>
      <w:r w:rsidR="008E25BC">
        <w:rPr>
          <w:rFonts w:ascii="Times New Roman" w:hAnsi="Times New Roman"/>
          <w:color w:val="000000"/>
          <w:lang w:val="en-US"/>
        </w:rPr>
        <w:t>.</w:t>
      </w:r>
    </w:p>
    <w:p w14:paraId="35AD163B" w14:textId="77777777" w:rsidR="006E0C02" w:rsidRDefault="006E0C02" w:rsidP="00CC71CF">
      <w:pPr>
        <w:pStyle w:val="HTML"/>
        <w:numPr>
          <w:ilvl w:val="0"/>
          <w:numId w:val="19"/>
        </w:numPr>
        <w:ind w:left="360"/>
        <w:jc w:val="both"/>
        <w:rPr>
          <w:rFonts w:ascii="Times New Roman" w:hAnsi="Times New Roman"/>
          <w:color w:val="000000"/>
          <w:lang w:val="en-US"/>
        </w:rPr>
      </w:pPr>
      <w:proofErr w:type="spellStart"/>
      <w:r w:rsidRPr="006E0C02">
        <w:rPr>
          <w:rFonts w:ascii="Times New Roman" w:hAnsi="Times New Roman"/>
          <w:color w:val="000000"/>
          <w:lang w:val="en-US"/>
        </w:rPr>
        <w:t>Rentgenogram</w:t>
      </w:r>
      <w:proofErr w:type="spellEnd"/>
      <w:r>
        <w:rPr>
          <w:rFonts w:ascii="Times New Roman" w:hAnsi="Times New Roman"/>
          <w:color w:val="000000"/>
          <w:lang w:val="en-US"/>
        </w:rPr>
        <w:t xml:space="preserve"> - </w:t>
      </w:r>
      <w:hyperlink r:id="rId11" w:history="1">
        <w:r w:rsidRPr="00DB57E3">
          <w:rPr>
            <w:rStyle w:val="af"/>
            <w:rFonts w:ascii="Times New Roman" w:hAnsi="Times New Roman"/>
            <w:lang w:val="en-US"/>
          </w:rPr>
          <w:t>https://rentgenogram.ru/</w:t>
        </w:r>
      </w:hyperlink>
      <w:r>
        <w:rPr>
          <w:rFonts w:ascii="Times New Roman" w:hAnsi="Times New Roman"/>
          <w:color w:val="000000"/>
          <w:lang w:val="en-US"/>
        </w:rPr>
        <w:t xml:space="preserve"> </w:t>
      </w:r>
    </w:p>
    <w:p w14:paraId="7C312DB4" w14:textId="77777777" w:rsidR="009E1D5E" w:rsidRDefault="00CC71CF" w:rsidP="009E1D5E">
      <w:pPr>
        <w:pStyle w:val="HTML"/>
        <w:numPr>
          <w:ilvl w:val="0"/>
          <w:numId w:val="19"/>
        </w:numPr>
        <w:ind w:left="360"/>
        <w:jc w:val="both"/>
        <w:rPr>
          <w:rFonts w:ascii="Times New Roman" w:hAnsi="Times New Roman"/>
          <w:color w:val="000000"/>
          <w:lang w:val="en-US"/>
        </w:rPr>
      </w:pPr>
      <w:proofErr w:type="spellStart"/>
      <w:r w:rsidRPr="006E0C02">
        <w:rPr>
          <w:rFonts w:ascii="Times New Roman" w:hAnsi="Times New Roman"/>
          <w:color w:val="000000"/>
          <w:lang w:val="en-US"/>
        </w:rPr>
        <w:t>Wuyckens</w:t>
      </w:r>
      <w:proofErr w:type="spellEnd"/>
      <w:r w:rsidR="006E0C02" w:rsidRPr="006E0C02">
        <w:rPr>
          <w:rFonts w:ascii="Times New Roman" w:hAnsi="Times New Roman"/>
          <w:color w:val="000000"/>
          <w:lang w:val="en-US"/>
        </w:rPr>
        <w:t xml:space="preserve"> S.</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Dasnoy</w:t>
      </w:r>
      <w:proofErr w:type="spellEnd"/>
      <w:r w:rsidR="006E0C02" w:rsidRPr="006E0C02">
        <w:rPr>
          <w:rFonts w:ascii="Times New Roman" w:hAnsi="Times New Roman"/>
          <w:color w:val="000000"/>
          <w:lang w:val="en-US"/>
        </w:rPr>
        <w:t xml:space="preserve"> D.</w:t>
      </w:r>
      <w:r w:rsidRPr="006E0C02">
        <w:rPr>
          <w:rFonts w:ascii="Times New Roman" w:hAnsi="Times New Roman"/>
          <w:color w:val="000000"/>
          <w:lang w:val="en-US"/>
        </w:rPr>
        <w:t>, Janssens</w:t>
      </w:r>
      <w:r w:rsidR="006E0C02" w:rsidRPr="006E0C02">
        <w:rPr>
          <w:rFonts w:ascii="Times New Roman" w:hAnsi="Times New Roman"/>
          <w:color w:val="000000"/>
          <w:lang w:val="en-US"/>
        </w:rPr>
        <w:t xml:space="preserve"> G.</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Hamaide</w:t>
      </w:r>
      <w:proofErr w:type="spellEnd"/>
      <w:r w:rsidR="006E0C02" w:rsidRPr="006E0C02">
        <w:rPr>
          <w:rFonts w:ascii="Times New Roman" w:hAnsi="Times New Roman"/>
          <w:color w:val="000000"/>
          <w:lang w:val="en-US"/>
        </w:rPr>
        <w:t xml:space="preserve"> V.</w:t>
      </w:r>
      <w:r w:rsidRPr="006E0C02">
        <w:rPr>
          <w:rFonts w:ascii="Times New Roman" w:hAnsi="Times New Roman"/>
          <w:color w:val="000000"/>
          <w:lang w:val="en-US"/>
        </w:rPr>
        <w:t>, Huet</w:t>
      </w:r>
      <w:r w:rsidR="006E0C02" w:rsidRPr="006E0C02">
        <w:rPr>
          <w:rFonts w:ascii="Times New Roman" w:hAnsi="Times New Roman"/>
          <w:color w:val="000000"/>
          <w:lang w:val="en-US"/>
        </w:rPr>
        <w:t xml:space="preserve"> M.</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Loÿen</w:t>
      </w:r>
      <w:proofErr w:type="spellEnd"/>
      <w:r w:rsidR="006E0C02" w:rsidRPr="006E0C02">
        <w:rPr>
          <w:rFonts w:ascii="Times New Roman" w:hAnsi="Times New Roman"/>
          <w:color w:val="000000"/>
          <w:lang w:val="en-US"/>
        </w:rPr>
        <w:t xml:space="preserve"> E.</w:t>
      </w:r>
      <w:r w:rsidRPr="006E0C02">
        <w:rPr>
          <w:rFonts w:ascii="Times New Roman" w:hAnsi="Times New Roman"/>
          <w:color w:val="000000"/>
          <w:lang w:val="en-US"/>
        </w:rPr>
        <w:t xml:space="preserve">, de </w:t>
      </w:r>
      <w:proofErr w:type="spellStart"/>
      <w:r w:rsidRPr="006E0C02">
        <w:rPr>
          <w:rFonts w:ascii="Times New Roman" w:hAnsi="Times New Roman"/>
          <w:color w:val="000000"/>
          <w:lang w:val="en-US"/>
        </w:rPr>
        <w:t>Hertaing</w:t>
      </w:r>
      <w:proofErr w:type="spellEnd"/>
      <w:r w:rsidR="006E0C02" w:rsidRPr="006E0C02">
        <w:rPr>
          <w:rFonts w:ascii="Times New Roman" w:hAnsi="Times New Roman"/>
          <w:color w:val="000000"/>
          <w:lang w:val="en-US"/>
        </w:rPr>
        <w:t xml:space="preserve"> G. R.</w:t>
      </w:r>
      <w:r w:rsidRPr="006E0C02">
        <w:rPr>
          <w:rFonts w:ascii="Times New Roman" w:hAnsi="Times New Roman"/>
          <w:color w:val="000000"/>
          <w:lang w:val="en-US"/>
        </w:rPr>
        <w:t>, Macq</w:t>
      </w:r>
      <w:r w:rsidR="006E0C02" w:rsidRPr="006E0C02">
        <w:rPr>
          <w:rFonts w:ascii="Times New Roman" w:hAnsi="Times New Roman"/>
          <w:color w:val="000000"/>
          <w:lang w:val="en-US"/>
        </w:rPr>
        <w:t xml:space="preserve"> B.</w:t>
      </w:r>
      <w:r w:rsidRPr="006E0C02">
        <w:rPr>
          <w:rFonts w:ascii="Times New Roman" w:hAnsi="Times New Roman"/>
          <w:color w:val="000000"/>
          <w:lang w:val="en-US"/>
        </w:rPr>
        <w:t>, Sterpin</w:t>
      </w:r>
      <w:r w:rsidR="006E0C02" w:rsidRPr="006E0C02">
        <w:rPr>
          <w:rFonts w:ascii="Times New Roman" w:hAnsi="Times New Roman"/>
          <w:color w:val="000000"/>
          <w:lang w:val="en-US"/>
        </w:rPr>
        <w:t xml:space="preserve"> E.</w:t>
      </w:r>
      <w:r w:rsidRPr="006E0C02">
        <w:rPr>
          <w:rFonts w:ascii="Times New Roman" w:hAnsi="Times New Roman"/>
          <w:color w:val="000000"/>
          <w:lang w:val="en-US"/>
        </w:rPr>
        <w:t>, Lee</w:t>
      </w:r>
      <w:r w:rsidR="006E0C02" w:rsidRPr="006E0C02">
        <w:rPr>
          <w:rFonts w:ascii="Times New Roman" w:hAnsi="Times New Roman"/>
          <w:color w:val="000000"/>
          <w:lang w:val="en-US"/>
        </w:rPr>
        <w:t xml:space="preserve"> J. A.</w:t>
      </w:r>
      <w:r w:rsidRPr="006E0C02">
        <w:rPr>
          <w:rFonts w:ascii="Times New Roman" w:hAnsi="Times New Roman"/>
          <w:color w:val="000000"/>
          <w:lang w:val="en-US"/>
        </w:rPr>
        <w:t>, Souris</w:t>
      </w:r>
      <w:r w:rsidR="006E0C02" w:rsidRPr="006E0C02">
        <w:rPr>
          <w:rFonts w:ascii="Times New Roman" w:hAnsi="Times New Roman"/>
          <w:color w:val="000000"/>
          <w:lang w:val="en-US"/>
        </w:rPr>
        <w:t xml:space="preserve"> K.</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Deffet</w:t>
      </w:r>
      <w:proofErr w:type="spellEnd"/>
      <w:r w:rsidR="006E0C02" w:rsidRPr="006E0C02">
        <w:rPr>
          <w:rFonts w:ascii="Times New Roman" w:hAnsi="Times New Roman"/>
          <w:color w:val="000000"/>
          <w:lang w:val="en-US"/>
        </w:rPr>
        <w:t xml:space="preserve"> S.</w:t>
      </w:r>
      <w:r w:rsidR="006E0C02">
        <w:rPr>
          <w:rFonts w:ascii="Times New Roman" w:hAnsi="Times New Roman"/>
          <w:color w:val="000000"/>
          <w:lang w:val="en-US"/>
        </w:rPr>
        <w:t xml:space="preserve"> </w:t>
      </w:r>
      <w:proofErr w:type="spellStart"/>
      <w:r w:rsidRPr="006E0C02">
        <w:rPr>
          <w:rFonts w:ascii="Times New Roman" w:hAnsi="Times New Roman"/>
          <w:color w:val="000000"/>
          <w:lang w:val="en-US"/>
        </w:rPr>
        <w:t>OpenTPS</w:t>
      </w:r>
      <w:proofErr w:type="spellEnd"/>
      <w:r w:rsidRPr="006E0C02">
        <w:rPr>
          <w:rFonts w:ascii="Times New Roman" w:hAnsi="Times New Roman"/>
          <w:color w:val="000000"/>
          <w:lang w:val="en-US"/>
        </w:rPr>
        <w:t>– Open-source treatment planning system for research in proton therapy</w:t>
      </w:r>
      <w:r w:rsidR="006E0C02">
        <w:rPr>
          <w:rFonts w:ascii="Times New Roman" w:hAnsi="Times New Roman"/>
          <w:color w:val="000000"/>
          <w:lang w:val="en-US"/>
        </w:rPr>
        <w:t xml:space="preserve"> //</w:t>
      </w:r>
      <w:r w:rsidRPr="006E0C02">
        <w:rPr>
          <w:rFonts w:ascii="Times New Roman" w:hAnsi="Times New Roman"/>
          <w:color w:val="000000"/>
          <w:lang w:val="en-US"/>
        </w:rPr>
        <w:t xml:space="preserve"> </w:t>
      </w:r>
      <w:proofErr w:type="spellStart"/>
      <w:r w:rsidR="006E0C02" w:rsidRPr="006E0C02">
        <w:rPr>
          <w:rFonts w:ascii="Times New Roman" w:hAnsi="Times New Roman"/>
          <w:color w:val="000000"/>
          <w:lang w:val="en-US"/>
        </w:rPr>
        <w:t>arXiv</w:t>
      </w:r>
      <w:proofErr w:type="spellEnd"/>
      <w:r w:rsidR="006E0C02" w:rsidRPr="006E0C02">
        <w:rPr>
          <w:rFonts w:ascii="Times New Roman" w:hAnsi="Times New Roman"/>
          <w:color w:val="000000"/>
          <w:lang w:val="en-US"/>
        </w:rPr>
        <w:t xml:space="preserve"> preprint arXiv:2303.00365. </w:t>
      </w:r>
      <w:r w:rsidRPr="006E0C02">
        <w:rPr>
          <w:rFonts w:ascii="Times New Roman" w:hAnsi="Times New Roman"/>
          <w:color w:val="000000"/>
          <w:lang w:val="en-US"/>
        </w:rPr>
        <w:t>2023</w:t>
      </w:r>
      <w:r w:rsidR="006E0C02">
        <w:rPr>
          <w:rFonts w:ascii="Times New Roman" w:hAnsi="Times New Roman"/>
          <w:color w:val="000000"/>
          <w:lang w:val="en-US"/>
        </w:rPr>
        <w:t>.</w:t>
      </w:r>
    </w:p>
    <w:p w14:paraId="4785BA55" w14:textId="44DD1C96" w:rsidR="006E0C02" w:rsidRPr="009E1D5E" w:rsidRDefault="009E1D5E" w:rsidP="009E1D5E">
      <w:pPr>
        <w:pStyle w:val="HTML"/>
        <w:numPr>
          <w:ilvl w:val="0"/>
          <w:numId w:val="19"/>
        </w:numPr>
        <w:ind w:left="360"/>
        <w:jc w:val="both"/>
        <w:rPr>
          <w:rFonts w:ascii="Times New Roman" w:hAnsi="Times New Roman"/>
          <w:color w:val="000000"/>
          <w:lang w:val="en-US"/>
        </w:rPr>
      </w:pPr>
      <w:proofErr w:type="spellStart"/>
      <w:r w:rsidRPr="009E1D5E">
        <w:rPr>
          <w:rFonts w:ascii="Times New Roman" w:hAnsi="Times New Roman"/>
          <w:color w:val="000000"/>
          <w:lang w:val="en-US"/>
        </w:rPr>
        <w:t>Palavani</w:t>
      </w:r>
      <w:proofErr w:type="spellEnd"/>
      <w:r w:rsidRPr="009E1D5E">
        <w:rPr>
          <w:rFonts w:ascii="Times New Roman" w:hAnsi="Times New Roman"/>
          <w:color w:val="000000"/>
          <w:lang w:val="en-US"/>
        </w:rPr>
        <w:t xml:space="preserve"> L. B., Borges P., Andreão F. F., Borges J., Batista S., Oliveira L. B., Ferreira M. Y., Reis P. C. A., Pontes J., Negri H., Beer-Furlan A., Krishna C., Bertani R., Rassi M. S. Optimizing radiotherapy strategies for skull base chordoma: a comprehensive meta-analysis and systematic review of treatment modalities and outcomes</w:t>
      </w:r>
      <w:r w:rsidR="00B91F22">
        <w:rPr>
          <w:rFonts w:ascii="Times New Roman" w:hAnsi="Times New Roman"/>
          <w:color w:val="000000"/>
          <w:lang w:val="en-US"/>
        </w:rPr>
        <w:t xml:space="preserve"> //</w:t>
      </w:r>
      <w:r w:rsidRPr="009E1D5E">
        <w:rPr>
          <w:rFonts w:ascii="Times New Roman" w:hAnsi="Times New Roman"/>
          <w:color w:val="000000"/>
          <w:lang w:val="en-US"/>
        </w:rPr>
        <w:t> </w:t>
      </w:r>
      <w:r w:rsidRPr="00B91F22">
        <w:rPr>
          <w:rFonts w:ascii="Times New Roman" w:hAnsi="Times New Roman"/>
          <w:color w:val="000000"/>
          <w:lang w:val="en-US"/>
        </w:rPr>
        <w:t>Neurosurgical Focus</w:t>
      </w:r>
      <w:r w:rsidR="00B91F22">
        <w:rPr>
          <w:rFonts w:ascii="Times New Roman" w:hAnsi="Times New Roman"/>
          <w:color w:val="000000"/>
          <w:lang w:val="en-US"/>
        </w:rPr>
        <w:t>. 2024. V.</w:t>
      </w:r>
      <w:r w:rsidRPr="009E1D5E">
        <w:rPr>
          <w:rFonts w:ascii="Times New Roman" w:hAnsi="Times New Roman"/>
          <w:color w:val="000000"/>
          <w:lang w:val="en-US"/>
        </w:rPr>
        <w:t> 56</w:t>
      </w:r>
      <w:r w:rsidR="00B91F22">
        <w:rPr>
          <w:rFonts w:ascii="Times New Roman" w:hAnsi="Times New Roman"/>
          <w:color w:val="000000"/>
          <w:lang w:val="en-US"/>
        </w:rPr>
        <w:t>(</w:t>
      </w:r>
      <w:r w:rsidRPr="009E1D5E">
        <w:rPr>
          <w:rFonts w:ascii="Times New Roman" w:hAnsi="Times New Roman"/>
          <w:color w:val="000000"/>
          <w:lang w:val="en-US"/>
        </w:rPr>
        <w:t>5</w:t>
      </w:r>
      <w:r w:rsidR="00B91F22">
        <w:rPr>
          <w:rFonts w:ascii="Times New Roman" w:hAnsi="Times New Roman"/>
          <w:color w:val="000000"/>
          <w:lang w:val="en-US"/>
        </w:rPr>
        <w:t>).</w:t>
      </w:r>
      <w:r w:rsidRPr="009E1D5E">
        <w:rPr>
          <w:rFonts w:ascii="Times New Roman" w:hAnsi="Times New Roman"/>
          <w:color w:val="000000"/>
          <w:lang w:val="en-US"/>
        </w:rPr>
        <w:t xml:space="preserve"> </w:t>
      </w:r>
      <w:r w:rsidR="00B91F22">
        <w:rPr>
          <w:rFonts w:ascii="Times New Roman" w:hAnsi="Times New Roman"/>
          <w:color w:val="000000"/>
          <w:lang w:val="en-US"/>
        </w:rPr>
        <w:t xml:space="preserve">P. </w:t>
      </w:r>
      <w:r w:rsidRPr="009E1D5E">
        <w:rPr>
          <w:rFonts w:ascii="Times New Roman" w:hAnsi="Times New Roman"/>
          <w:color w:val="000000"/>
          <w:lang w:val="en-US"/>
        </w:rPr>
        <w:t>E11.</w:t>
      </w:r>
      <w:r w:rsidR="00B91F22">
        <w:rPr>
          <w:rFonts w:ascii="Times New Roman" w:hAnsi="Times New Roman"/>
          <w:color w:val="000000"/>
          <w:lang w:val="en-US"/>
        </w:rPr>
        <w:t xml:space="preserve"> DOI: </w:t>
      </w:r>
      <w:r w:rsidR="00B91F22" w:rsidRPr="00B91F22">
        <w:rPr>
          <w:rFonts w:ascii="Times New Roman" w:hAnsi="Times New Roman"/>
          <w:color w:val="000000"/>
          <w:lang w:val="en-US"/>
        </w:rPr>
        <w:t>10.3171/2024.</w:t>
      </w:r>
      <w:proofErr w:type="gramStart"/>
      <w:r w:rsidR="00B91F22" w:rsidRPr="00B91F22">
        <w:rPr>
          <w:rFonts w:ascii="Times New Roman" w:hAnsi="Times New Roman"/>
          <w:color w:val="000000"/>
          <w:lang w:val="en-US"/>
        </w:rPr>
        <w:t>2.FOCUS</w:t>
      </w:r>
      <w:proofErr w:type="gramEnd"/>
      <w:r w:rsidR="00B91F22" w:rsidRPr="00B91F22">
        <w:rPr>
          <w:rFonts w:ascii="Times New Roman" w:hAnsi="Times New Roman"/>
          <w:color w:val="000000"/>
          <w:lang w:val="en-US"/>
        </w:rPr>
        <w:t>2413</w:t>
      </w:r>
      <w:r w:rsidR="00B91F22">
        <w:rPr>
          <w:rFonts w:ascii="Times New Roman" w:hAnsi="Times New Roman"/>
          <w:color w:val="000000"/>
          <w:lang w:val="en-US"/>
        </w:rPr>
        <w:t>.</w:t>
      </w:r>
    </w:p>
    <w:p w14:paraId="07B7D849" w14:textId="341C7388" w:rsidR="00F6587E" w:rsidRDefault="00C8763F" w:rsidP="00624261">
      <w:pPr>
        <w:pStyle w:val="HTML"/>
        <w:numPr>
          <w:ilvl w:val="0"/>
          <w:numId w:val="19"/>
        </w:numPr>
        <w:ind w:left="360"/>
        <w:jc w:val="both"/>
        <w:rPr>
          <w:rFonts w:ascii="Times New Roman" w:hAnsi="Times New Roman"/>
          <w:color w:val="000000"/>
          <w:lang w:val="en-US"/>
        </w:rPr>
      </w:pPr>
      <w:r w:rsidRPr="006E0C02">
        <w:rPr>
          <w:rFonts w:ascii="Times New Roman" w:hAnsi="Times New Roman"/>
          <w:color w:val="000000"/>
          <w:lang w:val="en-US"/>
        </w:rPr>
        <w:t>Lambrecht M</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Eekers</w:t>
      </w:r>
      <w:proofErr w:type="spellEnd"/>
      <w:r w:rsidRPr="006E0C02">
        <w:rPr>
          <w:rFonts w:ascii="Times New Roman" w:hAnsi="Times New Roman"/>
          <w:color w:val="000000"/>
          <w:lang w:val="en-US"/>
        </w:rPr>
        <w:t xml:space="preserve"> D</w:t>
      </w:r>
      <w:r w:rsidR="006E0C02">
        <w:rPr>
          <w:rFonts w:ascii="Times New Roman" w:hAnsi="Times New Roman"/>
          <w:color w:val="000000"/>
          <w:lang w:val="en-US"/>
        </w:rPr>
        <w:t>.</w:t>
      </w:r>
      <w:r w:rsidRPr="006E0C02">
        <w:rPr>
          <w:rFonts w:ascii="Times New Roman" w:hAnsi="Times New Roman"/>
          <w:color w:val="000000"/>
          <w:lang w:val="en-US"/>
        </w:rPr>
        <w:t>B</w:t>
      </w:r>
      <w:r w:rsidR="006E0C02">
        <w:rPr>
          <w:rFonts w:ascii="Times New Roman" w:hAnsi="Times New Roman"/>
          <w:color w:val="000000"/>
          <w:lang w:val="en-US"/>
        </w:rPr>
        <w:t>.</w:t>
      </w:r>
      <w:r w:rsidRPr="006E0C02">
        <w:rPr>
          <w:rFonts w:ascii="Times New Roman" w:hAnsi="Times New Roman"/>
          <w:color w:val="000000"/>
          <w:lang w:val="en-US"/>
        </w:rPr>
        <w:t>P</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Alapetite</w:t>
      </w:r>
      <w:proofErr w:type="spellEnd"/>
      <w:r w:rsidRPr="006E0C02">
        <w:rPr>
          <w:rFonts w:ascii="Times New Roman" w:hAnsi="Times New Roman"/>
          <w:color w:val="000000"/>
          <w:lang w:val="en-US"/>
        </w:rPr>
        <w:t xml:space="preserve"> C</w:t>
      </w:r>
      <w:r w:rsidR="006E0C02">
        <w:rPr>
          <w:rFonts w:ascii="Times New Roman" w:hAnsi="Times New Roman"/>
          <w:color w:val="000000"/>
          <w:lang w:val="en-US"/>
        </w:rPr>
        <w:t>.</w:t>
      </w:r>
      <w:r w:rsidRPr="006E0C02">
        <w:rPr>
          <w:rFonts w:ascii="Times New Roman" w:hAnsi="Times New Roman"/>
          <w:color w:val="000000"/>
          <w:lang w:val="en-US"/>
        </w:rPr>
        <w:t>, Burnet N</w:t>
      </w:r>
      <w:r w:rsidR="006E0C02">
        <w:rPr>
          <w:rFonts w:ascii="Times New Roman" w:hAnsi="Times New Roman"/>
          <w:color w:val="000000"/>
          <w:lang w:val="en-US"/>
        </w:rPr>
        <w:t>.</w:t>
      </w:r>
      <w:r w:rsidRPr="006E0C02">
        <w:rPr>
          <w:rFonts w:ascii="Times New Roman" w:hAnsi="Times New Roman"/>
          <w:color w:val="000000"/>
          <w:lang w:val="en-US"/>
        </w:rPr>
        <w:t>G</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Calugaru</w:t>
      </w:r>
      <w:proofErr w:type="spellEnd"/>
      <w:r w:rsidRPr="006E0C02">
        <w:rPr>
          <w:rFonts w:ascii="Times New Roman" w:hAnsi="Times New Roman"/>
          <w:color w:val="000000"/>
          <w:lang w:val="en-US"/>
        </w:rPr>
        <w:t xml:space="preserve"> V</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Coremans</w:t>
      </w:r>
      <w:proofErr w:type="spellEnd"/>
      <w:r w:rsidRPr="006E0C02">
        <w:rPr>
          <w:rFonts w:ascii="Times New Roman" w:hAnsi="Times New Roman"/>
          <w:color w:val="000000"/>
          <w:lang w:val="en-US"/>
        </w:rPr>
        <w:t xml:space="preserve"> I</w:t>
      </w:r>
      <w:r w:rsidR="006E0C02">
        <w:rPr>
          <w:rFonts w:ascii="Times New Roman" w:hAnsi="Times New Roman"/>
          <w:color w:val="000000"/>
          <w:lang w:val="en-US"/>
        </w:rPr>
        <w:t>.</w:t>
      </w:r>
      <w:r w:rsidRPr="006E0C02">
        <w:rPr>
          <w:rFonts w:ascii="Times New Roman" w:hAnsi="Times New Roman"/>
          <w:color w:val="000000"/>
          <w:lang w:val="en-US"/>
        </w:rPr>
        <w:t>E</w:t>
      </w:r>
      <w:r w:rsidR="006E0C02">
        <w:rPr>
          <w:rFonts w:ascii="Times New Roman" w:hAnsi="Times New Roman"/>
          <w:color w:val="000000"/>
          <w:lang w:val="en-US"/>
        </w:rPr>
        <w:t>.</w:t>
      </w:r>
      <w:r w:rsidRPr="006E0C02">
        <w:rPr>
          <w:rFonts w:ascii="Times New Roman" w:hAnsi="Times New Roman"/>
          <w:color w:val="000000"/>
          <w:lang w:val="en-US"/>
        </w:rPr>
        <w:t>M</w:t>
      </w:r>
      <w:r w:rsidR="006E0C02">
        <w:rPr>
          <w:rFonts w:ascii="Times New Roman" w:hAnsi="Times New Roman"/>
          <w:color w:val="000000"/>
          <w:lang w:val="en-US"/>
        </w:rPr>
        <w:t>.</w:t>
      </w:r>
      <w:r w:rsidRPr="006E0C02">
        <w:rPr>
          <w:rFonts w:ascii="Times New Roman" w:hAnsi="Times New Roman"/>
          <w:color w:val="000000"/>
          <w:lang w:val="en-US"/>
        </w:rPr>
        <w:t>, Fossati P</w:t>
      </w:r>
      <w:r w:rsidR="006E0C02">
        <w:rPr>
          <w:rFonts w:ascii="Times New Roman" w:hAnsi="Times New Roman"/>
          <w:color w:val="000000"/>
          <w:lang w:val="en-US"/>
        </w:rPr>
        <w:t>.</w:t>
      </w:r>
      <w:r w:rsidRPr="006E0C02">
        <w:rPr>
          <w:rFonts w:ascii="Times New Roman" w:hAnsi="Times New Roman"/>
          <w:color w:val="000000"/>
          <w:lang w:val="en-US"/>
        </w:rPr>
        <w:t>, Høyer M</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Langendijk</w:t>
      </w:r>
      <w:proofErr w:type="spellEnd"/>
      <w:r w:rsidRPr="006E0C02">
        <w:rPr>
          <w:rFonts w:ascii="Times New Roman" w:hAnsi="Times New Roman"/>
          <w:color w:val="000000"/>
          <w:lang w:val="en-US"/>
        </w:rPr>
        <w:t xml:space="preserve"> J</w:t>
      </w:r>
      <w:r w:rsidR="006E0C02">
        <w:rPr>
          <w:rFonts w:ascii="Times New Roman" w:hAnsi="Times New Roman"/>
          <w:color w:val="000000"/>
          <w:lang w:val="en-US"/>
        </w:rPr>
        <w:t>.</w:t>
      </w:r>
      <w:r w:rsidRPr="006E0C02">
        <w:rPr>
          <w:rFonts w:ascii="Times New Roman" w:hAnsi="Times New Roman"/>
          <w:color w:val="000000"/>
          <w:lang w:val="en-US"/>
        </w:rPr>
        <w:t>A</w:t>
      </w:r>
      <w:r w:rsidR="006E0C02">
        <w:rPr>
          <w:rFonts w:ascii="Times New Roman" w:hAnsi="Times New Roman"/>
          <w:color w:val="000000"/>
          <w:lang w:val="en-US"/>
        </w:rPr>
        <w:t>.</w:t>
      </w:r>
      <w:r w:rsidRPr="006E0C02">
        <w:rPr>
          <w:rFonts w:ascii="Times New Roman" w:hAnsi="Times New Roman"/>
          <w:color w:val="000000"/>
          <w:lang w:val="en-US"/>
        </w:rPr>
        <w:t>, Méndez Romero A</w:t>
      </w:r>
      <w:r w:rsidR="006E0C02">
        <w:rPr>
          <w:rFonts w:ascii="Times New Roman" w:hAnsi="Times New Roman"/>
          <w:color w:val="000000"/>
          <w:lang w:val="en-US"/>
        </w:rPr>
        <w:t>.</w:t>
      </w:r>
      <w:r w:rsidRPr="006E0C02">
        <w:rPr>
          <w:rFonts w:ascii="Times New Roman" w:hAnsi="Times New Roman"/>
          <w:color w:val="000000"/>
          <w:lang w:val="en-US"/>
        </w:rPr>
        <w:t>, Paulsen F</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Perpar</w:t>
      </w:r>
      <w:proofErr w:type="spellEnd"/>
      <w:r w:rsidRPr="006E0C02">
        <w:rPr>
          <w:rFonts w:ascii="Times New Roman" w:hAnsi="Times New Roman"/>
          <w:color w:val="000000"/>
          <w:lang w:val="en-US"/>
        </w:rPr>
        <w:t xml:space="preserve"> A</w:t>
      </w:r>
      <w:r w:rsidR="006E0C02">
        <w:rPr>
          <w:rFonts w:ascii="Times New Roman" w:hAnsi="Times New Roman"/>
          <w:color w:val="000000"/>
          <w:lang w:val="en-US"/>
        </w:rPr>
        <w:t>.</w:t>
      </w:r>
      <w:r w:rsidRPr="006E0C02">
        <w:rPr>
          <w:rFonts w:ascii="Times New Roman" w:hAnsi="Times New Roman"/>
          <w:color w:val="000000"/>
          <w:lang w:val="en-US"/>
        </w:rPr>
        <w:t>, Renard L</w:t>
      </w:r>
      <w:r w:rsidR="006E0C02">
        <w:rPr>
          <w:rFonts w:ascii="Times New Roman" w:hAnsi="Times New Roman"/>
          <w:color w:val="000000"/>
          <w:lang w:val="en-US"/>
        </w:rPr>
        <w:t>.</w:t>
      </w:r>
      <w:r w:rsidRPr="006E0C02">
        <w:rPr>
          <w:rFonts w:ascii="Times New Roman" w:hAnsi="Times New Roman"/>
          <w:color w:val="000000"/>
          <w:lang w:val="en-US"/>
        </w:rPr>
        <w:t xml:space="preserve">, de </w:t>
      </w:r>
      <w:proofErr w:type="spellStart"/>
      <w:r w:rsidRPr="006E0C02">
        <w:rPr>
          <w:rFonts w:ascii="Times New Roman" w:hAnsi="Times New Roman"/>
          <w:color w:val="000000"/>
          <w:lang w:val="en-US"/>
        </w:rPr>
        <w:t>Ruysscher</w:t>
      </w:r>
      <w:proofErr w:type="spellEnd"/>
      <w:r w:rsidRPr="006E0C02">
        <w:rPr>
          <w:rFonts w:ascii="Times New Roman" w:hAnsi="Times New Roman"/>
          <w:color w:val="000000"/>
          <w:lang w:val="en-US"/>
        </w:rPr>
        <w:t xml:space="preserve"> D</w:t>
      </w:r>
      <w:r w:rsidR="006E0C02">
        <w:rPr>
          <w:rFonts w:ascii="Times New Roman" w:hAnsi="Times New Roman"/>
          <w:color w:val="000000"/>
          <w:lang w:val="en-US"/>
        </w:rPr>
        <w:t>.</w:t>
      </w:r>
      <w:r w:rsidRPr="006E0C02">
        <w:rPr>
          <w:rFonts w:ascii="Times New Roman" w:hAnsi="Times New Roman"/>
          <w:color w:val="000000"/>
          <w:lang w:val="en-US"/>
        </w:rPr>
        <w:t>, Timmermann B</w:t>
      </w:r>
      <w:r w:rsidR="006E0C02">
        <w:rPr>
          <w:rFonts w:ascii="Times New Roman" w:hAnsi="Times New Roman"/>
          <w:color w:val="000000"/>
          <w:lang w:val="en-US"/>
        </w:rPr>
        <w:t>.</w:t>
      </w:r>
      <w:r w:rsidRPr="006E0C02">
        <w:rPr>
          <w:rFonts w:ascii="Times New Roman" w:hAnsi="Times New Roman"/>
          <w:color w:val="000000"/>
          <w:lang w:val="en-US"/>
        </w:rPr>
        <w:t>, Vitek P</w:t>
      </w:r>
      <w:r w:rsidR="006E0C02">
        <w:rPr>
          <w:rFonts w:ascii="Times New Roman" w:hAnsi="Times New Roman"/>
          <w:color w:val="000000"/>
          <w:lang w:val="en-US"/>
        </w:rPr>
        <w:t>.</w:t>
      </w:r>
      <w:r w:rsidRPr="006E0C02">
        <w:rPr>
          <w:rFonts w:ascii="Times New Roman" w:hAnsi="Times New Roman"/>
          <w:color w:val="000000"/>
          <w:lang w:val="en-US"/>
        </w:rPr>
        <w:t>, Weber D</w:t>
      </w:r>
      <w:r w:rsidR="006E0C02">
        <w:rPr>
          <w:rFonts w:ascii="Times New Roman" w:hAnsi="Times New Roman"/>
          <w:color w:val="000000"/>
          <w:lang w:val="en-US"/>
        </w:rPr>
        <w:t>.</w:t>
      </w:r>
      <w:r w:rsidRPr="006E0C02">
        <w:rPr>
          <w:rFonts w:ascii="Times New Roman" w:hAnsi="Times New Roman"/>
          <w:color w:val="000000"/>
          <w:lang w:val="en-US"/>
        </w:rPr>
        <w:t>C</w:t>
      </w:r>
      <w:r w:rsidR="006E0C02">
        <w:rPr>
          <w:rFonts w:ascii="Times New Roman" w:hAnsi="Times New Roman"/>
          <w:color w:val="000000"/>
          <w:lang w:val="en-US"/>
        </w:rPr>
        <w:t>.</w:t>
      </w:r>
      <w:r w:rsidRPr="006E0C02">
        <w:rPr>
          <w:rFonts w:ascii="Times New Roman" w:hAnsi="Times New Roman"/>
          <w:color w:val="000000"/>
          <w:lang w:val="en-US"/>
        </w:rPr>
        <w:t>, van der Weide H</w:t>
      </w:r>
      <w:r w:rsidR="006E0C02">
        <w:rPr>
          <w:rFonts w:ascii="Times New Roman" w:hAnsi="Times New Roman"/>
          <w:color w:val="000000"/>
          <w:lang w:val="en-US"/>
        </w:rPr>
        <w:t>.</w:t>
      </w:r>
      <w:r w:rsidRPr="006E0C02">
        <w:rPr>
          <w:rFonts w:ascii="Times New Roman" w:hAnsi="Times New Roman"/>
          <w:color w:val="000000"/>
          <w:lang w:val="en-US"/>
        </w:rPr>
        <w:t>L</w:t>
      </w:r>
      <w:r w:rsidR="006E0C02">
        <w:rPr>
          <w:rFonts w:ascii="Times New Roman" w:hAnsi="Times New Roman"/>
          <w:color w:val="000000"/>
          <w:lang w:val="en-US"/>
        </w:rPr>
        <w:t>.</w:t>
      </w:r>
      <w:r w:rsidRPr="006E0C02">
        <w:rPr>
          <w:rFonts w:ascii="Times New Roman" w:hAnsi="Times New Roman"/>
          <w:color w:val="000000"/>
          <w:lang w:val="en-US"/>
        </w:rPr>
        <w:t>, Whitfield G</w:t>
      </w:r>
      <w:r w:rsidR="006E0C02">
        <w:rPr>
          <w:rFonts w:ascii="Times New Roman" w:hAnsi="Times New Roman"/>
          <w:color w:val="000000"/>
          <w:lang w:val="en-US"/>
        </w:rPr>
        <w:t>.</w:t>
      </w:r>
      <w:r w:rsidRPr="006E0C02">
        <w:rPr>
          <w:rFonts w:ascii="Times New Roman" w:hAnsi="Times New Roman"/>
          <w:color w:val="000000"/>
          <w:lang w:val="en-US"/>
        </w:rPr>
        <w:t>A</w:t>
      </w:r>
      <w:r w:rsidR="006E0C02">
        <w:rPr>
          <w:rFonts w:ascii="Times New Roman" w:hAnsi="Times New Roman"/>
          <w:color w:val="000000"/>
          <w:lang w:val="en-US"/>
        </w:rPr>
        <w:t>.</w:t>
      </w:r>
      <w:r w:rsidRPr="006E0C02">
        <w:rPr>
          <w:rFonts w:ascii="Times New Roman" w:hAnsi="Times New Roman"/>
          <w:color w:val="000000"/>
          <w:lang w:val="en-US"/>
        </w:rPr>
        <w:t xml:space="preserve">, </w:t>
      </w:r>
      <w:proofErr w:type="spellStart"/>
      <w:r w:rsidRPr="006E0C02">
        <w:rPr>
          <w:rFonts w:ascii="Times New Roman" w:hAnsi="Times New Roman"/>
          <w:color w:val="000000"/>
          <w:lang w:val="en-US"/>
        </w:rPr>
        <w:t>Wiggenraad</w:t>
      </w:r>
      <w:proofErr w:type="spellEnd"/>
      <w:r w:rsidRPr="006E0C02">
        <w:rPr>
          <w:rFonts w:ascii="Times New Roman" w:hAnsi="Times New Roman"/>
          <w:color w:val="000000"/>
          <w:lang w:val="en-US"/>
        </w:rPr>
        <w:t xml:space="preserve"> R</w:t>
      </w:r>
      <w:r w:rsidR="006E0C02">
        <w:rPr>
          <w:rFonts w:ascii="Times New Roman" w:hAnsi="Times New Roman"/>
          <w:color w:val="000000"/>
          <w:lang w:val="en-US"/>
        </w:rPr>
        <w:t>.</w:t>
      </w:r>
      <w:r w:rsidRPr="006E0C02">
        <w:rPr>
          <w:rFonts w:ascii="Times New Roman" w:hAnsi="Times New Roman"/>
          <w:color w:val="000000"/>
          <w:lang w:val="en-US"/>
        </w:rPr>
        <w:t>, Roelofs E</w:t>
      </w:r>
      <w:r w:rsidR="006E0C02">
        <w:rPr>
          <w:rFonts w:ascii="Times New Roman" w:hAnsi="Times New Roman"/>
          <w:color w:val="000000"/>
          <w:lang w:val="en-US"/>
        </w:rPr>
        <w:t>.</w:t>
      </w:r>
      <w:r w:rsidRPr="006E0C02">
        <w:rPr>
          <w:rFonts w:ascii="Times New Roman" w:hAnsi="Times New Roman"/>
          <w:color w:val="000000"/>
          <w:lang w:val="en-US"/>
        </w:rPr>
        <w:t>, Nyström P</w:t>
      </w:r>
      <w:r w:rsidR="006E0C02">
        <w:rPr>
          <w:rFonts w:ascii="Times New Roman" w:hAnsi="Times New Roman"/>
          <w:color w:val="000000"/>
          <w:lang w:val="en-US"/>
        </w:rPr>
        <w:t>.</w:t>
      </w:r>
      <w:r w:rsidRPr="006E0C02">
        <w:rPr>
          <w:rFonts w:ascii="Times New Roman" w:hAnsi="Times New Roman"/>
          <w:color w:val="000000"/>
          <w:lang w:val="en-US"/>
        </w:rPr>
        <w:t>W</w:t>
      </w:r>
      <w:r w:rsidR="006E0C02">
        <w:rPr>
          <w:rFonts w:ascii="Times New Roman" w:hAnsi="Times New Roman"/>
          <w:color w:val="000000"/>
          <w:lang w:val="en-US"/>
        </w:rPr>
        <w:t>.</w:t>
      </w:r>
      <w:r w:rsidRPr="006E0C02">
        <w:rPr>
          <w:rFonts w:ascii="Times New Roman" w:hAnsi="Times New Roman"/>
          <w:color w:val="000000"/>
          <w:lang w:val="en-US"/>
        </w:rPr>
        <w:t>, Troost E</w:t>
      </w:r>
      <w:r w:rsidR="006E0C02">
        <w:rPr>
          <w:rFonts w:ascii="Times New Roman" w:hAnsi="Times New Roman"/>
          <w:color w:val="000000"/>
          <w:lang w:val="en-US"/>
        </w:rPr>
        <w:t>.</w:t>
      </w:r>
      <w:r w:rsidRPr="006E0C02">
        <w:rPr>
          <w:rFonts w:ascii="Times New Roman" w:hAnsi="Times New Roman"/>
          <w:color w:val="000000"/>
          <w:lang w:val="en-US"/>
        </w:rPr>
        <w:t>G</w:t>
      </w:r>
      <w:r w:rsidR="006E0C02">
        <w:rPr>
          <w:rFonts w:ascii="Times New Roman" w:hAnsi="Times New Roman"/>
          <w:color w:val="000000"/>
          <w:lang w:val="en-US"/>
        </w:rPr>
        <w:t>.</w:t>
      </w:r>
      <w:r w:rsidRPr="006E0C02">
        <w:rPr>
          <w:rFonts w:ascii="Times New Roman" w:hAnsi="Times New Roman"/>
          <w:color w:val="000000"/>
          <w:lang w:val="en-US"/>
        </w:rPr>
        <w:t>C</w:t>
      </w:r>
      <w:r w:rsidR="006E0C02">
        <w:rPr>
          <w:rFonts w:ascii="Times New Roman" w:hAnsi="Times New Roman"/>
          <w:color w:val="000000"/>
          <w:lang w:val="en-US"/>
        </w:rPr>
        <w:t>.</w:t>
      </w:r>
      <w:r w:rsidRPr="006E0C02">
        <w:rPr>
          <w:rFonts w:ascii="Times New Roman" w:hAnsi="Times New Roman"/>
          <w:color w:val="000000"/>
          <w:lang w:val="en-US"/>
        </w:rPr>
        <w:t xml:space="preserve"> Radiation dose constraints for organs at risk in neuro-oncology; the European Particle Therapy Network consensus</w:t>
      </w:r>
      <w:r w:rsidR="006E0C02">
        <w:rPr>
          <w:rFonts w:ascii="Times New Roman" w:hAnsi="Times New Roman"/>
          <w:color w:val="000000"/>
          <w:lang w:val="en-US"/>
        </w:rPr>
        <w:t xml:space="preserve"> // </w:t>
      </w:r>
      <w:proofErr w:type="spellStart"/>
      <w:r w:rsidRPr="006E0C02">
        <w:rPr>
          <w:rFonts w:ascii="Times New Roman" w:hAnsi="Times New Roman"/>
          <w:color w:val="000000"/>
          <w:lang w:val="en-US"/>
        </w:rPr>
        <w:t>Radiother</w:t>
      </w:r>
      <w:proofErr w:type="spellEnd"/>
      <w:r w:rsidRPr="006E0C02">
        <w:rPr>
          <w:rFonts w:ascii="Times New Roman" w:hAnsi="Times New Roman"/>
          <w:color w:val="000000"/>
          <w:lang w:val="en-US"/>
        </w:rPr>
        <w:t xml:space="preserve"> Oncol. 2018</w:t>
      </w:r>
      <w:r w:rsidR="006E0C02">
        <w:rPr>
          <w:rFonts w:ascii="Times New Roman" w:hAnsi="Times New Roman"/>
          <w:color w:val="000000"/>
          <w:lang w:val="en-US"/>
        </w:rPr>
        <w:t xml:space="preserve">. V. </w:t>
      </w:r>
      <w:r w:rsidRPr="006E0C02">
        <w:rPr>
          <w:rFonts w:ascii="Times New Roman" w:hAnsi="Times New Roman"/>
          <w:color w:val="000000"/>
          <w:lang w:val="en-US"/>
        </w:rPr>
        <w:t>128(1)</w:t>
      </w:r>
      <w:r w:rsidR="006E0C02">
        <w:rPr>
          <w:rFonts w:ascii="Times New Roman" w:hAnsi="Times New Roman"/>
          <w:color w:val="000000"/>
          <w:lang w:val="en-US"/>
        </w:rPr>
        <w:t xml:space="preserve">. P. </w:t>
      </w:r>
      <w:r w:rsidRPr="006E0C02">
        <w:rPr>
          <w:rFonts w:ascii="Times New Roman" w:hAnsi="Times New Roman"/>
          <w:color w:val="000000"/>
          <w:lang w:val="en-US"/>
        </w:rPr>
        <w:t xml:space="preserve">26-36. </w:t>
      </w:r>
      <w:r w:rsidR="006E0C02">
        <w:rPr>
          <w:rFonts w:ascii="Times New Roman" w:hAnsi="Times New Roman"/>
          <w:color w:val="000000"/>
          <w:lang w:val="en-US"/>
        </w:rPr>
        <w:t>DOI</w:t>
      </w:r>
      <w:r w:rsidRPr="006E0C02">
        <w:rPr>
          <w:rFonts w:ascii="Times New Roman" w:hAnsi="Times New Roman"/>
          <w:color w:val="000000"/>
          <w:lang w:val="en-US"/>
        </w:rPr>
        <w:t xml:space="preserve">: 10.1016/j.radonc.2018.05.001. </w:t>
      </w:r>
    </w:p>
    <w:p w14:paraId="3263632C" w14:textId="77777777" w:rsidR="00E82D4E" w:rsidRDefault="001B1143" w:rsidP="00E82D4E">
      <w:pPr>
        <w:pStyle w:val="HTML"/>
        <w:numPr>
          <w:ilvl w:val="0"/>
          <w:numId w:val="19"/>
        </w:numPr>
        <w:ind w:left="360"/>
        <w:jc w:val="both"/>
        <w:rPr>
          <w:rFonts w:ascii="Times New Roman" w:hAnsi="Times New Roman"/>
          <w:color w:val="000000"/>
          <w:lang w:val="en-US"/>
        </w:rPr>
      </w:pPr>
      <w:r w:rsidRPr="001B1143">
        <w:rPr>
          <w:rFonts w:ascii="Times New Roman" w:hAnsi="Times New Roman"/>
          <w:color w:val="000000"/>
          <w:lang w:val="en-US"/>
        </w:rPr>
        <w:t>Chilukuri</w:t>
      </w:r>
      <w:r>
        <w:rPr>
          <w:rFonts w:ascii="Times New Roman" w:hAnsi="Times New Roman"/>
          <w:color w:val="000000"/>
          <w:lang w:val="en-US"/>
        </w:rPr>
        <w:t xml:space="preserve"> </w:t>
      </w:r>
      <w:r w:rsidRPr="001B1143">
        <w:rPr>
          <w:rFonts w:ascii="Times New Roman" w:hAnsi="Times New Roman"/>
          <w:color w:val="000000"/>
          <w:lang w:val="en-US"/>
        </w:rPr>
        <w:t>S., Burela N., Sundar S., Kamath R., Nangia</w:t>
      </w:r>
      <w:r>
        <w:rPr>
          <w:rFonts w:ascii="Times New Roman" w:hAnsi="Times New Roman"/>
          <w:color w:val="000000"/>
          <w:lang w:val="en-US"/>
        </w:rPr>
        <w:t xml:space="preserve"> S.</w:t>
      </w:r>
      <w:r w:rsidRPr="001B1143">
        <w:rPr>
          <w:rFonts w:ascii="Times New Roman" w:hAnsi="Times New Roman"/>
          <w:color w:val="000000"/>
          <w:lang w:val="en-US"/>
        </w:rPr>
        <w:t>, Arjunan</w:t>
      </w:r>
      <w:r>
        <w:rPr>
          <w:rFonts w:ascii="Times New Roman" w:hAnsi="Times New Roman"/>
          <w:color w:val="000000"/>
          <w:lang w:val="en-US"/>
        </w:rPr>
        <w:t xml:space="preserve"> M.</w:t>
      </w:r>
      <w:r w:rsidRPr="001B1143">
        <w:rPr>
          <w:rFonts w:ascii="Times New Roman" w:hAnsi="Times New Roman"/>
          <w:color w:val="000000"/>
          <w:lang w:val="en-US"/>
        </w:rPr>
        <w:t>, Kumar</w:t>
      </w:r>
      <w:r>
        <w:rPr>
          <w:rFonts w:ascii="Times New Roman" w:hAnsi="Times New Roman"/>
          <w:color w:val="000000"/>
          <w:lang w:val="en-US"/>
        </w:rPr>
        <w:t xml:space="preserve"> R.</w:t>
      </w:r>
      <w:r w:rsidRPr="001B1143">
        <w:rPr>
          <w:rFonts w:ascii="Times New Roman" w:hAnsi="Times New Roman"/>
          <w:color w:val="000000"/>
          <w:lang w:val="en-US"/>
        </w:rPr>
        <w:t>, Ramanujam</w:t>
      </w:r>
      <w:r>
        <w:rPr>
          <w:rFonts w:ascii="Times New Roman" w:hAnsi="Times New Roman"/>
          <w:color w:val="000000"/>
          <w:lang w:val="en-US"/>
        </w:rPr>
        <w:t xml:space="preserve"> V.</w:t>
      </w:r>
      <w:r w:rsidRPr="001B1143">
        <w:rPr>
          <w:rFonts w:ascii="Times New Roman" w:hAnsi="Times New Roman"/>
          <w:color w:val="000000"/>
          <w:lang w:val="en-US"/>
        </w:rPr>
        <w:t>, Chacko</w:t>
      </w:r>
      <w:r>
        <w:rPr>
          <w:rFonts w:ascii="Times New Roman" w:hAnsi="Times New Roman"/>
          <w:color w:val="000000"/>
          <w:lang w:val="en-US"/>
        </w:rPr>
        <w:t xml:space="preserve"> A.</w:t>
      </w:r>
      <w:r w:rsidRPr="001B1143">
        <w:rPr>
          <w:rFonts w:ascii="Times New Roman" w:hAnsi="Times New Roman"/>
          <w:color w:val="000000"/>
          <w:lang w:val="en-US"/>
        </w:rPr>
        <w:t xml:space="preserve">, Dayananda </w:t>
      </w:r>
      <w:proofErr w:type="spellStart"/>
      <w:r w:rsidRPr="001B1143">
        <w:rPr>
          <w:rFonts w:ascii="Times New Roman" w:hAnsi="Times New Roman"/>
          <w:color w:val="000000"/>
          <w:lang w:val="en-US"/>
        </w:rPr>
        <w:t>Shamurailatpam</w:t>
      </w:r>
      <w:proofErr w:type="spellEnd"/>
      <w:r w:rsidRPr="001B1143">
        <w:rPr>
          <w:rFonts w:ascii="Times New Roman" w:hAnsi="Times New Roman"/>
          <w:color w:val="000000"/>
          <w:lang w:val="en-US"/>
        </w:rPr>
        <w:t xml:space="preserve"> Sharma</w:t>
      </w:r>
      <w:r>
        <w:rPr>
          <w:rFonts w:ascii="Times New Roman" w:hAnsi="Times New Roman"/>
          <w:color w:val="000000"/>
          <w:lang w:val="en-US"/>
        </w:rPr>
        <w:t xml:space="preserve"> D.S.</w:t>
      </w:r>
      <w:r w:rsidRPr="001B1143">
        <w:rPr>
          <w:rFonts w:ascii="Times New Roman" w:hAnsi="Times New Roman"/>
          <w:color w:val="000000"/>
          <w:lang w:val="en-US"/>
        </w:rPr>
        <w:t xml:space="preserve">, Jalali R. Impact of </w:t>
      </w:r>
      <w:proofErr w:type="spellStart"/>
      <w:r w:rsidRPr="001B1143">
        <w:rPr>
          <w:rFonts w:ascii="Times New Roman" w:hAnsi="Times New Roman"/>
          <w:color w:val="000000"/>
          <w:lang w:val="en-US"/>
        </w:rPr>
        <w:t>Dosimetric</w:t>
      </w:r>
      <w:proofErr w:type="spellEnd"/>
      <w:r w:rsidRPr="001B1143">
        <w:rPr>
          <w:rFonts w:ascii="Times New Roman" w:hAnsi="Times New Roman"/>
          <w:color w:val="000000"/>
          <w:lang w:val="en-US"/>
        </w:rPr>
        <w:t xml:space="preserve"> Compromises on Early Outcomes of Chordomas and Chondrosarcomas Treated </w:t>
      </w:r>
      <w:proofErr w:type="gramStart"/>
      <w:r w:rsidRPr="001B1143">
        <w:rPr>
          <w:rFonts w:ascii="Times New Roman" w:hAnsi="Times New Roman"/>
          <w:color w:val="000000"/>
          <w:lang w:val="en-US"/>
        </w:rPr>
        <w:t>With</w:t>
      </w:r>
      <w:proofErr w:type="gramEnd"/>
      <w:r w:rsidRPr="001B1143">
        <w:rPr>
          <w:rFonts w:ascii="Times New Roman" w:hAnsi="Times New Roman"/>
          <w:color w:val="000000"/>
          <w:lang w:val="en-US"/>
        </w:rPr>
        <w:t xml:space="preserve"> Image-guided Pencil Beam Scanning Proton Beam Therapy</w:t>
      </w:r>
      <w:r w:rsidR="00E82D4E">
        <w:rPr>
          <w:rFonts w:ascii="Times New Roman" w:hAnsi="Times New Roman"/>
          <w:color w:val="000000"/>
          <w:lang w:val="en-US"/>
        </w:rPr>
        <w:t xml:space="preserve"> //</w:t>
      </w:r>
      <w:r w:rsidRPr="001B1143">
        <w:rPr>
          <w:rFonts w:ascii="Times New Roman" w:hAnsi="Times New Roman"/>
          <w:color w:val="000000"/>
          <w:lang w:val="en-US"/>
        </w:rPr>
        <w:t> Advances in Radiation Oncology</w:t>
      </w:r>
      <w:r w:rsidR="00E82D4E">
        <w:rPr>
          <w:rFonts w:ascii="Times New Roman" w:hAnsi="Times New Roman"/>
          <w:color w:val="000000"/>
          <w:lang w:val="en-US"/>
        </w:rPr>
        <w:t xml:space="preserve">. </w:t>
      </w:r>
      <w:r w:rsidR="00E82D4E" w:rsidRPr="001B1143">
        <w:rPr>
          <w:rFonts w:ascii="Times New Roman" w:hAnsi="Times New Roman"/>
          <w:color w:val="000000"/>
          <w:lang w:val="en-US"/>
        </w:rPr>
        <w:t>2024</w:t>
      </w:r>
      <w:r w:rsidR="00E82D4E">
        <w:rPr>
          <w:rFonts w:ascii="Times New Roman" w:hAnsi="Times New Roman"/>
          <w:color w:val="000000"/>
          <w:lang w:val="en-US"/>
        </w:rPr>
        <w:t>. V.</w:t>
      </w:r>
      <w:r w:rsidRPr="001B1143">
        <w:rPr>
          <w:rFonts w:ascii="Times New Roman" w:hAnsi="Times New Roman"/>
          <w:color w:val="000000"/>
          <w:lang w:val="en-US"/>
        </w:rPr>
        <w:t> 9(10)</w:t>
      </w:r>
      <w:r w:rsidR="00E82D4E">
        <w:rPr>
          <w:rFonts w:ascii="Times New Roman" w:hAnsi="Times New Roman"/>
          <w:color w:val="000000"/>
          <w:lang w:val="en-US"/>
        </w:rPr>
        <w:t xml:space="preserve">. P. </w:t>
      </w:r>
      <w:r w:rsidRPr="001B1143">
        <w:rPr>
          <w:rFonts w:ascii="Times New Roman" w:hAnsi="Times New Roman"/>
          <w:color w:val="000000"/>
          <w:lang w:val="en-US"/>
        </w:rPr>
        <w:t>101582.</w:t>
      </w:r>
    </w:p>
    <w:p w14:paraId="32F11C85" w14:textId="3252ED39" w:rsidR="00F6587E" w:rsidRPr="00E82D4E" w:rsidRDefault="00E82D4E" w:rsidP="00E82D4E">
      <w:pPr>
        <w:pStyle w:val="HTML"/>
        <w:numPr>
          <w:ilvl w:val="0"/>
          <w:numId w:val="19"/>
        </w:numPr>
        <w:ind w:left="360"/>
        <w:jc w:val="both"/>
        <w:rPr>
          <w:rFonts w:ascii="Times New Roman" w:hAnsi="Times New Roman"/>
          <w:color w:val="000000"/>
          <w:lang w:val="en-US"/>
        </w:rPr>
      </w:pPr>
      <w:r w:rsidRPr="00E82D4E">
        <w:rPr>
          <w:rFonts w:ascii="Times New Roman" w:hAnsi="Times New Roman"/>
          <w:color w:val="000000"/>
          <w:lang w:val="en-US"/>
        </w:rPr>
        <w:t xml:space="preserve">Sinha S., Kumar A., Maheshwari G., Mohanty S., Joshi K., Shinde P., Gupta D., Kale S., </w:t>
      </w:r>
      <w:proofErr w:type="spellStart"/>
      <w:r w:rsidRPr="00E82D4E">
        <w:rPr>
          <w:rFonts w:ascii="Times New Roman" w:hAnsi="Times New Roman"/>
          <w:color w:val="000000"/>
          <w:lang w:val="en-US"/>
        </w:rPr>
        <w:t>Phurailatpam</w:t>
      </w:r>
      <w:proofErr w:type="spellEnd"/>
      <w:r w:rsidRPr="00E82D4E">
        <w:rPr>
          <w:rFonts w:ascii="Times New Roman" w:hAnsi="Times New Roman"/>
          <w:color w:val="000000"/>
          <w:lang w:val="en-US"/>
        </w:rPr>
        <w:t xml:space="preserve"> R., Swain M., </w:t>
      </w:r>
      <w:proofErr w:type="spellStart"/>
      <w:r w:rsidRPr="00E82D4E">
        <w:rPr>
          <w:rFonts w:ascii="Times New Roman" w:hAnsi="Times New Roman"/>
          <w:color w:val="000000"/>
          <w:lang w:val="en-US"/>
        </w:rPr>
        <w:t>Budrukkar</w:t>
      </w:r>
      <w:proofErr w:type="spellEnd"/>
      <w:r w:rsidRPr="00E82D4E">
        <w:rPr>
          <w:rFonts w:ascii="Times New Roman" w:hAnsi="Times New Roman"/>
          <w:color w:val="000000"/>
          <w:lang w:val="en-US"/>
        </w:rPr>
        <w:t xml:space="preserve"> A., Kinhikar R., Ghosh-Laskar S. Development and Validation of Single-Optimization Knowledge-Based Volumetric Modulated Arc Therapy Model Plan in Nasopharyngeal Carcinomas // Adv </w:t>
      </w:r>
      <w:proofErr w:type="spellStart"/>
      <w:r w:rsidRPr="00E82D4E">
        <w:rPr>
          <w:rFonts w:ascii="Times New Roman" w:hAnsi="Times New Roman"/>
          <w:color w:val="000000"/>
          <w:lang w:val="en-US"/>
        </w:rPr>
        <w:t>Radiat</w:t>
      </w:r>
      <w:proofErr w:type="spellEnd"/>
      <w:r w:rsidRPr="00E82D4E">
        <w:rPr>
          <w:rFonts w:ascii="Times New Roman" w:hAnsi="Times New Roman"/>
          <w:color w:val="000000"/>
          <w:lang w:val="en-US"/>
        </w:rPr>
        <w:t xml:space="preserve"> Oncol. 2023. V. 9(1). P. 101311. DOI: 10.1016/j.adro.2023.101311. </w:t>
      </w:r>
    </w:p>
    <w:sectPr w:rsidR="00F6587E" w:rsidRPr="00E82D4E">
      <w:headerReference w:type="even" r:id="rId12"/>
      <w:headerReference w:type="default" r:id="rId13"/>
      <w:footerReference w:type="even" r:id="rId14"/>
      <w:footerReference w:type="default" r:id="rId15"/>
      <w:headerReference w:type="first" r:id="rId16"/>
      <w:pgSz w:w="11906" w:h="16838"/>
      <w:pgMar w:top="1134"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B75947" w14:textId="77777777" w:rsidR="0017643B" w:rsidRPr="008E25BC" w:rsidRDefault="0017643B">
      <w:pPr>
        <w:spacing w:line="240" w:lineRule="auto"/>
      </w:pPr>
      <w:r w:rsidRPr="008E25BC">
        <w:separator/>
      </w:r>
    </w:p>
  </w:endnote>
  <w:endnote w:type="continuationSeparator" w:id="0">
    <w:p w14:paraId="1274C50A" w14:textId="77777777" w:rsidR="0017643B" w:rsidRPr="008E25BC" w:rsidRDefault="0017643B">
      <w:pPr>
        <w:spacing w:line="240" w:lineRule="auto"/>
      </w:pPr>
      <w:r w:rsidRPr="008E25B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TT7BDFo00">
    <w:altName w:val="Arial Unicode MS"/>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4F802" w14:textId="77777777" w:rsidR="00F6587E" w:rsidRPr="008E25BC" w:rsidRDefault="00000000">
    <w:pPr>
      <w:pStyle w:val="ad"/>
      <w:framePr w:wrap="around" w:vAnchor="text" w:hAnchor="margin" w:xAlign="right" w:y="1"/>
      <w:rPr>
        <w:rStyle w:val="a9"/>
      </w:rPr>
    </w:pPr>
    <w:r w:rsidRPr="008E25BC">
      <w:rPr>
        <w:rStyle w:val="a9"/>
      </w:rPr>
      <w:fldChar w:fldCharType="begin"/>
    </w:r>
    <w:r w:rsidRPr="008E25BC">
      <w:rPr>
        <w:rStyle w:val="a9"/>
      </w:rPr>
      <w:instrText xml:space="preserve">PAGE  </w:instrText>
    </w:r>
    <w:r w:rsidRPr="008E25BC">
      <w:rPr>
        <w:rStyle w:val="a9"/>
      </w:rPr>
      <w:fldChar w:fldCharType="end"/>
    </w:r>
  </w:p>
  <w:p w14:paraId="3A4B204C" w14:textId="77777777" w:rsidR="00F6587E" w:rsidRPr="008E25BC" w:rsidRDefault="00F6587E">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99DE5" w14:textId="77777777" w:rsidR="00F6587E" w:rsidRPr="008E25BC" w:rsidRDefault="00000000">
    <w:pPr>
      <w:pStyle w:val="ad"/>
      <w:framePr w:wrap="around" w:vAnchor="text" w:hAnchor="margin" w:xAlign="right" w:y="1"/>
      <w:rPr>
        <w:rStyle w:val="a9"/>
      </w:rPr>
    </w:pPr>
    <w:r w:rsidRPr="008E25BC">
      <w:rPr>
        <w:rStyle w:val="a9"/>
      </w:rPr>
      <w:fldChar w:fldCharType="begin"/>
    </w:r>
    <w:r w:rsidRPr="008E25BC">
      <w:rPr>
        <w:rStyle w:val="a9"/>
      </w:rPr>
      <w:instrText xml:space="preserve">PAGE  </w:instrText>
    </w:r>
    <w:r w:rsidRPr="008E25BC">
      <w:rPr>
        <w:rStyle w:val="a9"/>
      </w:rPr>
      <w:fldChar w:fldCharType="separate"/>
    </w:r>
    <w:r w:rsidRPr="008E25BC">
      <w:rPr>
        <w:rStyle w:val="a9"/>
      </w:rPr>
      <w:t>1</w:t>
    </w:r>
    <w:r w:rsidRPr="008E25BC">
      <w:rPr>
        <w:rStyle w:val="a9"/>
      </w:rPr>
      <w:fldChar w:fldCharType="end"/>
    </w:r>
  </w:p>
  <w:p w14:paraId="6B9B2A96" w14:textId="77777777" w:rsidR="00F6587E" w:rsidRPr="008E25BC" w:rsidRDefault="00F6587E">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A0402" w14:textId="77777777" w:rsidR="0017643B" w:rsidRPr="008E25BC" w:rsidRDefault="0017643B">
      <w:pPr>
        <w:spacing w:line="240" w:lineRule="auto"/>
      </w:pPr>
      <w:r w:rsidRPr="008E25BC">
        <w:separator/>
      </w:r>
    </w:p>
  </w:footnote>
  <w:footnote w:type="continuationSeparator" w:id="0">
    <w:p w14:paraId="364119A7" w14:textId="77777777" w:rsidR="0017643B" w:rsidRPr="008E25BC" w:rsidRDefault="0017643B">
      <w:pPr>
        <w:spacing w:line="240" w:lineRule="auto"/>
      </w:pPr>
      <w:r w:rsidRPr="008E25B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F0C64" w14:textId="77777777" w:rsidR="00F6587E" w:rsidRPr="008E25BC" w:rsidRDefault="00F6587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9747A" w14:textId="77777777" w:rsidR="00F6587E" w:rsidRPr="008E25BC" w:rsidRDefault="00F6587E">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30EF" w14:textId="77777777" w:rsidR="00F6587E" w:rsidRPr="008E25BC" w:rsidRDefault="00F6587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B849EB4"/>
    <w:lvl w:ilvl="0" w:tplc="58AAC844">
      <w:start w:val="1"/>
      <w:numFmt w:val="decimal"/>
      <w:pStyle w:val="References"/>
      <w:lvlText w:val="%1."/>
      <w:lvlJc w:val="left"/>
      <w:pPr>
        <w:tabs>
          <w:tab w:val="left" w:pos="360"/>
        </w:tabs>
        <w:ind w:left="340" w:hanging="340"/>
      </w:pPr>
      <w:rPr>
        <w:rFonts w:ascii="Times New Roman" w:hAnsi="Times New Roman" w:hint="default"/>
        <w:sz w:val="28"/>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1" w15:restartNumberingAfterBreak="0">
    <w:nsid w:val="00000002"/>
    <w:multiLevelType w:val="hybridMultilevel"/>
    <w:tmpl w:val="66F2C330"/>
    <w:lvl w:ilvl="0" w:tplc="3752CE44">
      <w:start w:val="1"/>
      <w:numFmt w:val="decimal"/>
      <w:pStyle w:val="Figure"/>
      <w:lvlText w:val="Fig. %1."/>
      <w:lvlJc w:val="left"/>
      <w:pPr>
        <w:tabs>
          <w:tab w:val="left" w:pos="1080"/>
        </w:tabs>
        <w:ind w:left="0" w:firstLine="0"/>
      </w:pPr>
      <w:rPr>
        <w:rFonts w:ascii="Times New Roman" w:hAnsi="Times New Roman" w:hint="default"/>
        <w:b/>
        <w:i w:val="0"/>
        <w:sz w:val="28"/>
      </w:rPr>
    </w:lvl>
    <w:lvl w:ilvl="1" w:tplc="04090019" w:tentative="1">
      <w:start w:val="1"/>
      <w:numFmt w:val="lowerLetter"/>
      <w:lvlText w:val="%2."/>
      <w:lvlJc w:val="left"/>
      <w:pPr>
        <w:tabs>
          <w:tab w:val="left" w:pos="1440"/>
        </w:tabs>
        <w:ind w:left="1440" w:hanging="360"/>
      </w:pPr>
    </w:lvl>
    <w:lvl w:ilvl="2" w:tplc="0409001B" w:tentative="1">
      <w:start w:val="1"/>
      <w:numFmt w:val="lowerRoman"/>
      <w:lvlText w:val="%3."/>
      <w:lvlJc w:val="right"/>
      <w:pPr>
        <w:tabs>
          <w:tab w:val="left" w:pos="2160"/>
        </w:tabs>
        <w:ind w:left="2160" w:hanging="180"/>
      </w:pPr>
    </w:lvl>
    <w:lvl w:ilvl="3" w:tplc="0409000F" w:tentative="1">
      <w:start w:val="1"/>
      <w:numFmt w:val="decimal"/>
      <w:lvlText w:val="%4."/>
      <w:lvlJc w:val="left"/>
      <w:pPr>
        <w:tabs>
          <w:tab w:val="left" w:pos="2880"/>
        </w:tabs>
        <w:ind w:left="2880" w:hanging="360"/>
      </w:pPr>
    </w:lvl>
    <w:lvl w:ilvl="4" w:tplc="04090019" w:tentative="1">
      <w:start w:val="1"/>
      <w:numFmt w:val="lowerLetter"/>
      <w:lvlText w:val="%5."/>
      <w:lvlJc w:val="left"/>
      <w:pPr>
        <w:tabs>
          <w:tab w:val="left" w:pos="3600"/>
        </w:tabs>
        <w:ind w:left="3600" w:hanging="360"/>
      </w:pPr>
    </w:lvl>
    <w:lvl w:ilvl="5" w:tplc="0409001B" w:tentative="1">
      <w:start w:val="1"/>
      <w:numFmt w:val="lowerRoman"/>
      <w:lvlText w:val="%6."/>
      <w:lvlJc w:val="right"/>
      <w:pPr>
        <w:tabs>
          <w:tab w:val="left" w:pos="4320"/>
        </w:tabs>
        <w:ind w:left="4320" w:hanging="180"/>
      </w:pPr>
    </w:lvl>
    <w:lvl w:ilvl="6" w:tplc="0409000F" w:tentative="1">
      <w:start w:val="1"/>
      <w:numFmt w:val="decimal"/>
      <w:lvlText w:val="%7."/>
      <w:lvlJc w:val="left"/>
      <w:pPr>
        <w:tabs>
          <w:tab w:val="left" w:pos="5040"/>
        </w:tabs>
        <w:ind w:left="5040" w:hanging="360"/>
      </w:pPr>
    </w:lvl>
    <w:lvl w:ilvl="7" w:tplc="04090019" w:tentative="1">
      <w:start w:val="1"/>
      <w:numFmt w:val="lowerLetter"/>
      <w:lvlText w:val="%8."/>
      <w:lvlJc w:val="left"/>
      <w:pPr>
        <w:tabs>
          <w:tab w:val="left" w:pos="5760"/>
        </w:tabs>
        <w:ind w:left="5760" w:hanging="360"/>
      </w:pPr>
    </w:lvl>
    <w:lvl w:ilvl="8" w:tplc="0409001B" w:tentative="1">
      <w:start w:val="1"/>
      <w:numFmt w:val="lowerRoman"/>
      <w:lvlText w:val="%9."/>
      <w:lvlJc w:val="right"/>
      <w:pPr>
        <w:tabs>
          <w:tab w:val="left" w:pos="6480"/>
        </w:tabs>
        <w:ind w:left="6480" w:hanging="180"/>
      </w:pPr>
    </w:lvl>
  </w:abstractNum>
  <w:abstractNum w:abstractNumId="2" w15:restartNumberingAfterBreak="0">
    <w:nsid w:val="00000003"/>
    <w:multiLevelType w:val="hybridMultilevel"/>
    <w:tmpl w:val="2C64405C"/>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0000004"/>
    <w:multiLevelType w:val="singleLevel"/>
    <w:tmpl w:val="BFE40D84"/>
    <w:lvl w:ilvl="0">
      <w:start w:val="1"/>
      <w:numFmt w:val="decimal"/>
      <w:pStyle w:val="a"/>
      <w:lvlText w:val="%1."/>
      <w:lvlJc w:val="left"/>
      <w:pPr>
        <w:tabs>
          <w:tab w:val="left" w:pos="360"/>
        </w:tabs>
        <w:ind w:left="360" w:hanging="360"/>
      </w:pPr>
    </w:lvl>
  </w:abstractNum>
  <w:abstractNum w:abstractNumId="4" w15:restartNumberingAfterBreak="0">
    <w:nsid w:val="0EA1636A"/>
    <w:multiLevelType w:val="hybridMultilevel"/>
    <w:tmpl w:val="45AC6524"/>
    <w:lvl w:ilvl="0" w:tplc="B63C986E">
      <w:start w:val="1"/>
      <w:numFmt w:val="decimal"/>
      <w:lvlText w:val="%1."/>
      <w:lvlJc w:val="left"/>
      <w:pPr>
        <w:ind w:left="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5" w15:restartNumberingAfterBreak="0">
    <w:nsid w:val="4A567867"/>
    <w:multiLevelType w:val="hybridMultilevel"/>
    <w:tmpl w:val="BD82D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7917648">
    <w:abstractNumId w:val="3"/>
  </w:num>
  <w:num w:numId="2" w16cid:durableId="1453016687">
    <w:abstractNumId w:val="1"/>
  </w:num>
  <w:num w:numId="3" w16cid:durableId="330568323">
    <w:abstractNumId w:val="0"/>
  </w:num>
  <w:num w:numId="4" w16cid:durableId="23018821">
    <w:abstractNumId w:val="3"/>
  </w:num>
  <w:num w:numId="5" w16cid:durableId="1928417818">
    <w:abstractNumId w:val="0"/>
  </w:num>
  <w:num w:numId="6" w16cid:durableId="2131121549">
    <w:abstractNumId w:val="1"/>
  </w:num>
  <w:num w:numId="7" w16cid:durableId="548612206">
    <w:abstractNumId w:val="1"/>
  </w:num>
  <w:num w:numId="8" w16cid:durableId="1629776302">
    <w:abstractNumId w:val="1"/>
  </w:num>
  <w:num w:numId="9" w16cid:durableId="1819616165">
    <w:abstractNumId w:val="0"/>
  </w:num>
  <w:num w:numId="10" w16cid:durableId="758527058">
    <w:abstractNumId w:val="1"/>
  </w:num>
  <w:num w:numId="11" w16cid:durableId="649600012">
    <w:abstractNumId w:val="0"/>
  </w:num>
  <w:num w:numId="12" w16cid:durableId="1790666346">
    <w:abstractNumId w:val="0"/>
  </w:num>
  <w:num w:numId="13" w16cid:durableId="1104499375">
    <w:abstractNumId w:val="1"/>
  </w:num>
  <w:num w:numId="14" w16cid:durableId="679233795">
    <w:abstractNumId w:val="1"/>
  </w:num>
  <w:num w:numId="15" w16cid:durableId="1908413627">
    <w:abstractNumId w:val="0"/>
  </w:num>
  <w:num w:numId="16" w16cid:durableId="1684624598">
    <w:abstractNumId w:val="1"/>
  </w:num>
  <w:num w:numId="17" w16cid:durableId="1953781555">
    <w:abstractNumId w:val="2"/>
  </w:num>
  <w:num w:numId="18" w16cid:durableId="1234849386">
    <w:abstractNumId w:val="4"/>
  </w:num>
  <w:num w:numId="19" w16cid:durableId="643829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87E"/>
    <w:rsid w:val="00006064"/>
    <w:rsid w:val="00055328"/>
    <w:rsid w:val="00057BC0"/>
    <w:rsid w:val="0007497A"/>
    <w:rsid w:val="00077F61"/>
    <w:rsid w:val="00090463"/>
    <w:rsid w:val="000A7E18"/>
    <w:rsid w:val="000C4C3B"/>
    <w:rsid w:val="000D164D"/>
    <w:rsid w:val="000D59F9"/>
    <w:rsid w:val="000F31A7"/>
    <w:rsid w:val="00121D4C"/>
    <w:rsid w:val="001365DF"/>
    <w:rsid w:val="001372A6"/>
    <w:rsid w:val="00142ACB"/>
    <w:rsid w:val="00157B76"/>
    <w:rsid w:val="00167116"/>
    <w:rsid w:val="0017643B"/>
    <w:rsid w:val="0019448E"/>
    <w:rsid w:val="00196BB7"/>
    <w:rsid w:val="001B1143"/>
    <w:rsid w:val="001C5D93"/>
    <w:rsid w:val="001F4E43"/>
    <w:rsid w:val="001F5B0D"/>
    <w:rsid w:val="001F72EF"/>
    <w:rsid w:val="00212D9A"/>
    <w:rsid w:val="00227074"/>
    <w:rsid w:val="0023765F"/>
    <w:rsid w:val="002567E4"/>
    <w:rsid w:val="0027554C"/>
    <w:rsid w:val="002F2B23"/>
    <w:rsid w:val="00317592"/>
    <w:rsid w:val="0033765B"/>
    <w:rsid w:val="00381F3E"/>
    <w:rsid w:val="00383F50"/>
    <w:rsid w:val="003D6304"/>
    <w:rsid w:val="003D7147"/>
    <w:rsid w:val="003E59B3"/>
    <w:rsid w:val="00407C05"/>
    <w:rsid w:val="00432AC0"/>
    <w:rsid w:val="00434353"/>
    <w:rsid w:val="00436EBC"/>
    <w:rsid w:val="00452232"/>
    <w:rsid w:val="0048085B"/>
    <w:rsid w:val="00515F88"/>
    <w:rsid w:val="00516343"/>
    <w:rsid w:val="00533239"/>
    <w:rsid w:val="005750D3"/>
    <w:rsid w:val="00581D22"/>
    <w:rsid w:val="005A1FA1"/>
    <w:rsid w:val="005C3B01"/>
    <w:rsid w:val="005E5322"/>
    <w:rsid w:val="006009F0"/>
    <w:rsid w:val="006238A5"/>
    <w:rsid w:val="00624261"/>
    <w:rsid w:val="00650972"/>
    <w:rsid w:val="00681344"/>
    <w:rsid w:val="006A3020"/>
    <w:rsid w:val="006B100F"/>
    <w:rsid w:val="006B504F"/>
    <w:rsid w:val="006C00DB"/>
    <w:rsid w:val="006E0C02"/>
    <w:rsid w:val="00712966"/>
    <w:rsid w:val="007176D9"/>
    <w:rsid w:val="007279A1"/>
    <w:rsid w:val="00742AD2"/>
    <w:rsid w:val="00757032"/>
    <w:rsid w:val="00770736"/>
    <w:rsid w:val="007B2A06"/>
    <w:rsid w:val="007F16D4"/>
    <w:rsid w:val="00801CF3"/>
    <w:rsid w:val="00810FAB"/>
    <w:rsid w:val="00847A4A"/>
    <w:rsid w:val="008664D5"/>
    <w:rsid w:val="008912A0"/>
    <w:rsid w:val="00892CDF"/>
    <w:rsid w:val="008B7E75"/>
    <w:rsid w:val="008E25BC"/>
    <w:rsid w:val="008F7DC2"/>
    <w:rsid w:val="00903428"/>
    <w:rsid w:val="009241E5"/>
    <w:rsid w:val="009916C0"/>
    <w:rsid w:val="009D068B"/>
    <w:rsid w:val="009D484A"/>
    <w:rsid w:val="009E1D5E"/>
    <w:rsid w:val="009F6576"/>
    <w:rsid w:val="009F6C8B"/>
    <w:rsid w:val="00A01B43"/>
    <w:rsid w:val="00A70BD8"/>
    <w:rsid w:val="00AB1BBE"/>
    <w:rsid w:val="00AB576F"/>
    <w:rsid w:val="00AC413A"/>
    <w:rsid w:val="00AD2232"/>
    <w:rsid w:val="00AE2D6D"/>
    <w:rsid w:val="00AE5C3F"/>
    <w:rsid w:val="00AE7107"/>
    <w:rsid w:val="00AE7555"/>
    <w:rsid w:val="00AF23A4"/>
    <w:rsid w:val="00B0687B"/>
    <w:rsid w:val="00B1446E"/>
    <w:rsid w:val="00B504D0"/>
    <w:rsid w:val="00B91F22"/>
    <w:rsid w:val="00BD56EB"/>
    <w:rsid w:val="00C03C98"/>
    <w:rsid w:val="00C050E2"/>
    <w:rsid w:val="00C30BAD"/>
    <w:rsid w:val="00C8763F"/>
    <w:rsid w:val="00C936F5"/>
    <w:rsid w:val="00C93C9A"/>
    <w:rsid w:val="00CA6DFC"/>
    <w:rsid w:val="00CC55B0"/>
    <w:rsid w:val="00CC71CF"/>
    <w:rsid w:val="00CF1460"/>
    <w:rsid w:val="00D079C9"/>
    <w:rsid w:val="00D502FD"/>
    <w:rsid w:val="00D822BB"/>
    <w:rsid w:val="00D83A25"/>
    <w:rsid w:val="00D8736C"/>
    <w:rsid w:val="00DB2CB7"/>
    <w:rsid w:val="00DE4DE8"/>
    <w:rsid w:val="00E04EC5"/>
    <w:rsid w:val="00E1023A"/>
    <w:rsid w:val="00E27D79"/>
    <w:rsid w:val="00E4708C"/>
    <w:rsid w:val="00E52315"/>
    <w:rsid w:val="00E82D4E"/>
    <w:rsid w:val="00E850C4"/>
    <w:rsid w:val="00EA0B5B"/>
    <w:rsid w:val="00EA2A2B"/>
    <w:rsid w:val="00EA2A4D"/>
    <w:rsid w:val="00EA6E65"/>
    <w:rsid w:val="00EB42DA"/>
    <w:rsid w:val="00F21520"/>
    <w:rsid w:val="00F41D1D"/>
    <w:rsid w:val="00F44047"/>
    <w:rsid w:val="00F45A62"/>
    <w:rsid w:val="00F470E8"/>
    <w:rsid w:val="00F54F14"/>
    <w:rsid w:val="00F618BE"/>
    <w:rsid w:val="00F6587E"/>
    <w:rsid w:val="00FE6927"/>
    <w:rsid w:val="00FF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330991"/>
  <w15:docId w15:val="{54E649B3-629F-4D10-9133-E1CF2BAA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BodyL"/>
    <w:qFormat/>
    <w:pPr>
      <w:tabs>
        <w:tab w:val="left" w:pos="567"/>
      </w:tabs>
      <w:spacing w:line="360" w:lineRule="auto"/>
      <w:jc w:val="both"/>
    </w:pPr>
    <w:rPr>
      <w:sz w:val="24"/>
      <w:szCs w:val="24"/>
      <w:lang w:val="en-US" w:eastAsia="en-US"/>
    </w:rPr>
  </w:style>
  <w:style w:type="paragraph" w:styleId="1">
    <w:name w:val="heading 1"/>
    <w:basedOn w:val="Basic"/>
    <w:uiPriority w:val="9"/>
    <w:qFormat/>
    <w:pPr>
      <w:keepNext/>
      <w:jc w:val="center"/>
      <w:outlineLvl w:val="0"/>
    </w:pPr>
    <w:rPr>
      <w:rFonts w:cs="Arial"/>
      <w:bCs/>
      <w:caps/>
      <w:sz w:val="28"/>
      <w:szCs w:val="32"/>
    </w:rPr>
  </w:style>
  <w:style w:type="paragraph" w:styleId="2">
    <w:name w:val="heading 2"/>
    <w:basedOn w:val="Basic"/>
    <w:next w:val="BodyL"/>
    <w:uiPriority w:val="9"/>
    <w:semiHidden/>
    <w:unhideWhenUsed/>
    <w:qFormat/>
    <w:pPr>
      <w:keepNext/>
      <w:jc w:val="center"/>
      <w:outlineLvl w:val="1"/>
    </w:pPr>
    <w:rPr>
      <w:rFonts w:cs="Arial"/>
      <w:bCs/>
      <w:i/>
      <w:iCs/>
      <w:sz w:val="28"/>
      <w:szCs w:val="28"/>
    </w:rPr>
  </w:style>
  <w:style w:type="paragraph" w:styleId="3">
    <w:name w:val="heading 3"/>
    <w:basedOn w:val="Basic"/>
    <w:next w:val="BodyL"/>
    <w:uiPriority w:val="9"/>
    <w:semiHidden/>
    <w:unhideWhenUsed/>
    <w:qFormat/>
    <w:pPr>
      <w:jc w:val="left"/>
      <w:outlineLvl w:val="2"/>
    </w:pPr>
    <w:rPr>
      <w:rFonts w:cs="Arial"/>
      <w:b/>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pPr>
      <w:spacing w:after="120"/>
    </w:pPr>
  </w:style>
  <w:style w:type="paragraph" w:styleId="a5">
    <w:name w:val="caption"/>
    <w:basedOn w:val="a0"/>
    <w:next w:val="a0"/>
    <w:qFormat/>
    <w:pPr>
      <w:spacing w:before="120" w:after="120"/>
    </w:pPr>
    <w:rPr>
      <w:b/>
      <w:bCs/>
      <w:szCs w:val="20"/>
    </w:rPr>
  </w:style>
  <w:style w:type="paragraph" w:styleId="a6">
    <w:name w:val="endnote text"/>
    <w:basedOn w:val="a0"/>
    <w:pPr>
      <w:spacing w:line="240" w:lineRule="auto"/>
      <w:jc w:val="left"/>
    </w:pPr>
    <w:rPr>
      <w:szCs w:val="20"/>
    </w:rPr>
  </w:style>
  <w:style w:type="paragraph" w:styleId="a7">
    <w:name w:val="footnote text"/>
    <w:basedOn w:val="Basic"/>
    <w:pPr>
      <w:spacing w:line="240" w:lineRule="auto"/>
      <w:ind w:firstLine="0"/>
      <w:jc w:val="left"/>
    </w:pPr>
    <w:rPr>
      <w:sz w:val="20"/>
    </w:rPr>
  </w:style>
  <w:style w:type="paragraph" w:styleId="a8">
    <w:name w:val="header"/>
    <w:basedOn w:val="a0"/>
    <w:next w:val="a0"/>
    <w:pPr>
      <w:tabs>
        <w:tab w:val="center" w:pos="4678"/>
        <w:tab w:val="right" w:pos="9356"/>
      </w:tabs>
    </w:pPr>
  </w:style>
  <w:style w:type="paragraph" w:styleId="a">
    <w:name w:val="List Number"/>
    <w:basedOn w:val="a0"/>
    <w:pPr>
      <w:numPr>
        <w:numId w:val="1"/>
      </w:numPr>
    </w:pPr>
  </w:style>
  <w:style w:type="character" w:styleId="a9">
    <w:name w:val="page number"/>
    <w:rPr>
      <w:sz w:val="20"/>
    </w:rPr>
  </w:style>
  <w:style w:type="paragraph" w:styleId="aa">
    <w:name w:val="Title"/>
    <w:basedOn w:val="Basic"/>
    <w:link w:val="ab"/>
    <w:uiPriority w:val="10"/>
    <w:qFormat/>
    <w:pPr>
      <w:ind w:firstLine="0"/>
      <w:jc w:val="center"/>
      <w:outlineLvl w:val="0"/>
    </w:pPr>
    <w:rPr>
      <w:b/>
      <w:bCs/>
      <w:caps/>
      <w:sz w:val="28"/>
      <w:szCs w:val="32"/>
    </w:rPr>
  </w:style>
  <w:style w:type="paragraph" w:styleId="ac">
    <w:name w:val="Subtitle"/>
    <w:basedOn w:val="aa"/>
    <w:next w:val="a0"/>
    <w:uiPriority w:val="11"/>
    <w:qFormat/>
    <w:pPr>
      <w:outlineLvl w:val="1"/>
    </w:pPr>
    <w:rPr>
      <w:caps w:val="0"/>
    </w:rPr>
  </w:style>
  <w:style w:type="paragraph" w:customStyle="1" w:styleId="TitleArticle">
    <w:name w:val="TitleArticle"/>
    <w:basedOn w:val="Basic"/>
    <w:pPr>
      <w:spacing w:before="240" w:after="360"/>
      <w:ind w:firstLine="0"/>
      <w:jc w:val="center"/>
      <w:outlineLvl w:val="0"/>
    </w:pPr>
    <w:rPr>
      <w:b/>
      <w:caps/>
      <w:sz w:val="28"/>
    </w:rPr>
  </w:style>
  <w:style w:type="paragraph" w:customStyle="1" w:styleId="PACS">
    <w:name w:val="PACS"/>
    <w:basedOn w:val="Abstract"/>
  </w:style>
  <w:style w:type="paragraph" w:customStyle="1" w:styleId="MTDisplayEquation">
    <w:name w:val="MTDisplayEquation"/>
    <w:basedOn w:val="Basic"/>
    <w:next w:val="BodyLNoTab"/>
    <w:pPr>
      <w:tabs>
        <w:tab w:val="center" w:pos="4680"/>
        <w:tab w:val="right" w:pos="9080"/>
      </w:tabs>
      <w:ind w:firstLine="0"/>
    </w:pPr>
    <w:rPr>
      <w:lang w:val="en-US"/>
    </w:rPr>
  </w:style>
  <w:style w:type="paragraph" w:customStyle="1" w:styleId="EquationNoNum">
    <w:name w:val="EquationNoNum"/>
    <w:basedOn w:val="Equation"/>
    <w:pPr>
      <w:jc w:val="center"/>
    </w:pPr>
  </w:style>
  <w:style w:type="paragraph" w:customStyle="1" w:styleId="Appendix">
    <w:name w:val="Appendix"/>
    <w:basedOn w:val="Basic"/>
    <w:pPr>
      <w:tabs>
        <w:tab w:val="left" w:pos="567"/>
      </w:tabs>
      <w:spacing w:before="240" w:after="120"/>
      <w:ind w:firstLine="0"/>
      <w:jc w:val="right"/>
    </w:pPr>
    <w:rPr>
      <w:i/>
    </w:rPr>
  </w:style>
  <w:style w:type="paragraph" w:customStyle="1" w:styleId="UDK">
    <w:name w:val="UDK"/>
    <w:basedOn w:val="Basic"/>
    <w:next w:val="TitleArticle"/>
    <w:pPr>
      <w:ind w:firstLine="0"/>
      <w:jc w:val="left"/>
    </w:pPr>
    <w:rPr>
      <w:i/>
      <w:sz w:val="28"/>
    </w:rPr>
  </w:style>
  <w:style w:type="paragraph" w:customStyle="1" w:styleId="BodyL">
    <w:name w:val="BodyL."/>
    <w:basedOn w:val="Basic"/>
  </w:style>
  <w:style w:type="paragraph" w:customStyle="1" w:styleId="Rubric">
    <w:name w:val="Rubric"/>
    <w:basedOn w:val="Basic"/>
    <w:pPr>
      <w:spacing w:after="120"/>
      <w:jc w:val="center"/>
    </w:pPr>
    <w:rPr>
      <w:b/>
      <w:caps/>
      <w:sz w:val="28"/>
    </w:rPr>
  </w:style>
  <w:style w:type="paragraph" w:customStyle="1" w:styleId="Author">
    <w:name w:val="Author"/>
    <w:basedOn w:val="Basic"/>
    <w:pPr>
      <w:spacing w:before="120" w:after="120"/>
      <w:jc w:val="center"/>
    </w:pPr>
    <w:rPr>
      <w:b/>
      <w:sz w:val="28"/>
    </w:rPr>
  </w:style>
  <w:style w:type="paragraph" w:customStyle="1" w:styleId="Address">
    <w:name w:val="Address"/>
    <w:basedOn w:val="Basic"/>
    <w:pPr>
      <w:spacing w:after="240" w:line="240" w:lineRule="auto"/>
      <w:jc w:val="center"/>
    </w:pPr>
    <w:rPr>
      <w:i/>
      <w:sz w:val="26"/>
    </w:rPr>
  </w:style>
  <w:style w:type="paragraph" w:customStyle="1" w:styleId="ManReceived">
    <w:name w:val="ManReceived"/>
    <w:basedOn w:val="Address"/>
    <w:pPr>
      <w:spacing w:before="120"/>
    </w:pPr>
    <w:rPr>
      <w:i w:val="0"/>
    </w:rPr>
  </w:style>
  <w:style w:type="paragraph" w:customStyle="1" w:styleId="Abstract">
    <w:name w:val="Abstract"/>
    <w:basedOn w:val="Basic"/>
    <w:pPr>
      <w:spacing w:before="120" w:after="120" w:line="240" w:lineRule="auto"/>
      <w:ind w:firstLine="0"/>
    </w:pPr>
    <w:rPr>
      <w:sz w:val="20"/>
    </w:rPr>
  </w:style>
  <w:style w:type="paragraph" w:customStyle="1" w:styleId="Body">
    <w:name w:val="Body"/>
    <w:basedOn w:val="Basic"/>
  </w:style>
  <w:style w:type="paragraph" w:customStyle="1" w:styleId="Heading">
    <w:name w:val="Heading"/>
    <w:basedOn w:val="Basic"/>
    <w:next w:val="BodyL"/>
    <w:pPr>
      <w:keepNext/>
      <w:spacing w:before="240" w:after="120"/>
      <w:ind w:firstLine="0"/>
      <w:jc w:val="center"/>
      <w:outlineLvl w:val="0"/>
    </w:pPr>
    <w:rPr>
      <w:caps/>
      <w:sz w:val="28"/>
    </w:rPr>
  </w:style>
  <w:style w:type="paragraph" w:customStyle="1" w:styleId="Subheading">
    <w:name w:val="Subheading"/>
    <w:basedOn w:val="Basic"/>
    <w:next w:val="BodyL"/>
    <w:pPr>
      <w:keepNext/>
      <w:spacing w:before="240" w:after="120"/>
      <w:ind w:firstLine="0"/>
      <w:jc w:val="center"/>
      <w:outlineLvl w:val="1"/>
    </w:pPr>
    <w:rPr>
      <w:i/>
      <w:sz w:val="28"/>
    </w:rPr>
  </w:style>
  <w:style w:type="paragraph" w:customStyle="1" w:styleId="Footnote">
    <w:name w:val="Footnote"/>
    <w:basedOn w:val="Basic"/>
    <w:pPr>
      <w:spacing w:line="240" w:lineRule="auto"/>
      <w:ind w:firstLine="0"/>
      <w:jc w:val="left"/>
    </w:pPr>
    <w:rPr>
      <w:sz w:val="20"/>
    </w:rPr>
  </w:style>
  <w:style w:type="paragraph" w:customStyle="1" w:styleId="Figure">
    <w:name w:val="Figure"/>
    <w:basedOn w:val="Basic"/>
    <w:pPr>
      <w:numPr>
        <w:numId w:val="2"/>
      </w:numPr>
      <w:spacing w:before="120" w:after="120"/>
    </w:pPr>
  </w:style>
  <w:style w:type="paragraph" w:customStyle="1" w:styleId="References">
    <w:name w:val="References"/>
    <w:basedOn w:val="Basic"/>
    <w:pPr>
      <w:numPr>
        <w:numId w:val="3"/>
      </w:numPr>
    </w:pPr>
  </w:style>
  <w:style w:type="paragraph" w:customStyle="1" w:styleId="Equation">
    <w:name w:val="Equation"/>
    <w:basedOn w:val="Basic"/>
    <w:pPr>
      <w:tabs>
        <w:tab w:val="center" w:pos="4536"/>
        <w:tab w:val="right" w:pos="9078"/>
      </w:tabs>
      <w:overflowPunct w:val="0"/>
      <w:autoSpaceDE w:val="0"/>
      <w:autoSpaceDN w:val="0"/>
      <w:adjustRightInd w:val="0"/>
      <w:spacing w:before="120" w:after="120"/>
      <w:ind w:firstLine="0"/>
      <w:textAlignment w:val="baseline"/>
    </w:pPr>
    <w:rPr>
      <w:noProof/>
      <w:szCs w:val="28"/>
      <w:lang w:val="en-US" w:eastAsia="de-DE"/>
    </w:rPr>
  </w:style>
  <w:style w:type="paragraph" w:customStyle="1" w:styleId="BodyNoTab">
    <w:name w:val="BodyNoTab"/>
    <w:basedOn w:val="Body"/>
    <w:next w:val="Body"/>
    <w:pPr>
      <w:tabs>
        <w:tab w:val="left" w:pos="567"/>
      </w:tabs>
      <w:ind w:firstLine="0"/>
    </w:pPr>
  </w:style>
  <w:style w:type="paragraph" w:customStyle="1" w:styleId="TableTitle">
    <w:name w:val="TableTitle"/>
    <w:basedOn w:val="Basic"/>
    <w:pPr>
      <w:spacing w:before="240" w:after="120"/>
    </w:pPr>
    <w:rPr>
      <w:sz w:val="28"/>
    </w:rPr>
  </w:style>
  <w:style w:type="paragraph" w:customStyle="1" w:styleId="BodyLNoTab">
    <w:name w:val="BodyL.NoTab"/>
    <w:basedOn w:val="BodyL"/>
    <w:next w:val="BodyL"/>
    <w:pPr>
      <w:ind w:firstLine="0"/>
    </w:pPr>
  </w:style>
  <w:style w:type="paragraph" w:customStyle="1" w:styleId="Basic">
    <w:name w:val="Basic"/>
    <w:pPr>
      <w:spacing w:line="360" w:lineRule="auto"/>
      <w:ind w:firstLine="567"/>
      <w:jc w:val="both"/>
    </w:pPr>
    <w:rPr>
      <w:sz w:val="24"/>
      <w:lang w:eastAsia="en-US"/>
    </w:rPr>
  </w:style>
  <w:style w:type="paragraph" w:customStyle="1" w:styleId="EquationNum1">
    <w:name w:val="EquationNum+1"/>
    <w:basedOn w:val="Equation"/>
  </w:style>
  <w:style w:type="paragraph" w:customStyle="1" w:styleId="TableFootnote">
    <w:name w:val="TableFootnote"/>
    <w:basedOn w:val="Basic"/>
    <w:pPr>
      <w:tabs>
        <w:tab w:val="right" w:pos="284"/>
        <w:tab w:val="left" w:pos="369"/>
      </w:tabs>
      <w:spacing w:line="240" w:lineRule="auto"/>
      <w:ind w:firstLine="0"/>
    </w:pPr>
    <w:rPr>
      <w:sz w:val="18"/>
    </w:rPr>
  </w:style>
  <w:style w:type="paragraph" w:customStyle="1" w:styleId="CellBody">
    <w:name w:val="CellBody"/>
    <w:basedOn w:val="Basic"/>
    <w:pPr>
      <w:spacing w:after="40"/>
      <w:ind w:firstLine="0"/>
      <w:jc w:val="center"/>
    </w:pPr>
  </w:style>
  <w:style w:type="paragraph" w:customStyle="1" w:styleId="CellHeading">
    <w:name w:val="CellHeading"/>
    <w:basedOn w:val="Basic"/>
    <w:pPr>
      <w:spacing w:before="40" w:after="40"/>
      <w:ind w:firstLine="0"/>
      <w:jc w:val="center"/>
    </w:pPr>
  </w:style>
  <w:style w:type="paragraph" w:customStyle="1" w:styleId="Accepted">
    <w:name w:val="Accepted"/>
    <w:basedOn w:val="ManReceived"/>
  </w:style>
  <w:style w:type="paragraph" w:customStyle="1" w:styleId="UDC">
    <w:name w:val="UDC"/>
    <w:basedOn w:val="Basic"/>
    <w:next w:val="TitleArticle"/>
    <w:pPr>
      <w:ind w:firstLine="0"/>
      <w:jc w:val="left"/>
    </w:pPr>
    <w:rPr>
      <w:i/>
      <w:sz w:val="28"/>
    </w:rPr>
  </w:style>
  <w:style w:type="paragraph" w:styleId="ad">
    <w:name w:val="footer"/>
    <w:basedOn w:val="a0"/>
    <w:link w:val="ae"/>
    <w:uiPriority w:val="99"/>
    <w:pPr>
      <w:tabs>
        <w:tab w:val="clear" w:pos="567"/>
      </w:tabs>
    </w:pPr>
  </w:style>
  <w:style w:type="character" w:customStyle="1" w:styleId="ae">
    <w:name w:val="Нижний колонтитул Знак"/>
    <w:link w:val="ad"/>
    <w:uiPriority w:val="99"/>
    <w:rPr>
      <w:sz w:val="24"/>
      <w:szCs w:val="24"/>
      <w:lang w:eastAsia="en-US"/>
    </w:rPr>
  </w:style>
  <w:style w:type="character" w:styleId="af">
    <w:name w:val="Hyperlink"/>
    <w:rPr>
      <w:color w:val="0000FF"/>
      <w:u w:val="single"/>
    </w:rPr>
  </w:style>
  <w:style w:type="character" w:customStyle="1" w:styleId="ab">
    <w:name w:val="Заголовок Знак"/>
    <w:link w:val="aa"/>
    <w:rPr>
      <w:rFonts w:cs="Arial"/>
      <w:b/>
      <w:bCs/>
      <w:caps/>
      <w:sz w:val="28"/>
      <w:szCs w:val="32"/>
      <w:lang w:eastAsia="en-US"/>
    </w:rPr>
  </w:style>
  <w:style w:type="character" w:customStyle="1" w:styleId="UnresolvedMention1">
    <w:name w:val="Unresolved Mention1"/>
    <w:uiPriority w:val="99"/>
    <w:rPr>
      <w:color w:val="605E5C"/>
      <w:shd w:val="clear" w:color="auto" w:fill="E1DFDD"/>
    </w:rPr>
  </w:style>
  <w:style w:type="paragraph" w:styleId="HTML">
    <w:name w:val="HTML Preformatted"/>
    <w:basedOn w:val="a0"/>
    <w:link w:val="HTML0"/>
    <w:pPr>
      <w:tabs>
        <w:tab w:val="clear" w:pos="567"/>
      </w:tabs>
      <w:spacing w:line="240" w:lineRule="auto"/>
      <w:jc w:val="left"/>
    </w:pPr>
    <w:rPr>
      <w:rFonts w:ascii="Courier New" w:hAnsi="Courier New"/>
      <w:lang w:val="it-IT" w:eastAsia="it-IT"/>
    </w:rPr>
  </w:style>
  <w:style w:type="character" w:customStyle="1" w:styleId="HTML0">
    <w:name w:val="Стандартный HTML Знак"/>
    <w:link w:val="HTML"/>
    <w:rPr>
      <w:rFonts w:ascii="Courier New" w:hAnsi="Courier New" w:cs="Courier New"/>
      <w:sz w:val="24"/>
      <w:szCs w:val="24"/>
      <w:lang w:val="it-IT" w:eastAsia="it-IT"/>
    </w:rPr>
  </w:style>
  <w:style w:type="paragraph" w:styleId="af0">
    <w:name w:val="Balloon Text"/>
    <w:basedOn w:val="a0"/>
    <w:link w:val="af1"/>
    <w:uiPriority w:val="99"/>
    <w:pPr>
      <w:spacing w:line="240" w:lineRule="auto"/>
    </w:pPr>
    <w:rPr>
      <w:rFonts w:ascii="Tahoma" w:hAnsi="Tahoma" w:cs="Tahoma"/>
      <w:sz w:val="16"/>
      <w:szCs w:val="16"/>
    </w:rPr>
  </w:style>
  <w:style w:type="character" w:customStyle="1" w:styleId="af1">
    <w:name w:val="Текст выноски Знак"/>
    <w:basedOn w:val="a1"/>
    <w:link w:val="af0"/>
    <w:uiPriority w:val="99"/>
    <w:rPr>
      <w:rFonts w:ascii="Tahoma" w:hAnsi="Tahoma" w:cs="Tahoma"/>
      <w:sz w:val="16"/>
      <w:szCs w:val="16"/>
      <w:lang w:eastAsia="en-US"/>
    </w:rPr>
  </w:style>
  <w:style w:type="character" w:styleId="af2">
    <w:name w:val="Placeholder Text"/>
    <w:basedOn w:val="a1"/>
    <w:uiPriority w:val="99"/>
    <w:rPr>
      <w:color w:val="808080"/>
    </w:rPr>
  </w:style>
  <w:style w:type="character" w:customStyle="1" w:styleId="UnresolvedMention2">
    <w:name w:val="Unresolved Mention2"/>
    <w:basedOn w:val="a1"/>
    <w:uiPriority w:val="99"/>
    <w:rPr>
      <w:color w:val="605E5C"/>
      <w:shd w:val="clear" w:color="auto" w:fill="E1DFDD"/>
    </w:rPr>
  </w:style>
  <w:style w:type="character" w:styleId="af3">
    <w:name w:val="Unresolved Mention"/>
    <w:basedOn w:val="a1"/>
    <w:uiPriority w:val="99"/>
    <w:semiHidden/>
    <w:unhideWhenUsed/>
    <w:rsid w:val="00EA0B5B"/>
    <w:rPr>
      <w:color w:val="605E5C"/>
      <w:shd w:val="clear" w:color="auto" w:fill="E1DFDD"/>
    </w:rPr>
  </w:style>
  <w:style w:type="table" w:styleId="af4">
    <w:name w:val="Table Grid"/>
    <w:basedOn w:val="a2"/>
    <w:uiPriority w:val="39"/>
    <w:rsid w:val="00C8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686745">
      <w:bodyDiv w:val="1"/>
      <w:marLeft w:val="0"/>
      <w:marRight w:val="0"/>
      <w:marTop w:val="0"/>
      <w:marBottom w:val="0"/>
      <w:divBdr>
        <w:top w:val="none" w:sz="0" w:space="0" w:color="auto"/>
        <w:left w:val="none" w:sz="0" w:space="0" w:color="auto"/>
        <w:bottom w:val="none" w:sz="0" w:space="0" w:color="auto"/>
        <w:right w:val="none" w:sz="0" w:space="0" w:color="auto"/>
      </w:divBdr>
    </w:div>
    <w:div w:id="995231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a@jinr.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ntgenogram.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558FD-FB3A-4CC3-A87F-42BD32AD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1518</Words>
  <Characters>8658</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MAIK</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Конюхов</dc:creator>
  <cp:lastModifiedBy>Sveta</cp:lastModifiedBy>
  <cp:revision>11</cp:revision>
  <cp:lastPrinted>2025-01-22T06:49:00Z</cp:lastPrinted>
  <dcterms:created xsi:type="dcterms:W3CDTF">2024-11-09T08:18:00Z</dcterms:created>
  <dcterms:modified xsi:type="dcterms:W3CDTF">2025-01-31T13:49:00Z</dcterms:modified>
</cp:coreProperties>
</file>