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Title: Vortex clusters in intertype and ferromagnetic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superconductors in Monte Carlo approach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Authors: V. P. Lenkov (a,∗), A. N. Maksimova (a), A. N. Moroz (a), V. A. Kashurnikov (a)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Affiliations: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National Research Nuclear University MEPhI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∗ Corresponding author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Annotation: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Currently, it is of interest to study the magnetic properties of HTSC at the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mesoscopic level. One of the best methods of numerical modeling in such cases is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Monte Carlo method. In our work, an attempt is made to apply this algorithm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 some unconventional superconductors. The survey with 2 different vortex-vortex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interaction potentials was carried out. The first one can represent intertype HTSC,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and the second one corresponds to ferromagnetic superconductors. Magnetic field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distribution and magnetization curves were modeled. Moreover, the study of be-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havior of vortex clusters with various configurations of defects was conducted. As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for ferromagnetic superconductors, the dependence of the field distribution on mag-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netic susceptibility has been investigated.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Перевод: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Название: Кластеры вихрей в интертипных и ферромагнитных сверхпроводниках в подходе Монте-Карло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Авторы: В. П. Ленков (а), А. Н. Максимова (а), А. Н. Мороз (а), В. А. Кашурников (а)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Аффилиации: Национальный Исследовательский Ядерный Университет “МИФИ”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Аннотация: В настоящее время представляет интерес изучение магнитных свойств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ВТСП на мезоскопическом уровне. Одним из лучших методов численного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моделирования в таких случаях является метод Монте-Карло. В нашей работе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предпринята попытка применить этот алгоритм к некоторым необычным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сверхпроводникам. Проведено исследование с 2 различными потенциалами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взаимодействия вихрь-вихрь. Первый может представлять интертипный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ВТСП, а второй соответствует ферромагнитным сверхпроводникам. Были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смоделированы распределение магнитного поля и кривые намагничивания.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Кроме того, проведено исследование поведения вихревых кластеров с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различными конфигурациями дефектов. Что касается ферромагнитных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сверхпроводников, то исследована зависимость распределения поля от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магнитной восприимчивости.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