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wmf" ContentType="image/x-wmf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360"/>
        <w:jc w:val="right"/>
        <w:rPr>
          <w:b/>
        </w:rPr>
      </w:pPr>
      <w:r>
        <w:rPr>
          <w:b/>
        </w:rPr>
      </w:r>
    </w:p>
    <w:p>
      <w:pPr>
        <w:pStyle w:val="Normal"/>
        <w:spacing w:lineRule="auto" w:line="360"/>
        <w:jc w:val="right"/>
        <w:rPr>
          <w:b/>
        </w:rPr>
      </w:pPr>
      <w:r>
        <w:rPr>
          <w:b/>
        </w:rPr>
        <w:t>Приложение 3.</w:t>
      </w:r>
    </w:p>
    <w:p>
      <w:pPr>
        <w:pStyle w:val="Normal"/>
        <w:spacing w:lineRule="auto" w:line="360"/>
        <w:jc w:val="right"/>
        <w:rPr/>
      </w:pPr>
      <w:r>
        <w:rPr/>
      </w:r>
    </w:p>
    <w:p>
      <w:pPr>
        <w:pStyle w:val="Normal"/>
        <w:spacing w:lineRule="auto" w:line="240"/>
        <w:rPr>
          <w:b/>
        </w:rPr>
      </w:pPr>
      <w:r>
        <w:rPr>
          <w:b/>
        </w:rPr>
        <w:tab/>
        <w:tab/>
        <w:tab/>
        <w:tab/>
        <w:tab/>
        <w:tab/>
        <w:tab/>
        <w:tab/>
        <w:tab/>
        <w:t>УТВЕРЖДАЮ</w:t>
      </w:r>
    </w:p>
    <w:p>
      <w:pPr>
        <w:pStyle w:val="Normal"/>
        <w:spacing w:lineRule="auto" w:line="240"/>
        <w:jc w:val="right"/>
        <w:rPr/>
      </w:pPr>
      <w:r>
        <w:rPr>
          <w:b/>
        </w:rPr>
        <w:tab/>
        <w:tab/>
        <w:tab/>
        <w:tab/>
        <w:tab/>
        <w:tab/>
        <w:tab/>
        <w:tab/>
        <w:tab/>
        <w:t>Вице-Директор</w:t>
        <w:tab/>
        <w:tab/>
        <w:tab/>
        <w:tab/>
        <w:tab/>
        <w:tab/>
        <w:tab/>
        <w:tab/>
        <w:tab/>
      </w:r>
      <w:r>
        <w:rPr>
          <w:b/>
          <w:u w:val="single"/>
        </w:rPr>
        <w:tab/>
        <w:tab/>
        <w:tab/>
        <w:tab/>
      </w:r>
    </w:p>
    <w:p>
      <w:pPr>
        <w:pStyle w:val="Normal"/>
        <w:spacing w:lineRule="auto" w:line="240"/>
        <w:rPr/>
      </w:pPr>
      <w:r>
        <w:rPr>
          <w:b/>
        </w:rPr>
        <w:tab/>
        <w:tab/>
        <w:tab/>
        <w:tab/>
        <w:tab/>
        <w:tab/>
        <w:tab/>
        <w:tab/>
        <w:tab/>
        <w:t>“</w:t>
      </w:r>
      <w:r>
        <w:rPr>
          <w:b/>
          <w:u w:val="single"/>
        </w:rPr>
        <w:tab/>
      </w:r>
      <w:r>
        <w:rPr>
          <w:b/>
        </w:rPr>
        <w:t>“</w:t>
      </w:r>
      <w:r>
        <w:rPr>
          <w:b/>
          <w:u w:val="single"/>
        </w:rPr>
        <w:tab/>
        <w:t>___</w:t>
      </w:r>
      <w:r>
        <w:rPr>
          <w:b/>
        </w:rPr>
        <w:t xml:space="preserve">   2024 г.</w:t>
      </w:r>
    </w:p>
    <w:p>
      <w:pPr>
        <w:pStyle w:val="Normal"/>
        <w:spacing w:lineRule="auto" w:line="360"/>
        <w:jc w:val="center"/>
        <w:rPr>
          <w:b/>
        </w:rPr>
      </w:pPr>
      <w:r>
        <w:rPr>
          <w:b/>
        </w:rPr>
      </w:r>
    </w:p>
    <w:p>
      <w:pPr>
        <w:pStyle w:val="Normal"/>
        <w:spacing w:lineRule="auto" w:line="360"/>
        <w:jc w:val="center"/>
        <w:rPr>
          <w:b/>
        </w:rPr>
      </w:pPr>
      <w:r>
        <w:rPr>
          <w:b/>
        </w:rPr>
      </w:r>
    </w:p>
    <w:p>
      <w:pPr>
        <w:pStyle w:val="Normal"/>
        <w:spacing w:lineRule="auto" w:line="240" w:before="0" w:after="120"/>
        <w:jc w:val="center"/>
        <w:rPr>
          <w:b/>
        </w:rPr>
      </w:pPr>
      <w:r>
        <w:rPr>
          <w:b/>
        </w:rPr>
        <w:t xml:space="preserve">НАУЧНО-ТЕХНИЧЕСКОЕ ОБОСНОВАНИЕ ПРОДЛЕНИЯ </w:t>
      </w:r>
    </w:p>
    <w:p>
      <w:pPr>
        <w:pStyle w:val="Normal"/>
        <w:spacing w:lineRule="auto" w:line="240" w:before="0" w:after="120"/>
        <w:jc w:val="center"/>
        <w:rPr>
          <w:b/>
        </w:rPr>
      </w:pPr>
      <w:r>
        <w:rPr>
          <w:b/>
        </w:rPr>
        <w:t>ПРОЕКТА Многоцелевого детектора (</w:t>
      </w:r>
      <w:r>
        <w:rPr>
          <w:b/>
          <w:lang w:val="en-US"/>
        </w:rPr>
        <w:t>MPD</w:t>
      </w:r>
      <w:r>
        <w:rPr>
          <w:b/>
        </w:rPr>
        <w:t>) на коллайдере НИКА</w:t>
      </w:r>
    </w:p>
    <w:p>
      <w:pPr>
        <w:pStyle w:val="Normal"/>
        <w:spacing w:lineRule="auto" w:line="240"/>
        <w:jc w:val="center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ListParagraph"/>
        <w:numPr>
          <w:ilvl w:val="0"/>
          <w:numId w:val="1"/>
        </w:numPr>
        <w:spacing w:lineRule="atLeast" w:line="240"/>
        <w:jc w:val="both"/>
        <w:rPr>
          <w:b/>
          <w:lang w:val="en-US"/>
        </w:rPr>
      </w:pPr>
      <w:r>
        <w:rPr>
          <w:b/>
        </w:rPr>
        <w:t xml:space="preserve">Общие сведения о проекте </w:t>
      </w:r>
    </w:p>
    <w:p>
      <w:pPr>
        <w:pStyle w:val="Normal"/>
        <w:spacing w:lineRule="atLeast" w:line="240"/>
        <w:jc w:val="both"/>
        <w:rPr>
          <w:color w:val="000000"/>
          <w:shd w:fill="FFFFFF" w:val="clear"/>
        </w:rPr>
      </w:pPr>
      <w:r>
        <w:rPr>
          <w:b/>
        </w:rPr>
        <w:t xml:space="preserve">1.1. Шифр темы </w:t>
      </w:r>
      <w:r>
        <w:rPr/>
        <w:t>(для продлеваемых проектов)</w:t>
      </w:r>
      <w:r>
        <w:rPr>
          <w:i/>
          <w:iCs/>
        </w:rPr>
        <w:t xml:space="preserve"> – </w:t>
      </w:r>
      <w:r>
        <w:rPr>
          <w:color w:val="000000"/>
          <w:shd w:fill="FFFFFF" w:val="clear"/>
        </w:rPr>
        <w:t xml:space="preserve">02-1-1065-2007/2026 </w:t>
      </w:r>
    </w:p>
    <w:p>
      <w:pPr>
        <w:pStyle w:val="Normal"/>
        <w:spacing w:lineRule="atLeast" w:line="240"/>
        <w:jc w:val="both"/>
        <w:rPr>
          <w:color w:val="000000"/>
          <w:shd w:fill="FFFFFF" w:val="clear"/>
        </w:rPr>
      </w:pPr>
      <w:r>
        <w:rPr>
          <w:color w:val="000000"/>
          <w:shd w:fill="FFFFFF" w:val="clear"/>
        </w:rPr>
        <w:t xml:space="preserve">Комплекс NICA: создание комплекса ускорителей, коллайдера и экспериментальных установок на встречных и выведенных пучках ионов для изучения плотной барионной материи, спиновой структуры нуклонов и легких ядер, проведения прикладных и инновационных работ. </w:t>
      </w:r>
    </w:p>
    <w:p>
      <w:pPr>
        <w:pStyle w:val="Normal"/>
        <w:spacing w:lineRule="atLeast" w:line="240"/>
        <w:jc w:val="both"/>
        <w:rPr/>
      </w:pPr>
      <w:r>
        <w:rPr>
          <w:b/>
          <w:bCs/>
        </w:rPr>
        <w:t>1.2.</w:t>
      </w:r>
      <w:r>
        <w:rPr>
          <w:b/>
        </w:rPr>
        <w:t xml:space="preserve">  Шифр проекта: 02-1-1065-3-2011/2025 </w:t>
      </w:r>
    </w:p>
    <w:p>
      <w:pPr>
        <w:pStyle w:val="Normal"/>
        <w:spacing w:lineRule="atLeast" w:line="240"/>
        <w:jc w:val="both"/>
        <w:rPr/>
      </w:pPr>
      <w:r>
        <w:rPr>
          <w:b/>
        </w:rPr>
        <w:t>1.3. Лаборатория Физики Высоких Энергий</w:t>
      </w:r>
    </w:p>
    <w:p>
      <w:pPr>
        <w:pStyle w:val="Normal"/>
        <w:spacing w:lineRule="atLeast" w:line="240"/>
        <w:ind w:left="426" w:hanging="426"/>
        <w:rPr>
          <w:b/>
        </w:rPr>
      </w:pPr>
      <w:r>
        <w:rPr>
          <w:b/>
        </w:rPr>
        <w:t xml:space="preserve">1.4. Научное направление: </w:t>
      </w:r>
      <w:r>
        <w:rPr>
          <w:b/>
          <w:bCs/>
        </w:rPr>
        <w:t xml:space="preserve">Крупная научно-исследовательская инфраструктура ОИЯИ </w:t>
      </w:r>
    </w:p>
    <w:p>
      <w:pPr>
        <w:pStyle w:val="Normal"/>
        <w:spacing w:lineRule="atLeast" w:line="240"/>
        <w:ind w:left="426" w:hanging="426"/>
        <w:rPr>
          <w:b/>
        </w:rPr>
      </w:pPr>
      <w:r>
        <w:rPr>
          <w:b/>
        </w:rPr>
        <w:t xml:space="preserve">1.5. Наименование проекта: Многоцелевой детектор </w:t>
      </w:r>
      <w:r>
        <w:rPr>
          <w:b/>
          <w:lang w:val="en-US"/>
        </w:rPr>
        <w:t>MPD</w:t>
      </w:r>
    </w:p>
    <w:p>
      <w:pPr>
        <w:pStyle w:val="Normal"/>
        <w:spacing w:lineRule="atLeast" w:line="240"/>
        <w:jc w:val="both"/>
        <w:rPr>
          <w:b/>
        </w:rPr>
      </w:pPr>
      <w:r>
        <w:rPr>
          <w:b/>
        </w:rPr>
        <w:t>1.6. Руководители проекта В.М.Головатюк, В.Д.Кекелидзе, В.Г.Рябов</w:t>
      </w:r>
    </w:p>
    <w:p>
      <w:pPr>
        <w:pStyle w:val="Normal"/>
        <w:spacing w:lineRule="atLeast" w:line="240"/>
        <w:jc w:val="both"/>
        <w:rPr>
          <w:b/>
          <w:bCs/>
        </w:rPr>
      </w:pPr>
      <w:r>
        <w:rPr>
          <w:b/>
          <w:bCs/>
        </w:rPr>
        <w:t>2. Научное обоснование и организационная структура</w:t>
      </w:r>
    </w:p>
    <w:p>
      <w:pPr>
        <w:pStyle w:val="Normal"/>
        <w:spacing w:lineRule="atLeast" w:line="240"/>
        <w:jc w:val="both"/>
        <w:rPr>
          <w:b/>
        </w:rPr>
      </w:pPr>
      <w:r>
        <w:rPr>
          <w:b/>
        </w:rPr>
        <w:t>2.1. Аннотация</w:t>
      </w:r>
    </w:p>
    <w:p>
      <w:pPr>
        <w:pStyle w:val="Normal"/>
        <w:spacing w:lineRule="atLeast" w:line="240"/>
        <w:jc w:val="both"/>
        <w:rPr>
          <w:bCs/>
        </w:rPr>
      </w:pPr>
      <w:r>
        <w:rPr>
          <w:bCs/>
        </w:rPr>
        <w:t xml:space="preserve">Основной целью проекта </w:t>
      </w:r>
      <w:r>
        <w:rPr>
          <w:bCs/>
          <w:lang w:val="en-US"/>
        </w:rPr>
        <w:t>MPD</w:t>
      </w:r>
      <w:r>
        <w:rPr>
          <w:bCs/>
        </w:rPr>
        <w:t xml:space="preserve"> является разработка и создание универсального детектора для изучения свойств сильновзаимодействующей̆ ядерной̆ материи при экстремальных барионных плотностях. Первая концепция MPD была представлена ​​в Письме о намерениях, выпущенном в феврале 2008 года, первая версия Концептуального проекта дизайна была выпущена в декабре 2009 года [1]. </w:t>
      </w:r>
    </w:p>
    <w:p>
      <w:pPr>
        <w:pStyle w:val="Normal"/>
        <w:spacing w:lineRule="atLeast" w:line="240"/>
        <w:jc w:val="both"/>
        <w:rPr>
          <w:b/>
        </w:rPr>
      </w:pPr>
      <w:r>
        <w:rPr>
          <w:b/>
        </w:rPr>
        <w:t xml:space="preserve">2.2. Научное обоснование. </w:t>
      </w:r>
    </w:p>
    <w:p>
      <w:pPr>
        <w:pStyle w:val="Normal"/>
        <w:spacing w:lineRule="atLeast" w:line="240"/>
        <w:jc w:val="both"/>
        <w:rPr>
          <w:bCs/>
        </w:rPr>
      </w:pPr>
      <w:r>
        <w:rPr>
          <w:bCs/>
        </w:rPr>
        <w:t>Ускорительно-накопительный комплекс коллайдера (</w:t>
      </w:r>
      <w:r>
        <w:rPr>
          <w:bCs/>
          <w:lang w:val="en-US"/>
        </w:rPr>
        <w:t>NICA</w:t>
      </w:r>
      <w:r>
        <w:rPr>
          <w:bCs/>
        </w:rPr>
        <w:t>) находится в стадии строительства в Объединенном институте ядерных исследований (ОИЯИ), ввод в эксплуатацию установки ожидается в конце 2025 года. Многоцелевой детектор (</w:t>
      </w:r>
      <w:r>
        <w:rPr>
          <w:bCs/>
          <w:lang w:val="en-US"/>
        </w:rPr>
        <w:t>MPD</w:t>
      </w:r>
      <w:r>
        <w:rPr>
          <w:bCs/>
        </w:rPr>
        <w:t xml:space="preserve">) является одним из двух специализированных экспериментов по столкновению тяжелых ионов в </w:t>
      </w:r>
      <w:r>
        <w:rPr>
          <w:bCs/>
          <w:lang w:val="en-US"/>
        </w:rPr>
        <w:t>NICA</w:t>
      </w:r>
      <w:r>
        <w:rPr>
          <w:bCs/>
        </w:rPr>
        <w:t>, и его компоненты в настоящее время находятся в производстве. Его основная научная цель — поиск новых явлений в богатой барионами области фазовой диаграммы КХД с помощью сталкивающихся пучков тяжелых ионов в диапазоне энергий 4 ГэВ ≤ √(</w:t>
      </w:r>
      <w:r>
        <w:rPr>
          <w:bCs/>
          <w:lang w:val="en-US"/>
        </w:rPr>
        <w:t>s</w:t>
      </w:r>
      <w:r>
        <w:rPr>
          <w:bCs/>
        </w:rPr>
        <w:t>_</w:t>
      </w:r>
      <w:r>
        <w:rPr>
          <w:bCs/>
          <w:lang w:val="en-US"/>
        </w:rPr>
        <w:t>NN</w:t>
      </w:r>
      <w:r>
        <w:rPr>
          <w:bCs/>
        </w:rPr>
        <w:t xml:space="preserve"> ) ≤ 11 ГэВ и/или изучение столкновений с фиксированной мишенью в диапазоне энергий 2,3 ГэВ ≤ √(</w:t>
      </w:r>
      <w:r>
        <w:rPr>
          <w:bCs/>
          <w:lang w:val="en-US"/>
        </w:rPr>
        <w:t>s</w:t>
      </w:r>
      <w:r>
        <w:rPr>
          <w:bCs/>
        </w:rPr>
        <w:t>_</w:t>
      </w:r>
      <w:r>
        <w:rPr>
          <w:bCs/>
          <w:lang w:val="en-US"/>
        </w:rPr>
        <w:t>NN</w:t>
      </w:r>
      <w:r>
        <w:rPr>
          <w:bCs/>
        </w:rPr>
        <w:t xml:space="preserve"> ) ≤ 3,5 ГэВ.</w:t>
      </w:r>
    </w:p>
    <w:p>
      <w:pPr>
        <w:pStyle w:val="Normal"/>
        <w:spacing w:lineRule="atLeast" w:line="240"/>
        <w:jc w:val="both"/>
        <w:rPr>
          <w:bCs/>
        </w:rPr>
      </w:pPr>
      <w:r>
        <w:rPr>
          <w:bCs/>
        </w:rPr>
      </w:r>
    </w:p>
    <w:p>
      <w:pPr>
        <w:pStyle w:val="Normal"/>
        <w:spacing w:lineRule="atLeast" w:line="240"/>
        <w:jc w:val="both"/>
        <w:rPr>
          <w:bCs/>
        </w:rPr>
      </w:pPr>
      <w:r>
        <w:rPr>
          <w:bCs/>
        </w:rPr>
        <w:t xml:space="preserve"> </w:t>
      </w:r>
      <w:r>
        <w:rPr>
          <w:bCs/>
        </w:rPr>
        <w:t>За последние 20 лет была проведена обширная исследовательская программа в области столкновений тяжелых ионов и был обнаружен ряд новых явлений. Имеются веские доказательства фазового перехода деконфайнмента в центральных столкновениях тяжелых ионов</w:t>
        <w:tab/>
        <w:t xml:space="preserve"> при энергиях SPS [2]. Обширные экспериментальные данные, собранные в ходе экспериментов RHIC [3], предполагают образование нового состояния плотной партонной материи — сильно взаимодействующей кварк-глюонной плазмы (sQGP). Однако принято считать, что для гораздо более чувствительного и детального изучения фазовой диаграммы КХД в области большого бариохимического потенциала μB требуется следующее поколение экспериментов с тяжелыми ионами [4]. Несколько ускорительных центров недавно начали новые программы с тяжелыми ионами: SPS в CERN [5], RHIC в BNL [6] и CBM в FAIR [7] можно рассматривать как дополнительные программы, направленные на изучение соответствующих физических проблем горячей и плотной барионной материи.</w:t>
      </w:r>
    </w:p>
    <w:p>
      <w:pPr>
        <w:pStyle w:val="Normal"/>
        <w:spacing w:lineRule="atLeast" w:line="240"/>
        <w:jc w:val="both"/>
        <w:rPr>
          <w:bCs/>
        </w:rPr>
      </w:pPr>
      <w:r>
        <w:rPr>
          <w:bCs/>
        </w:rPr>
        <w:t>Основными преимуществами проекта NICA/MPD является то, что ускорительная установка NICA предоставит широкий выбор пучков (от протонов до ионов золота) в диапазоне энергий, который охватывает начало деконфайнмента (энергия центра масс от 4 до 11 ГэВ). Высокая светимость NICA (L = 10</w:t>
      </w:r>
      <w:r>
        <w:rPr>
          <w:bCs/>
          <w:vertAlign w:val="superscript"/>
        </w:rPr>
        <w:t>27</w:t>
      </w:r>
      <w:r>
        <w:rPr>
          <w:bCs/>
        </w:rPr>
        <w:t xml:space="preserve"> см</w:t>
      </w:r>
      <w:r>
        <w:rPr>
          <w:bCs/>
          <w:vertAlign w:val="superscript"/>
        </w:rPr>
        <w:t>-2</w:t>
      </w:r>
      <w:r>
        <w:rPr>
          <w:bCs/>
        </w:rPr>
        <w:t xml:space="preserve"> с</w:t>
      </w:r>
      <w:r>
        <w:rPr>
          <w:bCs/>
          <w:vertAlign w:val="superscript"/>
        </w:rPr>
        <w:t>-1</w:t>
      </w:r>
      <w:r>
        <w:rPr>
          <w:bCs/>
        </w:rPr>
        <w:t xml:space="preserve">) допускает достаточно малые энергетические шаги  при сканировании по энергии столкновений, обеспечивает высокую скорость набора статистики. </w:t>
      </w:r>
    </w:p>
    <w:p>
      <w:pPr>
        <w:pStyle w:val="Normal"/>
        <w:spacing w:lineRule="atLeast" w:line="240"/>
        <w:jc w:val="both"/>
        <w:rPr>
          <w:b/>
        </w:rPr>
      </w:pPr>
      <w:r>
        <w:rPr>
          <w:b/>
        </w:rPr>
        <w:t>Ключевыми особенностями предлагаемой конструкции детектора MPD, позволяющими изучать ядерные столкновения с высокой точностью, являются:</w:t>
      </w:r>
    </w:p>
    <w:p>
      <w:pPr>
        <w:pStyle w:val="Normal"/>
        <w:spacing w:lineRule="atLeast" w:line="240"/>
        <w:jc w:val="both"/>
        <w:rPr>
          <w:bCs/>
        </w:rPr>
      </w:pPr>
      <w:r>
        <w:rPr>
          <w:bCs/>
        </w:rPr>
        <w:t xml:space="preserve">• </w:t>
      </w:r>
      <w:r>
        <w:rPr>
          <w:bCs/>
        </w:rPr>
        <w:t>Высокая частота столкновений (до 6 кГц) позволяет проводить очень тонкие измерения зависимости энергии и центральности любого интересующего явления</w:t>
      </w:r>
    </w:p>
    <w:p>
      <w:pPr>
        <w:pStyle w:val="Normal"/>
        <w:spacing w:lineRule="atLeast" w:line="240"/>
        <w:jc w:val="both"/>
        <w:rPr>
          <w:bCs/>
        </w:rPr>
      </w:pPr>
      <w:r>
        <w:rPr>
          <w:bCs/>
        </w:rPr>
        <w:t xml:space="preserve">• </w:t>
      </w:r>
      <w:r>
        <w:rPr>
          <w:bCs/>
        </w:rPr>
        <w:t>MPD имеет полное азимутальное покрытие и будет измерять большую часть импульсного диапазона в интервале псевдобыстрот -2 &lt; η &lt; 2.</w:t>
      </w:r>
    </w:p>
    <w:p>
      <w:pPr>
        <w:pStyle w:val="Normal"/>
        <w:spacing w:lineRule="atLeast" w:line="240"/>
        <w:jc w:val="both"/>
        <w:rPr>
          <w:bCs/>
        </w:rPr>
      </w:pPr>
      <w:r>
        <w:rPr>
          <w:bCs/>
        </w:rPr>
        <w:t xml:space="preserve">• </w:t>
      </w:r>
      <w:r>
        <w:rPr>
          <w:bCs/>
        </w:rPr>
        <w:t xml:space="preserve">Для идентификации частиц используется трековая информация с </w:t>
      </w:r>
      <w:r>
        <w:rPr>
          <w:bCs/>
          <w:lang w:val="en-US"/>
        </w:rPr>
        <w:t>TPC</w:t>
      </w:r>
      <w:r>
        <w:rPr>
          <w:bCs/>
        </w:rPr>
        <w:t xml:space="preserve"> в магнитном поле для реконструкции импульса частиц, информация </w:t>
      </w:r>
      <w:r>
        <w:rPr>
          <w:bCs/>
          <w:lang w:val="en-US"/>
        </w:rPr>
        <w:t>c</w:t>
      </w:r>
      <w:r>
        <w:rPr>
          <w:bCs/>
        </w:rPr>
        <w:t xml:space="preserve"> </w:t>
      </w:r>
      <w:r>
        <w:rPr>
          <w:bCs/>
          <w:lang w:val="en-US"/>
        </w:rPr>
        <w:t>TPC</w:t>
      </w:r>
      <w:r>
        <w:rPr>
          <w:bCs/>
        </w:rPr>
        <w:t xml:space="preserve"> об ионизационных потерях и измерения времени пролета частиц, померенные при помощи </w:t>
      </w:r>
      <w:r>
        <w:rPr>
          <w:bCs/>
          <w:lang w:val="en-US"/>
        </w:rPr>
        <w:t>TOF</w:t>
      </w:r>
      <w:r>
        <w:rPr>
          <w:bCs/>
        </w:rPr>
        <w:t>. Также используются данные с электромагнитного калориметра для реконструкции фотонов и электронов с хорошим временным и энергетическим разрешением.</w:t>
      </w:r>
    </w:p>
    <w:p>
      <w:pPr>
        <w:pStyle w:val="Normal"/>
        <w:spacing w:lineRule="atLeast" w:line="240"/>
        <w:jc w:val="both"/>
        <w:rPr>
          <w:bCs/>
        </w:rPr>
      </w:pPr>
      <w:r>
        <w:rPr>
          <w:bCs/>
        </w:rPr>
        <w:t xml:space="preserve">Существующее международное сотрудничество, направленное на реализацию проекта, состоит из около 450 ученых из 16 институтов из России и зарубежья. </w:t>
      </w:r>
    </w:p>
    <w:p>
      <w:pPr>
        <w:pStyle w:val="17"/>
        <w:shd w:val="clear" w:color="auto" w:fill="auto"/>
        <w:spacing w:lineRule="exact" w:line="288" w:before="0" w:after="120"/>
        <w:ind w:hanging="0"/>
        <w:rPr>
          <w:sz w:val="24"/>
          <w:szCs w:val="24"/>
        </w:rPr>
      </w:pPr>
      <w:r>
        <w:rPr>
          <w:sz w:val="24"/>
          <w:szCs w:val="24"/>
          <w:lang w:bidi="ru-RU"/>
        </w:rPr>
        <w:t xml:space="preserve"> </w:t>
      </w:r>
      <w:r>
        <w:rPr>
          <w:sz w:val="24"/>
          <w:szCs w:val="24"/>
        </w:rPr>
        <w:t>Планируется изучать следующие процессы:</w:t>
      </w:r>
    </w:p>
    <w:p>
      <w:pPr>
        <w:pStyle w:val="17"/>
        <w:numPr>
          <w:ilvl w:val="0"/>
          <w:numId w:val="2"/>
        </w:numPr>
        <w:shd w:val="clear" w:color="auto" w:fill="auto"/>
        <w:spacing w:lineRule="exact" w:line="288" w:before="0" w:after="0"/>
        <w:rPr>
          <w:sz w:val="24"/>
          <w:szCs w:val="24"/>
        </w:rPr>
      </w:pPr>
      <w:r>
        <w:rPr>
          <w:sz w:val="24"/>
          <w:szCs w:val="24"/>
        </w:rPr>
        <w:t xml:space="preserve">выход странных частиц, барионов и антибарионов; </w:t>
      </w:r>
    </w:p>
    <w:p>
      <w:pPr>
        <w:pStyle w:val="17"/>
        <w:numPr>
          <w:ilvl w:val="0"/>
          <w:numId w:val="2"/>
        </w:numPr>
        <w:shd w:val="clear" w:color="auto" w:fill="auto"/>
        <w:spacing w:lineRule="exact" w:line="288" w:before="0" w:after="0"/>
        <w:rPr>
          <w:sz w:val="24"/>
          <w:szCs w:val="24"/>
        </w:rPr>
      </w:pPr>
      <w:r>
        <w:rPr>
          <w:sz w:val="24"/>
          <w:szCs w:val="24"/>
        </w:rPr>
        <w:t>пособытийную флуктуацию множественного рождения частиц, поперечного импульса, отношения выходов частиц;</w:t>
      </w:r>
    </w:p>
    <w:p>
      <w:pPr>
        <w:pStyle w:val="17"/>
        <w:numPr>
          <w:ilvl w:val="0"/>
          <w:numId w:val="2"/>
        </w:numPr>
        <w:shd w:val="clear" w:color="auto" w:fill="auto"/>
        <w:spacing w:lineRule="exact" w:line="288" w:before="0" w:after="0"/>
        <w:rPr>
          <w:sz w:val="24"/>
          <w:szCs w:val="24"/>
        </w:rPr>
      </w:pPr>
      <w:r>
        <w:rPr>
          <w:sz w:val="24"/>
          <w:szCs w:val="24"/>
        </w:rPr>
        <w:t>анизотропные и коллективные потоки;</w:t>
      </w:r>
    </w:p>
    <w:p>
      <w:pPr>
        <w:pStyle w:val="17"/>
        <w:numPr>
          <w:ilvl w:val="0"/>
          <w:numId w:val="2"/>
        </w:numPr>
        <w:shd w:val="clear" w:color="auto" w:fill="auto"/>
        <w:spacing w:lineRule="exact" w:line="288" w:before="0" w:after="0"/>
        <w:rPr>
          <w:sz w:val="24"/>
          <w:szCs w:val="24"/>
        </w:rPr>
      </w:pPr>
      <w:r>
        <w:rPr>
          <w:sz w:val="24"/>
          <w:szCs w:val="24"/>
        </w:rPr>
        <w:t>импульсные корреляции (фемтоскопия);</w:t>
      </w:r>
    </w:p>
    <w:p>
      <w:pPr>
        <w:pStyle w:val="17"/>
        <w:numPr>
          <w:ilvl w:val="0"/>
          <w:numId w:val="2"/>
        </w:numPr>
        <w:shd w:val="clear" w:color="auto" w:fill="auto"/>
        <w:spacing w:lineRule="auto" w:line="240" w:before="0" w:after="0"/>
        <w:ind w:left="828" w:hanging="357"/>
        <w:rPr>
          <w:sz w:val="24"/>
          <w:szCs w:val="24"/>
        </w:rPr>
      </w:pPr>
      <w:r>
        <w:rPr>
          <w:sz w:val="24"/>
          <w:szCs w:val="24"/>
        </w:rPr>
        <w:t>рождение лептонных пар и мягких фотонов;</w:t>
      </w:r>
    </w:p>
    <w:p>
      <w:pPr>
        <w:pStyle w:val="17"/>
        <w:numPr>
          <w:ilvl w:val="0"/>
          <w:numId w:val="2"/>
        </w:numPr>
        <w:shd w:val="clear" w:color="auto" w:fill="auto"/>
        <w:spacing w:lineRule="auto" w:line="240" w:before="0" w:after="120"/>
        <w:ind w:left="828" w:hanging="357"/>
        <w:rPr>
          <w:sz w:val="24"/>
          <w:szCs w:val="24"/>
        </w:rPr>
      </w:pPr>
      <w:r>
        <w:rPr>
          <w:sz w:val="24"/>
          <w:szCs w:val="24"/>
        </w:rPr>
        <w:t>поляризационные явления.</w:t>
      </w:r>
    </w:p>
    <w:p>
      <w:pPr>
        <w:pStyle w:val="17"/>
        <w:shd w:val="clear" w:color="auto" w:fill="auto"/>
        <w:spacing w:lineRule="exact" w:line="288" w:before="0" w:after="120"/>
        <w:ind w:left="20" w:firstLine="360"/>
        <w:rPr>
          <w:sz w:val="24"/>
          <w:szCs w:val="24"/>
        </w:rPr>
      </w:pPr>
      <w:r>
        <w:rPr>
          <w:sz w:val="24"/>
          <w:szCs w:val="24"/>
        </w:rPr>
        <w:t>Для проведения указанных исследований детекторы установки должны обеспечить эффективную иден</w:t>
        <w:softHyphen/>
        <w:t>тификацию продуктов соударения ядер и измерение их параметров при высоких за</w:t>
        <w:softHyphen/>
        <w:t xml:space="preserve">грузках в широком диапазоне фазового пространства. </w:t>
      </w:r>
    </w:p>
    <w:p>
      <w:pPr>
        <w:pStyle w:val="ListParagraph"/>
        <w:tabs>
          <w:tab w:val="clear" w:pos="708"/>
          <w:tab w:val="left" w:pos="851" w:leader="none"/>
        </w:tabs>
        <w:suppressAutoHyphens w:val="true"/>
        <w:spacing w:lineRule="auto" w:line="240" w:before="0" w:after="120"/>
        <w:ind w:left="426" w:hanging="0"/>
        <w:contextualSpacing/>
        <w:rPr>
          <w:rFonts w:eastAsia="" w:eastAsiaTheme="minorEastAsia"/>
          <w:b/>
          <w:iCs/>
          <w:lang w:eastAsia="ja-JP"/>
        </w:rPr>
      </w:pPr>
      <w:r>
        <w:rPr>
          <w:rFonts w:eastAsia="" w:eastAsiaTheme="minorEastAsia"/>
          <w:b/>
          <w:iCs/>
          <w:lang w:eastAsia="ja-JP"/>
        </w:rPr>
        <w:t>Общий дизайн установки</w:t>
      </w:r>
    </w:p>
    <w:p>
      <w:pPr>
        <w:pStyle w:val="17"/>
        <w:shd w:val="clear" w:color="auto" w:fill="auto"/>
        <w:spacing w:lineRule="exact" w:line="288" w:before="0" w:after="0"/>
        <w:ind w:firstLine="567"/>
        <w:rPr>
          <w:sz w:val="24"/>
        </w:rPr>
      </w:pPr>
      <w:r>
        <w:rPr>
          <w:sz w:val="24"/>
        </w:rPr>
        <w:t>Установка должна включать:</w:t>
      </w:r>
    </w:p>
    <w:p>
      <w:pPr>
        <w:pStyle w:val="17"/>
        <w:shd w:val="clear" w:color="auto" w:fill="auto"/>
        <w:tabs>
          <w:tab w:val="clear" w:pos="708"/>
          <w:tab w:val="left" w:pos="851" w:leader="none"/>
        </w:tabs>
        <w:spacing w:lineRule="exact" w:line="288" w:before="0" w:after="0"/>
        <w:ind w:left="20" w:firstLine="689"/>
        <w:rPr>
          <w:sz w:val="24"/>
        </w:rPr>
      </w:pPr>
      <w:r>
        <w:rPr>
          <w:sz w:val="24"/>
        </w:rPr>
        <w:t>- систему измерения импульса частиц в диапазоне р = 0,1 – 2 ГэВ;</w:t>
      </w:r>
    </w:p>
    <w:p>
      <w:pPr>
        <w:pStyle w:val="17"/>
        <w:shd w:val="clear" w:color="auto" w:fill="auto"/>
        <w:tabs>
          <w:tab w:val="clear" w:pos="708"/>
          <w:tab w:val="left" w:pos="851" w:leader="none"/>
        </w:tabs>
        <w:spacing w:lineRule="exact" w:line="288" w:before="0" w:after="0"/>
        <w:ind w:left="851" w:hanging="142"/>
        <w:rPr>
          <w:sz w:val="24"/>
        </w:rPr>
      </w:pPr>
      <w:r>
        <w:rPr>
          <w:sz w:val="24"/>
        </w:rPr>
        <w:t>- систему идентификации частиц для разделения протонов, π-мезонов, К-мезонов и электронов в диапазоне импульсов 0,1 - 3 ГэВ/с;</w:t>
      </w:r>
    </w:p>
    <w:p>
      <w:pPr>
        <w:pStyle w:val="17"/>
        <w:shd w:val="clear" w:color="auto" w:fill="auto"/>
        <w:tabs>
          <w:tab w:val="clear" w:pos="708"/>
          <w:tab w:val="left" w:pos="851" w:leader="none"/>
        </w:tabs>
        <w:spacing w:lineRule="exact" w:line="288" w:before="0" w:after="0"/>
        <w:ind w:left="851" w:hanging="142"/>
        <w:rPr>
          <w:sz w:val="24"/>
        </w:rPr>
      </w:pPr>
      <w:r>
        <w:rPr>
          <w:sz w:val="24"/>
        </w:rPr>
        <w:t>- систему восстановления первичной вершины взаимодействия с точность 100-200 мкм и вторичных вершин распада с точностью 10-20 мкм;</w:t>
      </w:r>
    </w:p>
    <w:p>
      <w:pPr>
        <w:pStyle w:val="17"/>
        <w:shd w:val="clear" w:color="auto" w:fill="auto"/>
        <w:tabs>
          <w:tab w:val="clear" w:pos="708"/>
          <w:tab w:val="left" w:pos="851" w:leader="none"/>
        </w:tabs>
        <w:spacing w:lineRule="exact" w:line="288" w:before="0" w:after="120"/>
        <w:ind w:left="851" w:hanging="142"/>
        <w:rPr>
          <w:sz w:val="24"/>
        </w:rPr>
      </w:pPr>
      <w:r>
        <w:rPr>
          <w:sz w:val="24"/>
        </w:rPr>
        <w:t>- возможность регистрации гамма-квантов в диапазоне энергий 50 – 2000 МэВ;</w:t>
      </w:r>
    </w:p>
    <w:p>
      <w:pPr>
        <w:pStyle w:val="17"/>
        <w:shd w:val="clear" w:color="auto" w:fill="auto"/>
        <w:spacing w:lineRule="exact" w:line="288" w:before="0" w:after="0"/>
        <w:ind w:left="20" w:firstLine="547"/>
        <w:rPr>
          <w:sz w:val="24"/>
        </w:rPr>
      </w:pPr>
      <w:r>
        <w:rPr>
          <w:sz w:val="24"/>
        </w:rPr>
        <w:t>Установка должна перекрывать близкую к 4π геометрию. Для точного измерения импульса частиц трековая система должна работать в однородном магнитном поле с индукцией 0,2 - 0,5 Тл. Очевидно, что для получения такого поля в указанном объеме предпочтительно использовать сверхпроводящий магнит соленоидального типа.</w:t>
      </w:r>
    </w:p>
    <w:p>
      <w:pPr>
        <w:pStyle w:val="17"/>
        <w:shd w:val="clear" w:color="auto" w:fill="auto"/>
        <w:spacing w:lineRule="exact" w:line="288" w:before="0" w:after="120"/>
        <w:ind w:left="23" w:firstLine="544"/>
        <w:rPr>
          <w:sz w:val="24"/>
          <w:lang w:bidi="ru-RU"/>
        </w:rPr>
      </w:pPr>
      <w:r>
        <mc:AlternateContent>
          <mc:Choice Requires="wpg">
            <w:drawing>
              <wp:anchor behindDoc="0" distT="0" distB="2540" distL="114300" distR="114300" simplePos="0" locked="0" layoutInCell="0" allowOverlap="1" relativeHeight="3" wp14:anchorId="123E4C62">
                <wp:simplePos x="0" y="0"/>
                <wp:positionH relativeFrom="column">
                  <wp:posOffset>914400</wp:posOffset>
                </wp:positionH>
                <wp:positionV relativeFrom="paragraph">
                  <wp:posOffset>1234440</wp:posOffset>
                </wp:positionV>
                <wp:extent cx="3434080" cy="3224530"/>
                <wp:effectExtent l="0" t="0" r="0" b="1270"/>
                <wp:wrapTopAndBottom/>
                <wp:docPr id="1" name="Группа 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4040" cy="3224520"/>
                          <a:chOff x="0" y="0"/>
                          <a:chExt cx="3434040" cy="3224520"/>
                        </a:xfrm>
                      </wpg:grpSpPr>
                      <pic:pic xmlns:pic="http://schemas.openxmlformats.org/drawingml/2006/picture">
                        <pic:nvPicPr>
                          <pic:cNvPr id="2" name="Рисунок 3" descr=""/>
                          <pic:cNvPicPr/>
                        </pic:nvPicPr>
                        <pic:blipFill>
                          <a:blip r:embed="rId2"/>
                          <a:stretch/>
                        </pic:blipFill>
                        <pic:spPr>
                          <a:xfrm>
                            <a:off x="0" y="0"/>
                            <a:ext cx="3343320" cy="29278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3" name="Надпись 6"/>
                        <wps:cNvSpPr/>
                        <wps:spPr>
                          <a:xfrm>
                            <a:off x="90720" y="2983320"/>
                            <a:ext cx="3343320" cy="241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pStyle w:val="Caption"/>
                                <w:spacing w:before="120" w:after="120"/>
                                <w:rPr>
                                  <w:rFonts w:ascii="Times New Roman" w:hAnsi="Times New Roman"/>
                                  <w:i w:val="false"/>
                                  <w:i w:val="false"/>
                                  <w:iCs w:val="fals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false"/>
                                  <w:iCs w:val="false"/>
                                </w:rPr>
                                <w:t xml:space="preserve">Рис. 1 Схема установки </w:t>
                              </w:r>
                              <w:r>
                                <w:rPr>
                                  <w:rFonts w:ascii="Times New Roman" w:hAnsi="Times New Roman"/>
                                  <w:i w:val="false"/>
                                  <w:iCs w:val="false"/>
                                  <w:lang w:val="en-US"/>
                                </w:rPr>
                                <w:t>MPD</w:t>
                              </w:r>
                              <w:r>
                                <w:rPr>
                                  <w:rFonts w:ascii="Times New Roman" w:hAnsi="Times New Roman"/>
                                  <w:i w:val="false"/>
                                  <w:iCs w:val="false"/>
                                </w:rPr>
                                <w:t>, полный вариант.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Группа 7" style="position:absolute;margin-left:72pt;margin-top:97.2pt;width:270.4pt;height:253.9pt" coordorigin="1440,1944" coordsize="5408,507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ID="Рисунок 3" stroked="f" o:allowincell="f" style="position:absolute;left:1440;top:1944;width:5264;height:4610;mso-wrap-style:none;v-text-anchor:middle" type="_x0000_t75">
                  <v:imagedata r:id="rId3" o:detectmouseclick="t"/>
                  <v:stroke color="#3465a4" joinstyle="round" endcap="flat"/>
                  <w10:wrap type="topAndBottom"/>
                </v:shape>
                <v:rect id="shape_0" ID="Надпись 6" path="m0,0l-2147483645,0l-2147483645,-2147483646l0,-2147483646xe" fillcolor="white" stroked="f" o:allowincell="f" style="position:absolute;left:1583;top:6642;width:5264;height:379;mso-wrap-style:square;v-text-anchor:top">
                  <v:fill o:detectmouseclick="t" type="solid" color2="black"/>
                  <v:stroke color="#3465a4" joinstyle="round" endcap="flat"/>
                  <v:textbox>
                    <w:txbxContent>
                      <w:p>
                        <w:pPr>
                          <w:pStyle w:val="Caption"/>
                          <w:spacing w:before="120" w:after="120"/>
                          <w:rPr>
                            <w:rFonts w:ascii="Times New Roman" w:hAnsi="Times New Roman"/>
                            <w:i w:val="false"/>
                            <w:i w:val="false"/>
                            <w:iCs w:val="false"/>
                          </w:rPr>
                        </w:pPr>
                        <w:r>
                          <w:rPr>
                            <w:rFonts w:ascii="Times New Roman" w:hAnsi="Times New Roman"/>
                            <w:i w:val="false"/>
                            <w:iCs w:val="false"/>
                          </w:rPr>
                          <w:t xml:space="preserve">Рис. 1 Схема установки </w:t>
                        </w:r>
                        <w:r>
                          <w:rPr>
                            <w:rFonts w:ascii="Times New Roman" w:hAnsi="Times New Roman"/>
                            <w:i w:val="false"/>
                            <w:iCs w:val="false"/>
                            <w:lang w:val="en-US"/>
                          </w:rPr>
                          <w:t>MPD</w:t>
                        </w:r>
                        <w:r>
                          <w:rPr>
                            <w:rFonts w:ascii="Times New Roman" w:hAnsi="Times New Roman"/>
                            <w:i w:val="false"/>
                            <w:iCs w:val="false"/>
                          </w:rPr>
                          <w:t>, полный вариант.</w:t>
                        </w:r>
                      </w:p>
                    </w:txbxContent>
                  </v:textbox>
                  <w10:wrap type="topAndBottom"/>
                </v:rect>
              </v:group>
            </w:pict>
          </mc:Fallback>
        </mc:AlternateContent>
      </w:r>
      <w:r>
        <w:rPr>
          <w:sz w:val="24"/>
        </w:rPr>
        <w:t xml:space="preserve">Установка MPD, отвечающая таким требованиям представлена на Рис.1.                                                   Детектор должен состоять из цилиндрической и двух торцевых частей. Все они расположены в магнитном поле. Цилиндрическая часть состоит из различных типов детекторов, расположенных вокруг области столкновения пучков, которые </w:t>
      </w:r>
      <w:r>
        <w:rPr>
          <w:sz w:val="24"/>
          <w:lang w:bidi="ru-RU"/>
        </w:rPr>
        <w:t xml:space="preserve">включают трековую систему, времяпролетную систему и электромагнитный калориметр. </w:t>
      </w:r>
    </w:p>
    <w:p>
      <w:pPr>
        <w:pStyle w:val="ListParagraph"/>
        <w:tabs>
          <w:tab w:val="clear" w:pos="708"/>
          <w:tab w:val="left" w:pos="851" w:leader="none"/>
        </w:tabs>
        <w:suppressAutoHyphens w:val="true"/>
        <w:spacing w:lineRule="auto" w:line="240" w:before="0" w:after="120"/>
        <w:ind w:left="426" w:hanging="0"/>
        <w:contextualSpacing/>
        <w:rPr>
          <w:rFonts w:eastAsia="" w:eastAsiaTheme="minorEastAsia"/>
          <w:b/>
          <w:iCs/>
          <w:lang w:eastAsia="ja-JP"/>
        </w:rPr>
      </w:pPr>
      <w:r>
        <w:rPr>
          <w:rFonts w:eastAsia="" w:eastAsiaTheme="minorEastAsia"/>
          <w:b/>
          <w:iCs/>
          <w:lang w:eastAsia="ja-JP"/>
        </w:rPr>
        <w:t>Назначение и описание детекторов установки</w:t>
      </w:r>
    </w:p>
    <w:p>
      <w:pPr>
        <w:pStyle w:val="17"/>
        <w:shd w:val="clear" w:color="auto" w:fill="auto"/>
        <w:spacing w:lineRule="exact" w:line="288" w:before="0" w:after="120"/>
        <w:ind w:left="23" w:firstLine="544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В качестве основной трековой системы выбрана время-проекционная дрейфовая камера (ТРС). Ее должна дополнять внутренняя трековая система на основе кремниевых полупроводниковых детекторов (</w:t>
      </w:r>
      <w:r>
        <w:rPr>
          <w:color w:val="000000"/>
          <w:sz w:val="24"/>
          <w:szCs w:val="24"/>
          <w:lang w:eastAsia="ru-RU" w:bidi="en-US"/>
        </w:rPr>
        <w:t>IT</w:t>
      </w:r>
      <w:r>
        <w:rPr>
          <w:color w:val="000000"/>
          <w:sz w:val="24"/>
          <w:szCs w:val="24"/>
          <w:lang w:eastAsia="ru-RU" w:bidi="ru-RU"/>
        </w:rPr>
        <w:t>), окружающих область соударения пучков. Оба детектора обеспечат точное восстановление треков частиц и их импульсов, а также определение вершин распада частиц. Внутренний детектор должен иметь как минимум 5 слоев, окружающих область взаимодействия пучков для восстановления вторичных вершин короткоживущих частиц типа тяжелых гиперонов.</w:t>
      </w:r>
    </w:p>
    <w:p>
      <w:pPr>
        <w:pStyle w:val="17"/>
        <w:shd w:val="clear" w:color="auto" w:fill="auto"/>
        <w:spacing w:lineRule="exact" w:line="288" w:before="0" w:after="120"/>
        <w:ind w:left="23" w:firstLine="544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>Для идентификации частиц в дополнение к TPC нужна прецизионная времяпролетная система (</w:t>
      </w:r>
      <w:r>
        <w:rPr>
          <w:color w:val="000000"/>
          <w:sz w:val="24"/>
          <w:szCs w:val="24"/>
          <w:lang w:eastAsia="ru-RU" w:bidi="en-US"/>
        </w:rPr>
        <w:t>TOF</w:t>
      </w:r>
      <w:r>
        <w:rPr>
          <w:color w:val="000000"/>
          <w:sz w:val="24"/>
          <w:szCs w:val="24"/>
          <w:lang w:eastAsia="ru-RU" w:bidi="ru-RU"/>
        </w:rPr>
        <w:t>), которая должна обеспечить идентификацию заряженных частиц с импульсами до 2 ГэВ/</w:t>
      </w:r>
      <w:r>
        <w:rPr>
          <w:color w:val="000000"/>
          <w:sz w:val="24"/>
          <w:szCs w:val="24"/>
          <w:lang w:eastAsia="ru-RU" w:bidi="en-US"/>
        </w:rPr>
        <w:t>c</w:t>
      </w:r>
      <w:r>
        <w:rPr>
          <w:color w:val="000000"/>
          <w:sz w:val="24"/>
          <w:szCs w:val="24"/>
          <w:lang w:eastAsia="ru-RU" w:bidi="ru-RU"/>
        </w:rPr>
        <w:t xml:space="preserve"> в широкой области псевдобыстрот. Для TOF системы понадобиться быстрый передний детектор (</w:t>
      </w:r>
      <w:r>
        <w:rPr>
          <w:color w:val="000000"/>
          <w:sz w:val="24"/>
          <w:szCs w:val="24"/>
          <w:lang w:eastAsia="ru-RU" w:bidi="en-US"/>
        </w:rPr>
        <w:t>FD</w:t>
      </w:r>
      <w:r>
        <w:rPr>
          <w:color w:val="000000"/>
          <w:sz w:val="24"/>
          <w:szCs w:val="24"/>
          <w:lang w:eastAsia="ru-RU" w:bidi="ru-RU"/>
        </w:rPr>
        <w:t>), который обеспечивает стартовый сигнал для времяпролетной системы и временное разрешение не хуже 30 пс.</w:t>
      </w:r>
    </w:p>
    <w:p>
      <w:pPr>
        <w:pStyle w:val="17"/>
        <w:shd w:val="clear" w:color="auto" w:fill="auto"/>
        <w:spacing w:lineRule="exact" w:line="288" w:before="0" w:after="120"/>
        <w:ind w:left="23" w:firstLine="544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Для идентификации электронов и фотонов, а также измерения их энергии необходим электромагнитный калориметр (ЕМС). Высокая гранулярность калориметра наряду с хорошим энергетическим и временным разрешением существенно улучшит возможности идентификации частиц в детекторе </w:t>
      </w:r>
      <w:r>
        <w:rPr>
          <w:color w:val="000000"/>
          <w:sz w:val="24"/>
          <w:szCs w:val="24"/>
          <w:lang w:bidi="en-US"/>
        </w:rPr>
        <w:t xml:space="preserve">MPD. Оптимальная по конструкции и цене </w:t>
      </w:r>
      <w:r>
        <w:rPr>
          <w:color w:val="000000"/>
          <w:sz w:val="24"/>
          <w:szCs w:val="24"/>
          <w:lang w:eastAsia="ru-RU" w:bidi="ru-RU"/>
        </w:rPr>
        <w:t>конструкции калориметра основывается на многослойной сборке поглотитель-детектор типа “шашлык”.</w:t>
      </w:r>
    </w:p>
    <w:p>
      <w:pPr>
        <w:pStyle w:val="17"/>
        <w:shd w:val="clear" w:color="auto" w:fill="auto"/>
        <w:spacing w:lineRule="exact" w:line="288" w:before="0" w:after="120"/>
        <w:ind w:left="23" w:firstLine="544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>Дня расширения области регистрации частиц в передней области (область псевдобыстрот |</w:t>
      </w:r>
      <w:r>
        <w:rPr>
          <w:i/>
          <w:iCs/>
          <w:color w:val="000000"/>
          <w:sz w:val="24"/>
          <w:szCs w:val="24"/>
          <w:lang w:eastAsia="ru-RU" w:bidi="ru-RU"/>
        </w:rPr>
        <w:t>η</w:t>
      </w:r>
      <w:r>
        <w:rPr>
          <w:color w:val="000000"/>
          <w:sz w:val="24"/>
          <w:szCs w:val="24"/>
          <w:lang w:eastAsia="ru-RU" w:bidi="ru-RU"/>
        </w:rPr>
        <w:t>|</w:t>
      </w:r>
      <w:r>
        <w:rPr>
          <w:i/>
          <w:iCs/>
          <w:color w:val="000000"/>
          <w:sz w:val="24"/>
          <w:szCs w:val="24"/>
          <w:lang w:eastAsia="ru-RU" w:bidi="ru-RU"/>
        </w:rPr>
        <w:t xml:space="preserve"> &gt;</w:t>
      </w:r>
      <w:r>
        <w:rPr>
          <w:color w:val="000000"/>
          <w:sz w:val="24"/>
          <w:szCs w:val="24"/>
          <w:lang w:eastAsia="ru-RU" w:bidi="ru-RU"/>
        </w:rPr>
        <w:t xml:space="preserve"> 2, где трековая эффективность ТРС уменьшается, должны быть предусмотрены торцевые трековые системы (ЕСТ) на основе пропорциональных трубок типа строу, пропорциональных камер с катодным считыванием или детекторов на базе GEM структур. Трековые системы (ЕСТ) должны быть расположены на обоих торцах </w:t>
      </w:r>
      <w:r>
        <w:rPr>
          <w:color w:val="000000"/>
          <w:sz w:val="24"/>
          <w:szCs w:val="24"/>
          <w:lang w:bidi="en-US"/>
        </w:rPr>
        <w:t xml:space="preserve">MPD </w:t>
      </w:r>
      <w:r>
        <w:rPr>
          <w:color w:val="000000"/>
          <w:sz w:val="24"/>
          <w:szCs w:val="24"/>
          <w:lang w:eastAsia="ru-RU" w:bidi="ru-RU"/>
        </w:rPr>
        <w:t xml:space="preserve">непосредственно за считывающими камерами ТРС. Для идентификации частиц в диапазоне </w:t>
      </w:r>
      <w:r>
        <w:rPr>
          <w:iCs/>
          <w:color w:val="000000"/>
          <w:sz w:val="24"/>
          <w:szCs w:val="24"/>
          <w:lang w:eastAsia="ru-RU" w:bidi="ru-RU"/>
        </w:rPr>
        <w:t xml:space="preserve">углов    </w:t>
      </w:r>
      <w:r>
        <w:rPr>
          <w:color w:val="000000"/>
          <w:sz w:val="24"/>
          <w:szCs w:val="24"/>
          <w:lang w:eastAsia="ru-RU" w:bidi="ru-RU"/>
        </w:rPr>
        <w:t>|</w:t>
      </w:r>
      <w:r>
        <w:rPr>
          <w:i/>
          <w:color w:val="000000"/>
          <w:sz w:val="24"/>
          <w:szCs w:val="24"/>
          <w:lang w:eastAsia="ru-RU" w:bidi="ru-RU"/>
        </w:rPr>
        <w:t>η| </w:t>
      </w:r>
      <w:r>
        <w:rPr>
          <w:sz w:val="24"/>
          <w:szCs w:val="24"/>
        </w:rPr>
        <w:t xml:space="preserve">&gt; 1,2 предполагается также использовать времяпролетную систему и электромагнитные калориметры, подобные по типу таким системам в цилиндрической части MPD. </w:t>
      </w:r>
    </w:p>
    <w:p>
      <w:pPr>
        <w:pStyle w:val="17"/>
        <w:shd w:val="clear" w:color="auto" w:fill="auto"/>
        <w:spacing w:lineRule="exact" w:line="288" w:before="0" w:after="120"/>
        <w:ind w:left="23" w:firstLine="544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>Для регистрации частиц, испущенных под очень малыми углами 1,2 &lt; |</w:t>
      </w:r>
      <w:r>
        <w:rPr>
          <w:i/>
          <w:iCs/>
          <w:color w:val="000000"/>
          <w:sz w:val="24"/>
          <w:szCs w:val="24"/>
          <w:lang w:eastAsia="ru-RU" w:bidi="ru-RU"/>
        </w:rPr>
        <w:t>η</w:t>
      </w:r>
      <w:r>
        <w:rPr>
          <w:color w:val="000000"/>
          <w:sz w:val="24"/>
          <w:szCs w:val="24"/>
          <w:lang w:eastAsia="ru-RU" w:bidi="ru-RU"/>
        </w:rPr>
        <w:t>|</w:t>
      </w:r>
      <w:r>
        <w:rPr>
          <w:i/>
          <w:iCs/>
          <w:color w:val="000000"/>
          <w:sz w:val="24"/>
          <w:szCs w:val="24"/>
          <w:lang w:eastAsia="ru-RU" w:bidi="ru-RU"/>
        </w:rPr>
        <w:t xml:space="preserve"> &lt;</w:t>
      </w:r>
      <w:r>
        <w:rPr>
          <w:color w:val="000000"/>
          <w:sz w:val="24"/>
          <w:szCs w:val="24"/>
          <w:lang w:eastAsia="ru-RU" w:bidi="ru-RU"/>
        </w:rPr>
        <w:t xml:space="preserve"> 2, используются быстрые передние детекторы </w:t>
      </w:r>
      <w:r>
        <w:rPr>
          <w:color w:val="000000"/>
          <w:sz w:val="24"/>
          <w:szCs w:val="24"/>
          <w:lang w:bidi="en-US"/>
        </w:rPr>
        <w:t xml:space="preserve">(FD) </w:t>
      </w:r>
      <w:r>
        <w:rPr>
          <w:color w:val="000000"/>
          <w:sz w:val="24"/>
          <w:szCs w:val="24"/>
          <w:lang w:eastAsia="ru-RU" w:bidi="ru-RU"/>
        </w:rPr>
        <w:t xml:space="preserve">и адронные калориметры </w:t>
      </w:r>
      <w:r>
        <w:rPr>
          <w:color w:val="000000"/>
          <w:sz w:val="24"/>
          <w:szCs w:val="24"/>
          <w:lang w:bidi="en-US"/>
        </w:rPr>
        <w:t xml:space="preserve">(FHCal). </w:t>
      </w:r>
      <w:r>
        <w:rPr>
          <w:color w:val="000000"/>
          <w:sz w:val="24"/>
          <w:szCs w:val="24"/>
          <w:lang w:eastAsia="ru-RU" w:bidi="ru-RU"/>
        </w:rPr>
        <w:t xml:space="preserve">Перечисленные детекторы используются в триггере, для определения центральности соударения и восстановления точки взаимодействия </w:t>
      </w:r>
      <w:r>
        <w:rPr>
          <w:sz w:val="24"/>
          <w:szCs w:val="24"/>
        </w:rPr>
        <w:t xml:space="preserve">ядер в пучке. </w:t>
      </w:r>
    </w:p>
    <w:p>
      <w:pPr>
        <w:pStyle w:val="17"/>
        <w:shd w:val="clear" w:color="auto" w:fill="auto"/>
        <w:spacing w:lineRule="exact" w:line="288" w:before="0" w:after="120"/>
        <w:ind w:left="23" w:firstLine="544"/>
        <w:rPr>
          <w:sz w:val="24"/>
          <w:szCs w:val="24"/>
        </w:rPr>
      </w:pPr>
      <w:r>
        <w:rPr>
          <w:sz w:val="24"/>
          <w:szCs w:val="24"/>
        </w:rPr>
        <w:t xml:space="preserve">Таким образом, в рассматриваемой структуре MPD можно выделить три области с характерным методом и точностью измерения: центральная часть </w:t>
      </w:r>
      <w:r>
        <w:rPr>
          <w:color w:val="000000"/>
          <w:sz w:val="24"/>
          <w:szCs w:val="24"/>
          <w:lang w:eastAsia="ru-RU" w:bidi="ru-RU"/>
        </w:rPr>
        <w:t>|</w:t>
      </w:r>
      <w:r>
        <w:rPr>
          <w:i/>
          <w:iCs/>
          <w:sz w:val="24"/>
          <w:szCs w:val="24"/>
          <w:lang w:bidi="ru-RU"/>
        </w:rPr>
        <w:t>η</w:t>
      </w:r>
      <w:r>
        <w:rPr>
          <w:color w:val="000000"/>
          <w:sz w:val="24"/>
          <w:szCs w:val="24"/>
          <w:lang w:eastAsia="ru-RU" w:bidi="ru-RU"/>
        </w:rPr>
        <w:t>|</w:t>
      </w:r>
      <w:r>
        <w:rPr>
          <w:i/>
          <w:iCs/>
          <w:sz w:val="24"/>
          <w:szCs w:val="24"/>
          <w:lang w:bidi="ru-RU"/>
        </w:rPr>
        <w:t xml:space="preserve"> &lt;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bidi="ru-RU"/>
        </w:rPr>
        <w:t>1</w:t>
      </w:r>
      <w:r>
        <w:rPr>
          <w:sz w:val="24"/>
          <w:szCs w:val="24"/>
        </w:rPr>
        <w:t>,</w:t>
      </w:r>
      <w:r>
        <w:rPr>
          <w:sz w:val="24"/>
          <w:szCs w:val="24"/>
          <w:lang w:bidi="ru-RU"/>
        </w:rPr>
        <w:t>2</w:t>
      </w:r>
      <w:r>
        <w:rPr>
          <w:sz w:val="24"/>
          <w:szCs w:val="24"/>
        </w:rPr>
        <w:t xml:space="preserve">, передняя область </w:t>
      </w:r>
      <w:r>
        <w:rPr>
          <w:sz w:val="24"/>
          <w:szCs w:val="24"/>
          <w:lang w:bidi="ru-RU"/>
        </w:rPr>
        <w:t>1</w:t>
      </w:r>
      <w:r>
        <w:rPr>
          <w:sz w:val="24"/>
          <w:szCs w:val="24"/>
        </w:rPr>
        <w:t>,</w:t>
      </w:r>
      <w:r>
        <w:rPr>
          <w:sz w:val="24"/>
          <w:szCs w:val="24"/>
          <w:lang w:bidi="ru-RU"/>
        </w:rPr>
        <w:t>2</w:t>
      </w:r>
      <w:r>
        <w:rPr>
          <w:sz w:val="24"/>
          <w:szCs w:val="24"/>
        </w:rPr>
        <w:t xml:space="preserve"> &lt; </w:t>
      </w:r>
      <w:r>
        <w:rPr>
          <w:color w:val="000000"/>
          <w:sz w:val="24"/>
          <w:szCs w:val="24"/>
          <w:lang w:eastAsia="ru-RU" w:bidi="ru-RU"/>
        </w:rPr>
        <w:t>|</w:t>
      </w:r>
      <w:r>
        <w:rPr>
          <w:i/>
          <w:iCs/>
          <w:sz w:val="24"/>
          <w:szCs w:val="24"/>
          <w:lang w:bidi="ru-RU"/>
        </w:rPr>
        <w:t>η</w:t>
      </w:r>
      <w:r>
        <w:rPr>
          <w:color w:val="000000"/>
          <w:sz w:val="24"/>
          <w:szCs w:val="24"/>
          <w:lang w:eastAsia="ru-RU" w:bidi="ru-RU"/>
        </w:rPr>
        <w:t>|</w:t>
      </w:r>
      <w:r>
        <w:rPr>
          <w:i/>
          <w:iCs/>
          <w:sz w:val="24"/>
          <w:szCs w:val="24"/>
          <w:lang w:bidi="ru-RU"/>
        </w:rPr>
        <w:t xml:space="preserve"> &lt;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bidi="ru-RU"/>
        </w:rPr>
        <w:t>2</w:t>
      </w:r>
      <w:r>
        <w:rPr>
          <w:sz w:val="24"/>
          <w:szCs w:val="24"/>
        </w:rPr>
        <w:t>, в которой импульс частиц измеряется довольно грубо (</w:t>
      </w:r>
      <w:r>
        <w:rPr/>
      </w:r>
      <m:oMath xmlns:m="http://schemas.openxmlformats.org/officeDocument/2006/math">
        <m:f>
          <m:fPr>
            <m:type m:val="lin"/>
          </m:fPr>
          <m:num>
            <m:r>
              <w:rPr>
                <w:rFonts w:ascii="Cambria Math" w:hAnsi="Cambria Math"/>
              </w:rPr>
              <m:t xml:space="preserve">dp</m:t>
            </m:r>
          </m:num>
          <m:den>
            <m:r>
              <w:rPr>
                <w:rFonts w:ascii="Cambria Math" w:hAnsi="Cambria Math"/>
              </w:rPr>
              <m:t xml:space="preserve">P</m:t>
            </m:r>
          </m:den>
        </m:f>
      </m:oMath>
      <w:r>
        <w:rPr>
          <w:sz w:val="24"/>
          <w:szCs w:val="24"/>
        </w:rPr>
        <w:t xml:space="preserve"> ~ 4 - 10%) и область </w:t>
      </w:r>
      <w:r>
        <w:rPr>
          <w:sz w:val="24"/>
          <w:szCs w:val="24"/>
          <w:lang w:bidi="ru-RU"/>
        </w:rPr>
        <w:t>2</w:t>
      </w:r>
      <w:r>
        <w:rPr>
          <w:sz w:val="24"/>
          <w:szCs w:val="24"/>
        </w:rPr>
        <w:t xml:space="preserve"> &lt; </w:t>
      </w:r>
      <w:r>
        <w:rPr>
          <w:color w:val="000000"/>
          <w:sz w:val="24"/>
          <w:szCs w:val="24"/>
          <w:lang w:eastAsia="ru-RU" w:bidi="ru-RU"/>
        </w:rPr>
        <w:t>|</w:t>
      </w:r>
      <w:r>
        <w:rPr>
          <w:i/>
          <w:iCs/>
          <w:sz w:val="24"/>
          <w:szCs w:val="24"/>
          <w:lang w:bidi="ru-RU"/>
        </w:rPr>
        <w:t>η</w:t>
      </w:r>
      <w:r>
        <w:rPr>
          <w:color w:val="000000"/>
          <w:sz w:val="24"/>
          <w:szCs w:val="24"/>
          <w:lang w:eastAsia="ru-RU" w:bidi="ru-RU"/>
        </w:rPr>
        <w:t>|</w:t>
      </w:r>
      <w:r>
        <w:rPr>
          <w:i/>
          <w:iCs/>
          <w:sz w:val="24"/>
          <w:szCs w:val="24"/>
          <w:lang w:bidi="ru-RU"/>
        </w:rPr>
        <w:t xml:space="preserve"> &lt; </w:t>
      </w:r>
      <w:r>
        <w:rPr>
          <w:sz w:val="24"/>
          <w:szCs w:val="24"/>
        </w:rPr>
        <w:t xml:space="preserve">3, где измеряются интегральные параметры события.                                                                                                                                                </w:t>
      </w:r>
    </w:p>
    <w:p>
      <w:pPr>
        <w:pStyle w:val="17"/>
        <w:shd w:val="clear" w:color="auto" w:fill="auto"/>
        <w:spacing w:lineRule="exact" w:line="288" w:before="0" w:after="120"/>
        <w:ind w:left="23" w:firstLine="544"/>
        <w:rPr>
          <w:sz w:val="24"/>
          <w:szCs w:val="24"/>
        </w:rPr>
      </w:pPr>
      <w:r>
        <w:rPr>
          <w:sz w:val="24"/>
          <w:szCs w:val="24"/>
        </w:rPr>
        <w:t xml:space="preserve">Для оптимизации времени конструирования и запуска установки целесообразно ее создавать поэтапно. На первом этапе собирается </w:t>
      </w:r>
      <w:r>
        <w:rPr>
          <w:b/>
          <w:bCs/>
          <w:sz w:val="24"/>
          <w:szCs w:val="24"/>
        </w:rPr>
        <w:t xml:space="preserve">базовая конфигурация, </w:t>
      </w:r>
      <w:r>
        <w:rPr>
          <w:sz w:val="24"/>
          <w:szCs w:val="24"/>
        </w:rPr>
        <w:t>которая должна включать такие подсистемы как TPC, цилиндрическая часть TOF, FD, FHCal и цилиндрическая часть ECal. Внутренняя трековая система ITS, передняя трековая система, включающая Straw и CPC, а также торцевые TOF могут быть отнесены к полной конфигурации и изготовляться на втором этапе.</w:t>
      </w:r>
    </w:p>
    <w:p>
      <w:pPr>
        <w:pStyle w:val="17"/>
        <w:shd w:val="clear" w:color="auto" w:fill="auto"/>
        <w:spacing w:lineRule="exact" w:line="288" w:before="0" w:after="120"/>
        <w:ind w:left="23" w:firstLine="544"/>
        <w:rPr>
          <w:sz w:val="24"/>
          <w:szCs w:val="24"/>
        </w:rPr>
      </w:pPr>
      <w:r>
        <w:rPr>
          <w:sz w:val="24"/>
          <w:szCs w:val="24"/>
        </w:rPr>
        <w:t>В базовой конфигурации установка может эффективно идентифицировать вторичные частицы и измерять их импульс в диапазоне псевдобыстрот</w:t>
      </w:r>
      <w:r>
        <w:rPr>
          <w:sz w:val="24"/>
          <w:szCs w:val="24"/>
          <w:lang w:bidi="ru-RU"/>
        </w:rPr>
        <w:t xml:space="preserve"> |</w:t>
      </w:r>
      <w:r>
        <w:rPr>
          <w:i/>
          <w:iCs/>
          <w:sz w:val="24"/>
          <w:szCs w:val="24"/>
          <w:lang w:bidi="ru-RU"/>
        </w:rPr>
        <w:t xml:space="preserve">η|&lt; </w:t>
      </w:r>
      <w:r>
        <w:rPr>
          <w:sz w:val="24"/>
          <w:szCs w:val="24"/>
        </w:rPr>
        <w:t xml:space="preserve">1,2. Сводный том технического описания установки MPD размещен по адресу: </w:t>
      </w:r>
      <w:hyperlink r:id="rId4">
        <w:r>
          <w:rPr>
            <w:rStyle w:val="-"/>
          </w:rPr>
          <w:t>http://mpd.jinr.ru/doc/mpd-tdr</w:t>
        </w:r>
      </w:hyperlink>
      <w:r>
        <w:rPr/>
        <w:t>.</w:t>
      </w:r>
    </w:p>
    <w:p>
      <w:pPr>
        <w:pStyle w:val="Normal"/>
        <w:ind w:firstLine="567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Детектор MPD установлен в специальном павильоне в основном здании №17 комплекса NICA. Работы по павильону в основном завершены и в нем уже начался монтаж поступающего оборудования. </w:t>
      </w:r>
    </w:p>
    <w:p>
      <w:pPr>
        <w:pStyle w:val="Normal"/>
        <w:spacing w:lineRule="auto" w:line="276" w:before="0" w:after="0"/>
        <w:jc w:val="center"/>
        <w:rPr>
          <w:b/>
          <w:lang w:val="en-US" w:eastAsia="ru-RU"/>
        </w:rPr>
      </w:pPr>
      <w:r>
        <w:rPr>
          <w:b/>
          <w:lang w:eastAsia="ru-RU"/>
        </w:rPr>
        <w:t>Литература</w:t>
      </w:r>
    </w:p>
    <w:p>
      <w:pPr>
        <w:pStyle w:val="Normal"/>
        <w:spacing w:lineRule="auto" w:line="276" w:before="0" w:after="0"/>
        <w:rPr>
          <w:lang w:val="en-US" w:eastAsia="ru-RU"/>
        </w:rPr>
      </w:pPr>
      <w:r>
        <w:rPr>
          <w:lang w:val="en-US" w:eastAsia="ru-RU"/>
        </w:rPr>
        <w:t>[1] The MultiPurpose Detector (MPD). Conceptual Design Report, v1.0.</w:t>
      </w:r>
    </w:p>
    <w:p>
      <w:pPr>
        <w:pStyle w:val="Normal"/>
        <w:spacing w:lineRule="auto" w:line="276" w:before="0" w:after="0"/>
        <w:rPr>
          <w:lang w:val="en-US" w:eastAsia="ru-RU"/>
        </w:rPr>
      </w:pPr>
      <w:r>
        <w:rPr>
          <w:lang w:val="en-US" w:eastAsia="ru-RU"/>
        </w:rPr>
        <w:t>http://nica.jinr.ru/</w:t>
      </w:r>
    </w:p>
    <w:p>
      <w:pPr>
        <w:pStyle w:val="Normal"/>
        <w:spacing w:lineRule="auto" w:line="276" w:before="0" w:after="0"/>
        <w:rPr>
          <w:lang w:val="en-US" w:eastAsia="ru-RU"/>
        </w:rPr>
      </w:pPr>
      <w:r>
        <w:rPr>
          <w:lang w:val="en-US" w:eastAsia="ru-RU"/>
        </w:rPr>
        <w:t>[2] C.Alt et al.Phys.Rev.C 77, 2008, 024903.</w:t>
      </w:r>
    </w:p>
    <w:p>
      <w:pPr>
        <w:pStyle w:val="Normal"/>
        <w:spacing w:lineRule="auto" w:line="276" w:before="0" w:after="0"/>
        <w:rPr>
          <w:lang w:val="en-US" w:eastAsia="ru-RU"/>
        </w:rPr>
      </w:pPr>
      <w:r>
        <w:rPr>
          <w:lang w:val="en-US" w:eastAsia="ru-RU"/>
        </w:rPr>
        <w:t>[3] Nucl.Phys. A757 (2005), 1-283</w:t>
      </w:r>
    </w:p>
    <w:p>
      <w:pPr>
        <w:pStyle w:val="Normal"/>
        <w:spacing w:lineRule="auto" w:line="276" w:before="0" w:after="0"/>
        <w:rPr>
          <w:lang w:val="en-US" w:eastAsia="ru-RU"/>
        </w:rPr>
      </w:pPr>
      <w:r>
        <w:rPr>
          <w:lang w:val="en-US" w:eastAsia="ru-RU"/>
        </w:rPr>
        <w:t>[4] Searching for a QCD mixed phase at the NICA (NICA White paper). Draft v2.01,</w:t>
      </w:r>
    </w:p>
    <w:p>
      <w:pPr>
        <w:pStyle w:val="Normal"/>
        <w:spacing w:lineRule="auto" w:line="276" w:before="0" w:after="0"/>
        <w:rPr>
          <w:lang w:val="en-US" w:eastAsia="ru-RU"/>
        </w:rPr>
      </w:pPr>
      <w:r>
        <w:rPr>
          <w:lang w:val="en-US" w:eastAsia="ru-RU"/>
        </w:rPr>
        <w:t>30 September 2009. http://nica.jinr.ru/</w:t>
      </w:r>
    </w:p>
    <w:p>
      <w:pPr>
        <w:pStyle w:val="Normal"/>
        <w:spacing w:lineRule="auto" w:line="276" w:before="0" w:after="0"/>
        <w:rPr>
          <w:lang w:val="en-US" w:eastAsia="ru-RU"/>
        </w:rPr>
      </w:pPr>
      <w:r>
        <w:rPr>
          <w:lang w:val="en-US" w:eastAsia="ru-RU"/>
        </w:rPr>
        <w:t>[5] NA61 experiment. CPOD07 (2007),023. Eprint=0709.1646.</w:t>
      </w:r>
    </w:p>
    <w:p>
      <w:pPr>
        <w:pStyle w:val="Normal"/>
        <w:spacing w:lineRule="auto" w:line="276" w:before="0" w:after="0"/>
        <w:rPr>
          <w:lang w:val="en-US" w:eastAsia="ru-RU"/>
        </w:rPr>
      </w:pPr>
      <w:r>
        <w:rPr>
          <w:lang w:val="en-US" w:eastAsia="ru-RU"/>
        </w:rPr>
        <w:t>[6] G.S.F. Stephans, J. Phys., G32 (2006), S447-S454.</w:t>
      </w:r>
    </w:p>
    <w:p>
      <w:pPr>
        <w:pStyle w:val="Normal"/>
        <w:spacing w:lineRule="auto" w:line="276" w:before="0" w:after="0"/>
        <w:rPr>
          <w:rFonts w:eastAsia="Times New Roman"/>
          <w:color w:val="000000" w:themeColor="text1"/>
          <w:lang w:val="en-US"/>
        </w:rPr>
      </w:pPr>
      <w:r>
        <w:rPr>
          <w:lang w:val="en-US" w:eastAsia="ru-RU"/>
        </w:rPr>
        <w:t>[7] P.Senger, J. Phys. G30 (2004), S1087-S1090.</w:t>
      </w:r>
    </w:p>
    <w:p>
      <w:pPr>
        <w:pStyle w:val="Normal"/>
        <w:ind w:left="720" w:hanging="0"/>
        <w:jc w:val="both"/>
        <w:rPr>
          <w:rFonts w:eastAsia="Times New Roman"/>
          <w:color w:val="000000" w:themeColor="text1"/>
          <w:lang w:val="en-US"/>
        </w:rPr>
      </w:pPr>
      <w:r>
        <w:rPr>
          <w:rFonts w:eastAsia="Times New Roman"/>
          <w:color w:val="000000" w:themeColor="text1"/>
          <w:lang w:val="en-US"/>
        </w:rPr>
      </w:r>
    </w:p>
    <w:p>
      <w:pPr>
        <w:pStyle w:val="Normal"/>
        <w:ind w:left="720" w:hanging="0"/>
        <w:jc w:val="both"/>
        <w:rPr>
          <w:rFonts w:eastAsia="Times New Roman"/>
          <w:b/>
          <w:bCs/>
          <w:color w:val="000000" w:themeColor="text1"/>
        </w:rPr>
      </w:pPr>
      <w:r>
        <w:rPr>
          <w:rFonts w:eastAsia="Times New Roman"/>
          <w:b/>
          <w:bCs/>
          <w:color w:val="000000" w:themeColor="text1"/>
        </w:rPr>
        <w:t>Основные этапы монтажа</w:t>
      </w:r>
    </w:p>
    <w:p>
      <w:pPr>
        <w:pStyle w:val="Normal"/>
        <w:ind w:left="720" w:hanging="0"/>
        <w:rPr>
          <w:rFonts w:eastAsia="Times New Roman"/>
          <w:b/>
          <w:bCs/>
          <w:color w:val="000000" w:themeColor="text1"/>
        </w:rPr>
      </w:pPr>
      <w:r>
        <w:rPr>
          <w:rFonts w:eastAsia="Times New Roman"/>
          <w:b/>
          <w:bCs/>
          <w:color w:val="000000" w:themeColor="text1"/>
        </w:rPr>
        <w:t>Таблица 1</w:t>
      </w:r>
    </w:p>
    <w:tbl>
      <w:tblPr>
        <w:tblStyle w:val="ab"/>
        <w:tblW w:w="8625" w:type="dxa"/>
        <w:jc w:val="left"/>
        <w:tblInd w:w="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5931"/>
        <w:gridCol w:w="2693"/>
      </w:tblGrid>
      <w:tr>
        <w:trPr/>
        <w:tc>
          <w:tcPr>
            <w:tcW w:w="593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center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 w:cs="Times New Roman"/>
                <w:color w:val="000000" w:themeColor="text1"/>
                <w:kern w:val="0"/>
                <w:sz w:val="24"/>
                <w:szCs w:val="24"/>
                <w:lang w:val="ru-RU" w:eastAsia="en-US" w:bidi="ar-SA"/>
              </w:rPr>
              <w:t>Этап сборки</w:t>
            </w:r>
          </w:p>
        </w:tc>
        <w:tc>
          <w:tcPr>
            <w:tcW w:w="2693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center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 w:cs="Times New Roman"/>
                <w:color w:val="000000" w:themeColor="text1"/>
                <w:kern w:val="0"/>
                <w:sz w:val="24"/>
                <w:szCs w:val="24"/>
                <w:lang w:val="ru-RU" w:eastAsia="en-US" w:bidi="ar-SA"/>
              </w:rPr>
              <w:t>Срок</w:t>
            </w:r>
          </w:p>
        </w:tc>
      </w:tr>
      <w:tr>
        <w:trPr/>
        <w:tc>
          <w:tcPr>
            <w:tcW w:w="593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 w:cs="Times New Roman"/>
                <w:color w:val="000000" w:themeColor="text1"/>
                <w:kern w:val="0"/>
                <w:sz w:val="24"/>
                <w:szCs w:val="24"/>
                <w:lang w:val="ru-RU" w:eastAsia="en-US" w:bidi="ar-SA"/>
              </w:rPr>
              <w:t>Подготовка к включению соленоидального магнита (криогеника, электропитание и др.)</w:t>
            </w:r>
          </w:p>
        </w:tc>
        <w:tc>
          <w:tcPr>
            <w:tcW w:w="2693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 w:cs="Times New Roman"/>
                <w:color w:val="000000" w:themeColor="text1"/>
                <w:kern w:val="0"/>
                <w:sz w:val="24"/>
                <w:szCs w:val="24"/>
                <w:lang w:val="ru-RU" w:eastAsia="en-US" w:bidi="ar-SA"/>
              </w:rPr>
              <w:t>Декабрь 2024 г. - Январь 2025</w:t>
            </w:r>
          </w:p>
        </w:tc>
      </w:tr>
      <w:tr>
        <w:trPr/>
        <w:tc>
          <w:tcPr>
            <w:tcW w:w="593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 w:cs="Times New Roman"/>
                <w:color w:val="000000" w:themeColor="text1"/>
                <w:kern w:val="0"/>
                <w:sz w:val="24"/>
                <w:szCs w:val="24"/>
                <w:lang w:val="ru-RU" w:eastAsia="en-US" w:bidi="ar-SA"/>
              </w:rPr>
              <w:t>Измерения магнитного поля</w:t>
            </w:r>
          </w:p>
        </w:tc>
        <w:tc>
          <w:tcPr>
            <w:tcW w:w="2693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 w:cs="Times New Roman"/>
                <w:color w:val="000000" w:themeColor="text1"/>
                <w:kern w:val="0"/>
                <w:sz w:val="24"/>
                <w:szCs w:val="24"/>
                <w:lang w:val="ru-RU" w:eastAsia="en-US" w:bidi="ar-SA"/>
              </w:rPr>
              <w:t>Февраль -Апрель 2025 г.</w:t>
            </w:r>
          </w:p>
        </w:tc>
      </w:tr>
      <w:tr>
        <w:trPr/>
        <w:tc>
          <w:tcPr>
            <w:tcW w:w="593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 w:cs="Times New Roman"/>
                <w:color w:val="000000" w:themeColor="text1"/>
                <w:kern w:val="0"/>
                <w:sz w:val="24"/>
                <w:szCs w:val="24"/>
                <w:lang w:val="ru-RU" w:eastAsia="en-US" w:bidi="ar-SA"/>
              </w:rPr>
              <w:t>Подготовка к монтажу детекторных подсистем</w:t>
            </w:r>
          </w:p>
        </w:tc>
        <w:tc>
          <w:tcPr>
            <w:tcW w:w="2693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 w:cs="Times New Roman"/>
                <w:color w:val="000000" w:themeColor="text1"/>
                <w:kern w:val="0"/>
                <w:sz w:val="24"/>
                <w:szCs w:val="24"/>
                <w:lang w:val="ru-RU" w:eastAsia="en-US" w:bidi="ar-SA"/>
              </w:rPr>
              <w:t>Май 2025 г.</w:t>
            </w:r>
          </w:p>
        </w:tc>
      </w:tr>
      <w:tr>
        <w:trPr/>
        <w:tc>
          <w:tcPr>
            <w:tcW w:w="593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 w:cs="Times New Roman"/>
                <w:color w:val="000000" w:themeColor="text1"/>
                <w:kern w:val="0"/>
                <w:sz w:val="24"/>
                <w:szCs w:val="24"/>
                <w:lang w:val="ru-RU" w:eastAsia="en-US" w:bidi="ar-SA"/>
              </w:rPr>
              <w:t>Монтаж TOF,</w:t>
            </w:r>
            <w:r>
              <w:rPr>
                <w:rFonts w:eastAsia="Times New Roman" w:cs="Times New Roman"/>
                <w:color w:val="000000" w:themeColor="text1"/>
                <w:kern w:val="0"/>
                <w:sz w:val="24"/>
                <w:szCs w:val="24"/>
                <w:lang w:val="en-US" w:eastAsia="en-US" w:bidi="ar-SA"/>
              </w:rPr>
              <w:t>ECal</w:t>
            </w:r>
            <w:r>
              <w:rPr>
                <w:rFonts w:eastAsia="Times New Roman" w:cs="Times New Roman"/>
                <w:color w:val="000000" w:themeColor="text1"/>
                <w:kern w:val="0"/>
                <w:sz w:val="24"/>
                <w:szCs w:val="24"/>
                <w:lang w:val="ru-RU" w:eastAsia="en-US" w:bidi="ar-SA"/>
              </w:rPr>
              <w:t>, TPC, платформы с электроникой, кабелей</w:t>
            </w:r>
          </w:p>
        </w:tc>
        <w:tc>
          <w:tcPr>
            <w:tcW w:w="2693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 w:cs="Times New Roman"/>
                <w:color w:val="000000" w:themeColor="text1"/>
                <w:kern w:val="0"/>
                <w:sz w:val="24"/>
                <w:szCs w:val="24"/>
                <w:lang w:val="ru-RU" w:eastAsia="en-US" w:bidi="ar-SA"/>
              </w:rPr>
              <w:t>Май-Октябрь 2025 г.</w:t>
            </w:r>
          </w:p>
        </w:tc>
      </w:tr>
      <w:tr>
        <w:trPr>
          <w:trHeight w:val="429" w:hRule="atLeast"/>
        </w:trPr>
        <w:tc>
          <w:tcPr>
            <w:tcW w:w="593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 w:cs="Times New Roman"/>
                <w:color w:val="000000" w:themeColor="text1"/>
                <w:kern w:val="0"/>
                <w:sz w:val="24"/>
                <w:szCs w:val="24"/>
                <w:lang w:val="ru-RU" w:eastAsia="en-US" w:bidi="ar-SA"/>
              </w:rPr>
              <w:t>Монтаж пучковой трубы, FHCal</w:t>
            </w:r>
          </w:p>
        </w:tc>
        <w:tc>
          <w:tcPr>
            <w:tcW w:w="2693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 w:cs="Times New Roman"/>
                <w:color w:val="000000" w:themeColor="text1"/>
                <w:kern w:val="0"/>
                <w:sz w:val="24"/>
                <w:szCs w:val="24"/>
                <w:lang w:val="ru-RU" w:eastAsia="en-US" w:bidi="ar-SA"/>
              </w:rPr>
              <w:t>Ноябрь -Декабрь 2025 г.</w:t>
            </w:r>
          </w:p>
        </w:tc>
      </w:tr>
      <w:tr>
        <w:trPr/>
        <w:tc>
          <w:tcPr>
            <w:tcW w:w="593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 w:cs="Times New Roman"/>
                <w:color w:val="000000" w:themeColor="text1"/>
                <w:kern w:val="0"/>
                <w:sz w:val="24"/>
                <w:szCs w:val="24"/>
                <w:lang w:val="ru-RU" w:eastAsia="en-US" w:bidi="ar-SA"/>
              </w:rPr>
              <w:t>Сдача в эксплуатацию</w:t>
            </w:r>
          </w:p>
        </w:tc>
        <w:tc>
          <w:tcPr>
            <w:tcW w:w="2693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 w:cs="Times New Roman"/>
                <w:color w:val="000000" w:themeColor="text1"/>
                <w:kern w:val="0"/>
                <w:sz w:val="24"/>
                <w:szCs w:val="24"/>
                <w:lang w:val="ru-RU" w:eastAsia="en-US" w:bidi="ar-SA"/>
              </w:rPr>
              <w:t>Декабрь 2025 г.</w:t>
            </w:r>
          </w:p>
        </w:tc>
      </w:tr>
      <w:tr>
        <w:trPr/>
        <w:tc>
          <w:tcPr>
            <w:tcW w:w="593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 w:cs="Times New Roman"/>
                <w:color w:val="000000" w:themeColor="text1"/>
                <w:kern w:val="0"/>
                <w:sz w:val="24"/>
                <w:szCs w:val="24"/>
                <w:lang w:val="ru-RU" w:eastAsia="en-US" w:bidi="ar-SA"/>
              </w:rPr>
              <w:t>Работа на пучке</w:t>
            </w:r>
          </w:p>
        </w:tc>
        <w:tc>
          <w:tcPr>
            <w:tcW w:w="2693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 w:cs="Times New Roman"/>
                <w:color w:val="000000" w:themeColor="text1"/>
                <w:kern w:val="0"/>
                <w:sz w:val="24"/>
                <w:szCs w:val="24"/>
                <w:lang w:val="ru-RU" w:eastAsia="en-US" w:bidi="ar-SA"/>
              </w:rPr>
              <w:t>Декабрь 2025 г.</w:t>
            </w:r>
          </w:p>
        </w:tc>
      </w:tr>
    </w:tbl>
    <w:p>
      <w:pPr>
        <w:pStyle w:val="Normal"/>
        <w:spacing w:lineRule="atLeast" w:line="240" w:before="0" w:after="0"/>
        <w:jc w:val="both"/>
        <w:rPr>
          <w:bCs/>
          <w:lang w:val="en-US"/>
        </w:rPr>
      </w:pPr>
      <w:r>
        <w:rPr>
          <w:bCs/>
          <w:lang w:val="en-US"/>
        </w:rPr>
      </w:r>
    </w:p>
    <w:p>
      <w:pPr>
        <w:pStyle w:val="Normal"/>
        <w:spacing w:lineRule="atLeast" w:line="240" w:before="0" w:after="0"/>
        <w:jc w:val="both"/>
        <w:rPr>
          <w:b/>
        </w:rPr>
      </w:pPr>
      <w:r>
        <w:rPr>
          <w:b/>
        </w:rPr>
        <w:t xml:space="preserve">    </w:t>
      </w:r>
    </w:p>
    <w:p>
      <w:pPr>
        <w:pStyle w:val="Normal"/>
        <w:spacing w:lineRule="atLeast" w:line="240" w:before="0" w:after="0"/>
        <w:jc w:val="both"/>
        <w:rPr>
          <w:b/>
          <w:bCs/>
        </w:rPr>
      </w:pPr>
      <w:r>
        <w:rPr>
          <w:b/>
          <w:bCs/>
        </w:rPr>
        <w:t>Основными рисками являются:</w:t>
      </w:r>
    </w:p>
    <w:p>
      <w:pPr>
        <w:pStyle w:val="Normal"/>
        <w:spacing w:lineRule="atLeast" w:line="240" w:before="0" w:after="0"/>
        <w:jc w:val="both"/>
        <w:rPr/>
      </w:pPr>
      <w:r>
        <w:rPr>
          <w:b/>
          <w:bCs/>
        </w:rPr>
        <w:t xml:space="preserve"> </w:t>
      </w:r>
      <w:r>
        <w:rPr/>
        <w:t xml:space="preserve">При создании детектора </w:t>
      </w:r>
      <w:r>
        <w:rPr>
          <w:lang w:val="en-US"/>
        </w:rPr>
        <w:t>MPD</w:t>
      </w:r>
      <w:r>
        <w:rPr/>
        <w:t xml:space="preserve"> в базовой конфигурации в период 2020 – 2025 г.г.</w:t>
      </w:r>
    </w:p>
    <w:p>
      <w:pPr>
        <w:pStyle w:val="Normal"/>
        <w:spacing w:lineRule="atLeast" w:line="240" w:before="0" w:after="0"/>
        <w:jc w:val="both"/>
        <w:rPr/>
      </w:pPr>
      <w:r>
        <w:rPr/>
        <w:t xml:space="preserve"> </w:t>
      </w:r>
      <w:r>
        <w:rPr/>
        <w:t>к основным рискам нужно отнести:</w:t>
      </w:r>
    </w:p>
    <w:p>
      <w:pPr>
        <w:pStyle w:val="ListParagraph"/>
        <w:numPr>
          <w:ilvl w:val="0"/>
          <w:numId w:val="3"/>
        </w:numPr>
        <w:spacing w:lineRule="atLeast" w:line="240" w:before="0" w:after="0"/>
        <w:ind w:left="426" w:hanging="360"/>
        <w:contextualSpacing/>
        <w:jc w:val="both"/>
        <w:rPr/>
      </w:pPr>
      <w:r>
        <w:rPr/>
        <w:t>Сложность конструкции детектора, в институте не было опыта создания таких больших детекторов и коллабораций;</w:t>
      </w:r>
    </w:p>
    <w:p>
      <w:pPr>
        <w:pStyle w:val="ListParagraph"/>
        <w:numPr>
          <w:ilvl w:val="0"/>
          <w:numId w:val="3"/>
        </w:numPr>
        <w:spacing w:lineRule="atLeast" w:line="240" w:before="0" w:after="0"/>
        <w:ind w:left="426" w:hanging="360"/>
        <w:contextualSpacing/>
        <w:jc w:val="both"/>
        <w:rPr/>
      </w:pPr>
      <w:r>
        <w:rPr/>
        <w:t>Нехватка квалифицированных кадров инженеров, специалистов и научных сотрудников;</w:t>
      </w:r>
    </w:p>
    <w:p>
      <w:pPr>
        <w:pStyle w:val="ListParagraph"/>
        <w:numPr>
          <w:ilvl w:val="0"/>
          <w:numId w:val="3"/>
        </w:numPr>
        <w:spacing w:lineRule="atLeast" w:line="240" w:before="0" w:after="0"/>
        <w:ind w:left="426" w:hanging="360"/>
        <w:contextualSpacing/>
        <w:jc w:val="both"/>
        <w:rPr/>
      </w:pPr>
      <w:r>
        <w:rPr/>
        <w:t>Трудности доступа к технологиям, разработанным западными компаниями;</w:t>
      </w:r>
    </w:p>
    <w:p>
      <w:pPr>
        <w:pStyle w:val="ListParagraph"/>
        <w:numPr>
          <w:ilvl w:val="0"/>
          <w:numId w:val="3"/>
        </w:numPr>
        <w:spacing w:lineRule="atLeast" w:line="240" w:before="0" w:after="0"/>
        <w:ind w:left="426" w:hanging="360"/>
        <w:contextualSpacing/>
        <w:jc w:val="both"/>
        <w:rPr/>
      </w:pPr>
      <w:r>
        <w:rPr/>
        <w:t>Прекращение контрактов западными компаниями и институтами в период после февраля 2022 года;</w:t>
      </w:r>
    </w:p>
    <w:p>
      <w:pPr>
        <w:pStyle w:val="ListParagraph"/>
        <w:numPr>
          <w:ilvl w:val="0"/>
          <w:numId w:val="3"/>
        </w:numPr>
        <w:spacing w:lineRule="atLeast" w:line="240" w:before="0" w:after="0"/>
        <w:ind w:left="426" w:hanging="360"/>
        <w:contextualSpacing/>
        <w:jc w:val="both"/>
        <w:rPr/>
      </w:pPr>
      <w:r>
        <w:rPr/>
        <w:t xml:space="preserve"> </w:t>
      </w:r>
      <w:r>
        <w:rPr/>
        <w:t>Задержки со сдачей строительных объектов (в частности системы охлаждения корп.17;</w:t>
      </w:r>
    </w:p>
    <w:p>
      <w:pPr>
        <w:pStyle w:val="ListParagraph"/>
        <w:numPr>
          <w:ilvl w:val="0"/>
          <w:numId w:val="3"/>
        </w:numPr>
        <w:spacing w:lineRule="atLeast" w:line="240" w:before="0" w:after="0"/>
        <w:ind w:left="426" w:hanging="360"/>
        <w:contextualSpacing/>
        <w:jc w:val="both"/>
        <w:rPr/>
      </w:pPr>
      <w:r>
        <w:rPr/>
        <w:t xml:space="preserve">Для создания детекторов второй очереди (полная конфигурация) –период 2026-2030 г.г. </w:t>
      </w:r>
    </w:p>
    <w:p>
      <w:pPr>
        <w:pStyle w:val="Normal"/>
        <w:spacing w:lineRule="atLeast" w:line="240" w:before="0" w:after="0"/>
        <w:ind w:left="426" w:hanging="0"/>
        <w:jc w:val="both"/>
        <w:rPr/>
      </w:pPr>
      <w:r>
        <w:rPr/>
        <w:t xml:space="preserve">а) </w:t>
      </w:r>
      <w:r>
        <w:rPr>
          <w:lang w:val="en-US"/>
        </w:rPr>
        <w:t>ITS</w:t>
      </w:r>
      <w:r>
        <w:rPr/>
        <w:t xml:space="preserve"> – вершинный детектор – альтернативные технологии детектора и электроники разрабатываются в Китае, нет определенности, когда начнётся производство рабочих компонентов и насколько они будут доступны нам, несмотря на наше финансовое и интеллектуальное участие в разработках;</w:t>
      </w:r>
    </w:p>
    <w:p>
      <w:pPr>
        <w:pStyle w:val="ListParagraph"/>
        <w:spacing w:lineRule="atLeast" w:line="240" w:before="0" w:after="0"/>
        <w:ind w:left="426" w:hanging="0"/>
        <w:contextualSpacing/>
        <w:jc w:val="both"/>
        <w:rPr/>
      </w:pPr>
      <w:r>
        <w:rPr/>
        <w:t>б) Передняя трековая система – трудности с приобретением современных микросхем, материалов и приборов.</w:t>
      </w:r>
    </w:p>
    <w:p>
      <w:pPr>
        <w:pStyle w:val="Normal"/>
        <w:spacing w:lineRule="atLeast" w:line="240" w:before="0" w:after="0"/>
        <w:ind w:left="426" w:hanging="0"/>
        <w:jc w:val="both"/>
        <w:rPr>
          <w:b/>
          <w:bCs/>
        </w:rPr>
      </w:pPr>
      <w:r>
        <w:rPr>
          <w:b/>
          <w:bCs/>
        </w:rPr>
        <w:t xml:space="preserve"> </w:t>
      </w:r>
    </w:p>
    <w:p>
      <w:pPr>
        <w:pStyle w:val="Normal"/>
        <w:spacing w:lineRule="atLeast" w:line="240" w:before="0" w:after="0"/>
        <w:jc w:val="both"/>
        <w:rPr>
          <w:b/>
          <w:bCs/>
        </w:rPr>
      </w:pPr>
      <w:r>
        <w:rPr>
          <w:b/>
          <w:bCs/>
        </w:rPr>
      </w:r>
    </w:p>
    <w:p>
      <w:pPr>
        <w:pStyle w:val="Normal"/>
        <w:spacing w:lineRule="atLeast" w:line="240" w:before="0" w:after="0"/>
        <w:jc w:val="both"/>
        <w:rPr/>
      </w:pPr>
      <w:r>
        <w:rPr/>
      </w:r>
    </w:p>
    <w:p>
      <w:pPr>
        <w:pStyle w:val="Normal"/>
        <w:spacing w:lineRule="atLeast" w:line="240" w:before="0" w:after="0"/>
        <w:jc w:val="both"/>
        <w:rPr>
          <w:b/>
        </w:rPr>
      </w:pPr>
      <w:r>
        <w:rPr>
          <w:b/>
        </w:rPr>
        <w:t>2.3. Предполагаемый срок запуска детектора в базовой конфигурации -2025г.</w:t>
      </w:r>
    </w:p>
    <w:p>
      <w:pPr>
        <w:pStyle w:val="Normal"/>
        <w:spacing w:lineRule="atLeast" w:line="240" w:before="0" w:after="0"/>
        <w:jc w:val="both"/>
        <w:rPr>
          <w:b/>
        </w:rPr>
      </w:pPr>
      <w:r>
        <w:rPr>
          <w:b/>
        </w:rPr>
        <w:t xml:space="preserve">                                                                                   </w:t>
      </w:r>
      <w:r>
        <w:rPr>
          <w:b/>
        </w:rPr>
        <w:t>в полной конфигурации - 2030г.</w:t>
      </w:r>
    </w:p>
    <w:p>
      <w:pPr>
        <w:pStyle w:val="Normal"/>
        <w:spacing w:lineRule="atLeast" w:line="240" w:before="0" w:after="0"/>
        <w:jc w:val="both"/>
        <w:rPr/>
      </w:pPr>
      <w:r>
        <w:rPr/>
      </w:r>
    </w:p>
    <w:p>
      <w:pPr>
        <w:pStyle w:val="Normal"/>
        <w:spacing w:lineRule="auto" w:line="240" w:before="0" w:after="0"/>
        <w:rPr>
          <w:b/>
        </w:rPr>
      </w:pPr>
      <w:r>
        <w:rPr>
          <w:b/>
        </w:rPr>
        <w:t>2.4. Участвующие лаборатории ОИЯИ.  - ЛФВЭ, ЛИТ, ЛЯП</w:t>
      </w:r>
    </w:p>
    <w:p>
      <w:pPr>
        <w:pStyle w:val="Normal"/>
        <w:spacing w:lineRule="auto" w:line="240" w:before="0" w:after="0"/>
        <w:rPr>
          <w:b/>
        </w:rPr>
      </w:pPr>
      <w:r>
        <w:rPr>
          <w:bCs/>
        </w:rPr>
        <w:t>Потребности в ресурсах МИВК:</w:t>
      </w:r>
    </w:p>
    <w:p>
      <w:pPr>
        <w:pStyle w:val="Normal"/>
        <w:spacing w:lineRule="atLeast" w:line="240" w:before="0" w:after="0"/>
        <w:jc w:val="both"/>
        <w:rPr/>
      </w:pPr>
      <w:r>
        <w:rPr/>
      </w:r>
    </w:p>
    <w:p>
      <w:pPr>
        <w:pStyle w:val="Normal"/>
        <w:spacing w:lineRule="atLeast" w:line="240" w:before="0" w:after="0"/>
        <w:jc w:val="both"/>
        <w:rPr/>
      </w:pPr>
      <w:r>
        <w:rPr/>
      </w:r>
    </w:p>
    <w:tbl>
      <w:tblPr>
        <w:tblW w:w="5000" w:type="pct"/>
        <w:jc w:val="left"/>
        <w:tblInd w:w="-28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noHBand="0" w:noVBand="0" w:firstColumn="0" w:lastRow="0" w:lastColumn="0" w:firstRow="0"/>
      </w:tblPr>
      <w:tblGrid>
        <w:gridCol w:w="3823"/>
        <w:gridCol w:w="1113"/>
        <w:gridCol w:w="1110"/>
        <w:gridCol w:w="1112"/>
        <w:gridCol w:w="1108"/>
        <w:gridCol w:w="1088"/>
      </w:tblGrid>
      <w:tr>
        <w:trPr>
          <w:trHeight w:val="371" w:hRule="atLeast"/>
        </w:trPr>
        <w:tc>
          <w:tcPr>
            <w:tcW w:w="38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Style24"/>
              <w:widowControl w:val="fals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cs="Times New Roman" w:ascii="Times New Roman" w:hAnsi="Times New Roman"/>
                <w:b/>
                <w:bCs/>
              </w:rPr>
              <w:t>Планируемые</w:t>
            </w:r>
          </w:p>
          <w:p>
            <w:pPr>
              <w:pStyle w:val="Style24"/>
              <w:widowControl w:val="fals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cs="Times New Roman" w:ascii="Times New Roman" w:hAnsi="Times New Roman"/>
                <w:b/>
                <w:bCs/>
              </w:rPr>
              <w:t>Вычислительные ресурсы</w:t>
            </w:r>
          </w:p>
          <w:p>
            <w:pPr>
              <w:pStyle w:val="Style24"/>
              <w:widowControl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  <w:bCs/>
              </w:rPr>
              <w:t>МИВК для MPD</w:t>
            </w:r>
          </w:p>
        </w:tc>
        <w:tc>
          <w:tcPr>
            <w:tcW w:w="55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yle24"/>
              <w:widowControl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  <w:bCs/>
              </w:rPr>
              <w:t>Распределение по годам</w:t>
            </w:r>
          </w:p>
        </w:tc>
      </w:tr>
      <w:tr>
        <w:trPr>
          <w:trHeight w:val="143" w:hRule="atLeast"/>
        </w:trPr>
        <w:tc>
          <w:tcPr>
            <w:tcW w:w="382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1113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Style24"/>
              <w:widowControl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2026 год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Style24"/>
              <w:widowControl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2027 год</w:t>
            </w:r>
          </w:p>
        </w:tc>
        <w:tc>
          <w:tcPr>
            <w:tcW w:w="111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Style24"/>
              <w:widowControl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2028 год</w:t>
            </w:r>
          </w:p>
        </w:tc>
        <w:tc>
          <w:tcPr>
            <w:tcW w:w="1108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Style24"/>
              <w:widowControl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2029 год</w:t>
            </w:r>
          </w:p>
        </w:tc>
        <w:tc>
          <w:tcPr>
            <w:tcW w:w="10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yle24"/>
              <w:widowControl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2030 год</w:t>
            </w:r>
          </w:p>
        </w:tc>
      </w:tr>
      <w:tr>
        <w:trPr>
          <w:trHeight w:val="970" w:hRule="atLeast"/>
        </w:trPr>
        <w:tc>
          <w:tcPr>
            <w:tcW w:w="3823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Style24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Хранение данных (ТБ)</w:t>
            </w:r>
          </w:p>
          <w:p>
            <w:pPr>
              <w:pStyle w:val="Style24"/>
              <w:widowControl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- EOS</w:t>
            </w:r>
          </w:p>
          <w:p>
            <w:pPr>
              <w:pStyle w:val="Style24"/>
              <w:widowControl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- Ленты</w:t>
            </w:r>
          </w:p>
        </w:tc>
        <w:tc>
          <w:tcPr>
            <w:tcW w:w="1113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Style24"/>
              <w:widowControl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Style24"/>
              <w:widowControl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3 000</w:t>
            </w:r>
          </w:p>
          <w:p>
            <w:pPr>
              <w:pStyle w:val="Style24"/>
              <w:widowControl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6 000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Style24"/>
              <w:widowControl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Style24"/>
              <w:widowControl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6 000</w:t>
            </w:r>
          </w:p>
          <w:p>
            <w:pPr>
              <w:pStyle w:val="Style24"/>
              <w:widowControl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12 000</w:t>
            </w:r>
          </w:p>
        </w:tc>
        <w:tc>
          <w:tcPr>
            <w:tcW w:w="111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Style24"/>
              <w:widowControl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Style24"/>
              <w:widowControl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8 000</w:t>
            </w:r>
          </w:p>
          <w:p>
            <w:pPr>
              <w:pStyle w:val="Style24"/>
              <w:widowControl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16 000</w:t>
            </w:r>
          </w:p>
        </w:tc>
        <w:tc>
          <w:tcPr>
            <w:tcW w:w="1108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Style24"/>
              <w:widowControl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Style24"/>
              <w:widowControl w:val="false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10 000</w:t>
            </w:r>
          </w:p>
          <w:p>
            <w:pPr>
              <w:pStyle w:val="Style24"/>
              <w:widowControl w:val="false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20 000</w:t>
            </w:r>
          </w:p>
        </w:tc>
        <w:tc>
          <w:tcPr>
            <w:tcW w:w="10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yle24"/>
              <w:widowControl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Style24"/>
              <w:widowControl w:val="false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12 000</w:t>
            </w:r>
          </w:p>
          <w:p>
            <w:pPr>
              <w:pStyle w:val="Style24"/>
              <w:widowControl w:val="false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24 000</w:t>
            </w:r>
          </w:p>
        </w:tc>
      </w:tr>
      <w:tr>
        <w:trPr>
          <w:trHeight w:val="332" w:hRule="atLeast"/>
        </w:trPr>
        <w:tc>
          <w:tcPr>
            <w:tcW w:w="3823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Style24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Tier-1 (ядро-час)</w:t>
            </w:r>
          </w:p>
        </w:tc>
        <w:tc>
          <w:tcPr>
            <w:tcW w:w="1113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Style24"/>
              <w:widowControl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3 500 000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Style24"/>
              <w:widowControl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5 000 000</w:t>
            </w:r>
          </w:p>
        </w:tc>
        <w:tc>
          <w:tcPr>
            <w:tcW w:w="111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Style24"/>
              <w:widowControl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9 000 000</w:t>
            </w:r>
          </w:p>
        </w:tc>
        <w:tc>
          <w:tcPr>
            <w:tcW w:w="1108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Style24"/>
              <w:widowControl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9 000 000</w:t>
            </w:r>
          </w:p>
        </w:tc>
        <w:tc>
          <w:tcPr>
            <w:tcW w:w="10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yle24"/>
              <w:widowControl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9 000 000</w:t>
            </w:r>
          </w:p>
        </w:tc>
      </w:tr>
      <w:tr>
        <w:trPr>
          <w:trHeight w:val="319" w:hRule="atLeast"/>
        </w:trPr>
        <w:tc>
          <w:tcPr>
            <w:tcW w:w="3823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Style24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Tier-2 (ядро-час)</w:t>
            </w:r>
          </w:p>
        </w:tc>
        <w:tc>
          <w:tcPr>
            <w:tcW w:w="1113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Style24"/>
              <w:widowControl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3 000 000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Style24"/>
              <w:widowControl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4 000 000</w:t>
            </w:r>
          </w:p>
        </w:tc>
        <w:tc>
          <w:tcPr>
            <w:tcW w:w="111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Style24"/>
              <w:widowControl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7 500 000</w:t>
            </w:r>
          </w:p>
        </w:tc>
        <w:tc>
          <w:tcPr>
            <w:tcW w:w="1108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Style24"/>
              <w:widowControl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8 000 000</w:t>
            </w:r>
          </w:p>
        </w:tc>
        <w:tc>
          <w:tcPr>
            <w:tcW w:w="10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yle24"/>
              <w:widowControl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8 000 000</w:t>
            </w:r>
          </w:p>
        </w:tc>
      </w:tr>
      <w:tr>
        <w:trPr>
          <w:trHeight w:val="1103" w:hRule="atLeast"/>
        </w:trPr>
        <w:tc>
          <w:tcPr>
            <w:tcW w:w="3823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Style24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СК «Говорун» (ядро-час)</w:t>
            </w:r>
          </w:p>
          <w:p>
            <w:pPr>
              <w:pStyle w:val="Style24"/>
              <w:widowControl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- CPU</w:t>
            </w:r>
          </w:p>
          <w:p>
            <w:pPr>
              <w:pStyle w:val="Style24"/>
              <w:widowControl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- GPU</w:t>
            </w:r>
          </w:p>
        </w:tc>
        <w:tc>
          <w:tcPr>
            <w:tcW w:w="1113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Style24"/>
              <w:widowControl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Style24"/>
              <w:widowControl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800 000</w:t>
            </w:r>
          </w:p>
          <w:p>
            <w:pPr>
              <w:pStyle w:val="Style24"/>
              <w:widowControl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-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Style24"/>
              <w:widowControl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Style24"/>
              <w:widowControl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1 000 000</w:t>
            </w:r>
          </w:p>
          <w:p>
            <w:pPr>
              <w:pStyle w:val="Style24"/>
              <w:widowControl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-</w:t>
            </w:r>
          </w:p>
        </w:tc>
        <w:tc>
          <w:tcPr>
            <w:tcW w:w="111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Style24"/>
              <w:widowControl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Style24"/>
              <w:widowControl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3 000 000</w:t>
            </w:r>
          </w:p>
          <w:p>
            <w:pPr>
              <w:pStyle w:val="Style24"/>
              <w:widowControl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-</w:t>
            </w:r>
          </w:p>
        </w:tc>
        <w:tc>
          <w:tcPr>
            <w:tcW w:w="1108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Style24"/>
              <w:widowControl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Style24"/>
              <w:widowControl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1 000 000</w:t>
            </w:r>
          </w:p>
          <w:p>
            <w:pPr>
              <w:pStyle w:val="Style24"/>
              <w:widowControl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-</w:t>
            </w:r>
          </w:p>
        </w:tc>
        <w:tc>
          <w:tcPr>
            <w:tcW w:w="10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yle24"/>
              <w:widowControl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Style24"/>
              <w:widowControl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3 000 000</w:t>
            </w:r>
          </w:p>
          <w:p>
            <w:pPr>
              <w:pStyle w:val="Style24"/>
              <w:widowControl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3823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Style24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Облака (CPU ядер)</w:t>
            </w:r>
          </w:p>
        </w:tc>
        <w:tc>
          <w:tcPr>
            <w:tcW w:w="1113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Style24"/>
              <w:widowControl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Style24"/>
              <w:widowControl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111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Style24"/>
              <w:widowControl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1108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Style24"/>
              <w:widowControl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10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yle24"/>
              <w:widowControl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</w:tr>
    </w:tbl>
    <w:p>
      <w:pPr>
        <w:pStyle w:val="Normal"/>
        <w:spacing w:lineRule="atLeast" w:line="240" w:before="0" w:after="0"/>
        <w:jc w:val="both"/>
        <w:rPr/>
      </w:pPr>
      <w:r>
        <w:rPr/>
      </w:r>
    </w:p>
    <w:p>
      <w:pPr>
        <w:pStyle w:val="Normal"/>
        <w:spacing w:lineRule="atLeast" w:line="240" w:before="0" w:after="0"/>
        <w:jc w:val="both"/>
        <w:rPr/>
      </w:pPr>
      <w:r>
        <w:rPr/>
      </w:r>
    </w:p>
    <w:p>
      <w:pPr>
        <w:pStyle w:val="Normal"/>
        <w:spacing w:lineRule="atLeast" w:line="240"/>
        <w:rPr>
          <w:b/>
        </w:rPr>
      </w:pPr>
      <w:r>
        <w:rPr>
          <w:b/>
        </w:rPr>
        <w:t>2.5. Участвующие страны, научные и научно-образовательные организации:</w:t>
      </w:r>
    </w:p>
    <w:tbl>
      <w:tblPr>
        <w:tblW w:w="9937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2972"/>
        <w:gridCol w:w="1276"/>
        <w:gridCol w:w="1559"/>
        <w:gridCol w:w="2124"/>
        <w:gridCol w:w="2006"/>
      </w:tblGrid>
      <w:tr>
        <w:trPr/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171" w:after="17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Организация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171" w:after="17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Город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Участники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Тип соглашения</w:t>
            </w:r>
          </w:p>
        </w:tc>
      </w:tr>
      <w:tr>
        <w:trPr/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both"/>
              <w:rPr/>
            </w:pPr>
            <w:r>
              <w:rPr/>
              <w:t>Национальная научная лаборатория имени А. И. Алиханяна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Армения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Ереван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bCs/>
              </w:rPr>
            </w:pPr>
            <w:r>
              <w:rPr>
                <w:bCs/>
              </w:rPr>
              <w:t xml:space="preserve">О.Григорян, В.Абгарян, А.Айриян, Н.Геворкян, И.Кадочников, В.Папоян, А.Пилоян  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 xml:space="preserve">МоВ от 29/10/2020 </w:t>
            </w:r>
          </w:p>
        </w:tc>
      </w:tr>
      <w:tr>
        <w:trPr/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Государственное научное учреждение «Объединенный институт энергетических и ядерных исследований – Сосны» Национальной академии наук Беларуси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Беларусь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Минск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b/>
                <w:bCs/>
              </w:rPr>
            </w:pPr>
            <w:r>
              <w:rPr>
                <w:bCs/>
              </w:rPr>
              <w:t xml:space="preserve">Л.Бабичев, </w:t>
            </w:r>
            <w:r>
              <w:rPr/>
              <w:t>Ю.Русак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МоВ в стадии подписания</w:t>
            </w:r>
          </w:p>
        </w:tc>
      </w:tr>
      <w:tr>
        <w:trPr/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  <w:color w:val="333333"/>
              </w:rPr>
              <w:t>Пловдивский университет имени Паисия Хилендарского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Болгария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Пловдив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bCs/>
              </w:rPr>
            </w:pPr>
            <w:r>
              <w:rPr>
                <w:bCs/>
              </w:rPr>
              <w:t>М.Ф.Шопова, Б.Дабровска, П.Дулов, Н.Гераксиев, М.Илиева, Д.Сувариева, Л.Йорданова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МоВ от 16/11/2020</w:t>
            </w:r>
          </w:p>
        </w:tc>
      </w:tr>
      <w:tr>
        <w:trPr/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both"/>
              <w:rPr/>
            </w:pPr>
            <w:r>
              <w:rPr>
                <w:color w:val="333333"/>
              </w:rPr>
              <w:t>Тбилисский государственный университет имени И. Джавахишвили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Грузия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Тбилиси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bCs/>
              </w:rPr>
            </w:pPr>
            <w:r>
              <w:rPr>
                <w:bCs/>
              </w:rPr>
              <w:t>Р.Шанидзе, Т.Бабутсидзе, Г.Качлишвили, В.Киквадзе, А.Мачавариани, М.Ниорадзе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Нет соглашения</w:t>
            </w:r>
          </w:p>
        </w:tc>
      </w:tr>
      <w:tr>
        <w:trPr/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Физико-технический институт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Казахстан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Алматы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b/>
                <w:bCs/>
              </w:rPr>
            </w:pPr>
            <w:r>
              <w:rPr>
                <w:bCs/>
              </w:rPr>
              <w:t>И.Лебедев, Е.Бондарь, А.Федосимова, С.Ибраимова, Т.Идрисова, Б.Искаков, Д.Мыктыбеков, Ж.Садыков, А.Серикканов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МоВ в стадии подписания</w:t>
            </w:r>
          </w:p>
        </w:tc>
      </w:tr>
      <w:tr>
        <w:trPr/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  <w:color w:val="333333"/>
              </w:rPr>
              <w:t>Китайский университет “Три ущелья” 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Китай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Ичан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6"/>
              <w:widowControl w:val="false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Cs/>
                <w:sz w:val="24"/>
                <w:szCs w:val="24"/>
              </w:rPr>
              <w:t>С.Ли,</w:t>
            </w:r>
          </w:p>
          <w:p>
            <w:pPr>
              <w:pStyle w:val="Style26"/>
              <w:widowControl w:val="false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Cs/>
                <w:sz w:val="24"/>
                <w:szCs w:val="24"/>
              </w:rPr>
              <w:t xml:space="preserve">С.Фэн, </w:t>
            </w:r>
          </w:p>
          <w:p>
            <w:pPr>
              <w:pStyle w:val="Style26"/>
              <w:widowControl w:val="false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Cs/>
                <w:sz w:val="24"/>
                <w:szCs w:val="24"/>
              </w:rPr>
              <w:t xml:space="preserve">К.Ву, </w:t>
            </w:r>
          </w:p>
          <w:p>
            <w:pPr>
              <w:pStyle w:val="Style26"/>
              <w:widowControl w:val="false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Cs/>
                <w:sz w:val="24"/>
                <w:szCs w:val="24"/>
              </w:rPr>
              <w:t>С.Юань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  <w:lang w:val="en-US"/>
              </w:rPr>
            </w:pPr>
            <w:r>
              <w:rPr>
                <w:rFonts w:ascii="times new roman;times;serif" w:hAnsi="times new roman;times;serif"/>
              </w:rPr>
              <w:t xml:space="preserve">МоВ от </w:t>
            </w:r>
            <w:r>
              <w:rPr>
                <w:rFonts w:ascii="times new roman;times;serif" w:hAnsi="times new roman;times;serif"/>
                <w:lang w:val="en-US"/>
              </w:rPr>
              <w:t>2</w:t>
            </w:r>
            <w:r>
              <w:rPr>
                <w:rFonts w:ascii="times new roman;times;serif" w:hAnsi="times new roman;times;serif"/>
              </w:rPr>
              <w:t>6/11/202</w:t>
            </w:r>
            <w:r>
              <w:rPr>
                <w:rFonts w:ascii="times new roman;times;serif" w:hAnsi="times new roman;times;serif"/>
                <w:lang w:val="en-US"/>
              </w:rPr>
              <w:t>1</w:t>
            </w:r>
          </w:p>
        </w:tc>
      </w:tr>
      <w:tr>
        <w:trPr/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  <w:color w:val="333333"/>
              </w:rPr>
              <w:t>Институт современной физики Китайской академии наук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Китай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Ланьчжоу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6"/>
              <w:widowControl w:val="false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Cs/>
                <w:sz w:val="24"/>
                <w:szCs w:val="24"/>
              </w:rPr>
              <w:t xml:space="preserve">С.Ли, </w:t>
            </w:r>
          </w:p>
          <w:p>
            <w:pPr>
              <w:pStyle w:val="Style26"/>
              <w:widowControl w:val="false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Cs/>
                <w:sz w:val="24"/>
                <w:szCs w:val="24"/>
              </w:rPr>
              <w:t xml:space="preserve">З.Ли, </w:t>
            </w:r>
          </w:p>
          <w:p>
            <w:pPr>
              <w:pStyle w:val="Style26"/>
              <w:widowControl w:val="false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Cs/>
                <w:sz w:val="24"/>
                <w:szCs w:val="24"/>
              </w:rPr>
              <w:t xml:space="preserve">С.Ню, </w:t>
            </w:r>
          </w:p>
          <w:p>
            <w:pPr>
              <w:pStyle w:val="Style26"/>
              <w:widowControl w:val="false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Cs/>
                <w:sz w:val="24"/>
                <w:szCs w:val="24"/>
              </w:rPr>
              <w:t xml:space="preserve">Ю.Ван, </w:t>
            </w:r>
          </w:p>
          <w:p>
            <w:pPr>
              <w:pStyle w:val="Style26"/>
              <w:widowControl w:val="false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Cs/>
                <w:sz w:val="24"/>
                <w:szCs w:val="24"/>
              </w:rPr>
              <w:t xml:space="preserve">Н.Сюй, </w:t>
            </w:r>
          </w:p>
          <w:p>
            <w:pPr>
              <w:pStyle w:val="Style26"/>
              <w:widowControl w:val="false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Cs/>
                <w:sz w:val="24"/>
                <w:szCs w:val="24"/>
              </w:rPr>
              <w:t xml:space="preserve">Х.Янг, </w:t>
            </w:r>
          </w:p>
          <w:p>
            <w:pPr>
              <w:pStyle w:val="Style26"/>
              <w:widowControl w:val="false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Cs/>
                <w:sz w:val="24"/>
                <w:szCs w:val="24"/>
              </w:rPr>
              <w:t xml:space="preserve">Япэн Чжан, </w:t>
            </w:r>
          </w:p>
          <w:p>
            <w:pPr>
              <w:pStyle w:val="Style26"/>
              <w:widowControl w:val="false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Cs/>
                <w:sz w:val="24"/>
                <w:szCs w:val="24"/>
              </w:rPr>
              <w:t>Юэчжао Чжан,</w:t>
            </w:r>
          </w:p>
          <w:p>
            <w:pPr>
              <w:pStyle w:val="Style26"/>
              <w:widowControl w:val="false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Cs/>
                <w:sz w:val="24"/>
                <w:szCs w:val="24"/>
              </w:rPr>
              <w:t>С.С.Чжао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Нет соглашения</w:t>
            </w:r>
          </w:p>
        </w:tc>
      </w:tr>
      <w:tr>
        <w:trPr/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  <w:color w:val="333333"/>
              </w:rPr>
              <w:t>Университет Цинхуа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Китай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Пекин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6"/>
              <w:widowControl w:val="false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Cs/>
                <w:sz w:val="24"/>
                <w:szCs w:val="24"/>
              </w:rPr>
              <w:t xml:space="preserve">И.Ван, </w:t>
            </w:r>
          </w:p>
          <w:p>
            <w:pPr>
              <w:pStyle w:val="Style26"/>
              <w:widowControl w:val="false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Cs/>
                <w:sz w:val="24"/>
                <w:szCs w:val="24"/>
              </w:rPr>
              <w:t xml:space="preserve">З.Дэн, </w:t>
            </w:r>
          </w:p>
          <w:p>
            <w:pPr>
              <w:pStyle w:val="Style26"/>
              <w:widowControl w:val="false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Cs/>
                <w:sz w:val="24"/>
                <w:szCs w:val="24"/>
              </w:rPr>
              <w:t xml:space="preserve">Д.Хань, </w:t>
            </w:r>
          </w:p>
          <w:p>
            <w:pPr>
              <w:pStyle w:val="Style26"/>
              <w:widowControl w:val="false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Cs/>
                <w:sz w:val="24"/>
                <w:szCs w:val="24"/>
              </w:rPr>
              <w:t xml:space="preserve">Ю.Хуан, </w:t>
            </w:r>
          </w:p>
          <w:p>
            <w:pPr>
              <w:pStyle w:val="Style26"/>
              <w:widowControl w:val="false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Cs/>
                <w:sz w:val="24"/>
                <w:szCs w:val="24"/>
              </w:rPr>
              <w:t xml:space="preserve">Л.Ли, </w:t>
            </w:r>
          </w:p>
          <w:p>
            <w:pPr>
              <w:pStyle w:val="Style26"/>
              <w:widowControl w:val="false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Cs/>
                <w:sz w:val="24"/>
                <w:szCs w:val="24"/>
              </w:rPr>
              <w:t xml:space="preserve">Ю.Ли, </w:t>
            </w:r>
          </w:p>
          <w:p>
            <w:pPr>
              <w:pStyle w:val="Style26"/>
              <w:widowControl w:val="false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Cs/>
                <w:sz w:val="24"/>
                <w:szCs w:val="24"/>
              </w:rPr>
              <w:t xml:space="preserve">К.Шен, </w:t>
            </w:r>
          </w:p>
          <w:p>
            <w:pPr>
              <w:pStyle w:val="Style26"/>
              <w:widowControl w:val="false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Cs/>
                <w:sz w:val="24"/>
                <w:szCs w:val="24"/>
              </w:rPr>
              <w:t xml:space="preserve">З.Сяо, </w:t>
            </w:r>
          </w:p>
          <w:p>
            <w:pPr>
              <w:pStyle w:val="Style26"/>
              <w:widowControl w:val="false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Cs/>
                <w:sz w:val="24"/>
                <w:szCs w:val="24"/>
              </w:rPr>
              <w:t xml:space="preserve">З.Сюй, </w:t>
            </w:r>
          </w:p>
          <w:p>
            <w:pPr>
              <w:pStyle w:val="Style26"/>
              <w:widowControl w:val="false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Cs/>
                <w:sz w:val="24"/>
                <w:szCs w:val="24"/>
              </w:rPr>
              <w:t xml:space="preserve">С.Чжу, </w:t>
            </w:r>
          </w:p>
          <w:p>
            <w:pPr>
              <w:pStyle w:val="Style26"/>
              <w:widowControl w:val="false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Cs/>
                <w:sz w:val="24"/>
                <w:szCs w:val="24"/>
              </w:rPr>
              <w:t>П.Чжуан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МоВ от 16/03/2021</w:t>
            </w:r>
          </w:p>
        </w:tc>
      </w:tr>
      <w:tr>
        <w:trPr/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  <w:color w:val="333333"/>
              </w:rPr>
              <w:t>Университет Китайской академии наук, Факультет ядерной науки и технологий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>
                <w:lang w:val="en-US"/>
              </w:rPr>
            </w:pPr>
            <w:r>
              <w:rPr>
                <w:lang w:val="en-US"/>
              </w:rPr>
              <w:t>Китай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Ланьчжоу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6"/>
              <w:widowControl w:val="false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Cs/>
                <w:sz w:val="24"/>
                <w:szCs w:val="24"/>
              </w:rPr>
              <w:t>Г.Се,</w:t>
            </w:r>
          </w:p>
          <w:p>
            <w:pPr>
              <w:pStyle w:val="Style26"/>
              <w:widowControl w:val="false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Cs/>
                <w:sz w:val="24"/>
                <w:szCs w:val="24"/>
              </w:rPr>
              <w:t xml:space="preserve">М.Хуан, </w:t>
            </w:r>
          </w:p>
          <w:p>
            <w:pPr>
              <w:pStyle w:val="Style26"/>
              <w:widowControl w:val="false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Cs/>
                <w:sz w:val="24"/>
                <w:szCs w:val="24"/>
              </w:rPr>
              <w:t xml:space="preserve">Ю.Шен, </w:t>
            </w:r>
          </w:p>
          <w:p>
            <w:pPr>
              <w:pStyle w:val="Style26"/>
              <w:widowControl w:val="false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Cs/>
                <w:sz w:val="24"/>
                <w:szCs w:val="24"/>
              </w:rPr>
              <w:t>Цз.Юань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МоВ от 21/04/2021</w:t>
            </w:r>
          </w:p>
        </w:tc>
      </w:tr>
      <w:tr>
        <w:trPr/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both"/>
              <w:rPr/>
            </w:pPr>
            <w:r>
              <w:rPr>
                <w:color w:val="333333"/>
              </w:rPr>
              <w:t>Институт физики элементарных частиц, Центральный китайский педагогический университет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>
                <w:lang w:val="en-US"/>
              </w:rPr>
            </w:pPr>
            <w:r>
              <w:rPr>
                <w:lang w:val="en-US"/>
              </w:rPr>
              <w:t>Китай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Ухань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6"/>
              <w:widowControl w:val="false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Cs/>
                <w:sz w:val="24"/>
                <w:szCs w:val="24"/>
              </w:rPr>
              <w:t xml:space="preserve">И.Ван, </w:t>
            </w:r>
          </w:p>
          <w:p>
            <w:pPr>
              <w:pStyle w:val="Style26"/>
              <w:widowControl w:val="false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Cs/>
                <w:sz w:val="24"/>
                <w:szCs w:val="24"/>
              </w:rPr>
              <w:t xml:space="preserve">Ф.Лю, </w:t>
            </w:r>
          </w:p>
          <w:p>
            <w:pPr>
              <w:pStyle w:val="Style26"/>
              <w:widowControl w:val="false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Cs/>
                <w:sz w:val="24"/>
                <w:szCs w:val="24"/>
              </w:rPr>
              <w:t xml:space="preserve">С.Ши, </w:t>
            </w:r>
          </w:p>
          <w:p>
            <w:pPr>
              <w:pStyle w:val="Style26"/>
              <w:widowControl w:val="false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Cs/>
                <w:sz w:val="24"/>
                <w:szCs w:val="24"/>
              </w:rPr>
              <w:t>С.Сун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МоВ от 14/05/2021</w:t>
            </w:r>
          </w:p>
        </w:tc>
      </w:tr>
      <w:tr>
        <w:trPr/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  <w:color w:val="333333"/>
              </w:rPr>
              <w:t>Университет Хучжоу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>
                <w:lang w:val="en-US"/>
              </w:rPr>
            </w:pPr>
            <w:r>
              <w:rPr>
                <w:lang w:val="en-US"/>
              </w:rPr>
              <w:t>Китай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Хучжоу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6"/>
              <w:widowControl w:val="false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Cs/>
                <w:sz w:val="24"/>
                <w:szCs w:val="24"/>
              </w:rPr>
              <w:t xml:space="preserve">Ж.-С.Ван, </w:t>
            </w:r>
          </w:p>
          <w:p>
            <w:pPr>
              <w:pStyle w:val="Style26"/>
              <w:widowControl w:val="false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Cs/>
                <w:sz w:val="24"/>
                <w:szCs w:val="24"/>
              </w:rPr>
              <w:t xml:space="preserve">Ю.Гу, </w:t>
            </w:r>
          </w:p>
          <w:p>
            <w:pPr>
              <w:pStyle w:val="Style26"/>
              <w:widowControl w:val="false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Cs/>
                <w:sz w:val="24"/>
                <w:szCs w:val="24"/>
              </w:rPr>
              <w:t>П.Ли,</w:t>
            </w:r>
          </w:p>
          <w:p>
            <w:pPr>
              <w:pStyle w:val="Style26"/>
              <w:widowControl w:val="false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Cs/>
                <w:sz w:val="24"/>
                <w:szCs w:val="24"/>
              </w:rPr>
              <w:t>С.Сун,</w:t>
            </w:r>
          </w:p>
          <w:p>
            <w:pPr>
              <w:pStyle w:val="Style26"/>
              <w:widowControl w:val="false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Cs/>
                <w:sz w:val="24"/>
                <w:szCs w:val="24"/>
              </w:rPr>
              <w:t xml:space="preserve">Ф.Ван, </w:t>
            </w:r>
          </w:p>
          <w:p>
            <w:pPr>
              <w:pStyle w:val="Style26"/>
              <w:widowControl w:val="false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Cs/>
                <w:sz w:val="24"/>
                <w:szCs w:val="24"/>
              </w:rPr>
              <w:t xml:space="preserve">Х.Сюй, </w:t>
            </w:r>
          </w:p>
          <w:p>
            <w:pPr>
              <w:pStyle w:val="Style26"/>
              <w:widowControl w:val="false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Cs/>
                <w:sz w:val="24"/>
                <w:szCs w:val="24"/>
              </w:rPr>
              <w:t>С.Чжу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МоВ от 26/11/2021</w:t>
            </w:r>
          </w:p>
        </w:tc>
      </w:tr>
      <w:tr>
        <w:trPr/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  <w:color w:val="333333"/>
              </w:rPr>
              <w:t>Университет Южного Китая 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>
                <w:lang w:val="en-US"/>
              </w:rPr>
            </w:pPr>
            <w:r>
              <w:rPr>
                <w:lang w:val="en-US"/>
              </w:rPr>
              <w:t>Китай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Хэнъян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6"/>
              <w:widowControl w:val="false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Cs/>
                <w:sz w:val="24"/>
                <w:szCs w:val="24"/>
              </w:rPr>
              <w:t xml:space="preserve">С.Ван, </w:t>
            </w:r>
          </w:p>
          <w:p>
            <w:pPr>
              <w:pStyle w:val="Style26"/>
              <w:widowControl w:val="false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Cs/>
                <w:sz w:val="24"/>
                <w:szCs w:val="24"/>
              </w:rPr>
              <w:t xml:space="preserve">С.Ли, </w:t>
            </w:r>
          </w:p>
          <w:p>
            <w:pPr>
              <w:pStyle w:val="Style26"/>
              <w:widowControl w:val="false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Cs/>
                <w:sz w:val="24"/>
                <w:szCs w:val="24"/>
              </w:rPr>
              <w:t xml:space="preserve">Т.Ю, </w:t>
            </w:r>
          </w:p>
          <w:p>
            <w:pPr>
              <w:pStyle w:val="Style26"/>
              <w:widowControl w:val="false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Cs/>
                <w:sz w:val="24"/>
                <w:szCs w:val="24"/>
              </w:rPr>
              <w:t xml:space="preserve">С.Чжао, </w:t>
            </w:r>
          </w:p>
          <w:p>
            <w:pPr>
              <w:pStyle w:val="Style26"/>
              <w:widowControl w:val="false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Cs/>
                <w:sz w:val="24"/>
                <w:szCs w:val="24"/>
              </w:rPr>
              <w:t>Б.Чжэн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МоВ от 2</w:t>
            </w:r>
            <w:r>
              <w:rPr>
                <w:rFonts w:ascii="times new roman;times;serif" w:hAnsi="times new roman;times;serif"/>
                <w:lang w:val="en-US"/>
              </w:rPr>
              <w:t>1</w:t>
            </w:r>
            <w:r>
              <w:rPr>
                <w:rFonts w:ascii="times new roman;times;serif" w:hAnsi="times new roman;times;serif"/>
              </w:rPr>
              <w:t>/</w:t>
            </w:r>
            <w:r>
              <w:rPr>
                <w:rFonts w:ascii="times new roman;times;serif" w:hAnsi="times new roman;times;serif"/>
                <w:lang w:val="en-US"/>
              </w:rPr>
              <w:t>07</w:t>
            </w:r>
            <w:r>
              <w:rPr>
                <w:rFonts w:ascii="times new roman;times;serif" w:hAnsi="times new roman;times;serif"/>
              </w:rPr>
              <w:t>/2021</w:t>
            </w:r>
          </w:p>
        </w:tc>
      </w:tr>
      <w:tr>
        <w:trPr/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  <w:color w:val="333333"/>
              </w:rPr>
              <w:t>Научно-технический университет Китая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>
                <w:lang w:val="en-US"/>
              </w:rPr>
            </w:pPr>
            <w:r>
              <w:rPr>
                <w:lang w:val="en-US"/>
              </w:rPr>
              <w:t>Китай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>
                <w:rFonts w:ascii="times new roman;times;serif" w:hAnsi="times new roman;times;serif"/>
              </w:rPr>
              <w:t>Хэфэй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6"/>
              <w:widowControl w:val="false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Cs/>
                <w:sz w:val="24"/>
                <w:szCs w:val="24"/>
              </w:rPr>
              <w:t xml:space="preserve">З.Тан, </w:t>
            </w:r>
          </w:p>
          <w:p>
            <w:pPr>
              <w:pStyle w:val="Style26"/>
              <w:widowControl w:val="false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Cs/>
                <w:sz w:val="24"/>
                <w:szCs w:val="24"/>
              </w:rPr>
              <w:t xml:space="preserve">С.Чен, </w:t>
            </w:r>
          </w:p>
          <w:p>
            <w:pPr>
              <w:pStyle w:val="Style26"/>
              <w:widowControl w:val="false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Cs/>
                <w:sz w:val="24"/>
                <w:szCs w:val="24"/>
              </w:rPr>
              <w:t xml:space="preserve">К.Цзян, </w:t>
            </w:r>
          </w:p>
          <w:p>
            <w:pPr>
              <w:pStyle w:val="Style26"/>
              <w:widowControl w:val="false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Cs/>
                <w:sz w:val="24"/>
                <w:szCs w:val="24"/>
              </w:rPr>
              <w:t xml:space="preserve">С. Ли, </w:t>
            </w:r>
          </w:p>
          <w:p>
            <w:pPr>
              <w:pStyle w:val="Style26"/>
              <w:widowControl w:val="false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Cs/>
                <w:sz w:val="24"/>
                <w:szCs w:val="24"/>
              </w:rPr>
              <w:t xml:space="preserve">З. Ли, </w:t>
            </w:r>
          </w:p>
          <w:p>
            <w:pPr>
              <w:pStyle w:val="Style26"/>
              <w:widowControl w:val="false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Cs/>
                <w:sz w:val="24"/>
                <w:szCs w:val="24"/>
              </w:rPr>
              <w:t xml:space="preserve">П. Лу, </w:t>
            </w:r>
          </w:p>
          <w:p>
            <w:pPr>
              <w:pStyle w:val="Style26"/>
              <w:widowControl w:val="false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Cs/>
                <w:sz w:val="24"/>
                <w:szCs w:val="24"/>
              </w:rPr>
              <w:t xml:space="preserve">М. Шао, </w:t>
            </w:r>
          </w:p>
          <w:p>
            <w:pPr>
              <w:pStyle w:val="Style26"/>
              <w:widowControl w:val="false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Cs/>
                <w:sz w:val="24"/>
                <w:szCs w:val="24"/>
              </w:rPr>
              <w:t xml:space="preserve">Ю. Сун, </w:t>
            </w:r>
          </w:p>
          <w:p>
            <w:pPr>
              <w:pStyle w:val="Style26"/>
              <w:widowControl w:val="false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Cs/>
                <w:sz w:val="24"/>
                <w:szCs w:val="24"/>
              </w:rPr>
              <w:t xml:space="preserve">Ю. Ван, </w:t>
            </w:r>
          </w:p>
          <w:p>
            <w:pPr>
              <w:pStyle w:val="Style26"/>
              <w:widowControl w:val="false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Cs/>
                <w:sz w:val="24"/>
                <w:szCs w:val="24"/>
              </w:rPr>
              <w:t xml:space="preserve">В. Чжа, </w:t>
            </w:r>
          </w:p>
          <w:p>
            <w:pPr>
              <w:pStyle w:val="Style26"/>
              <w:widowControl w:val="false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Cs/>
                <w:sz w:val="24"/>
                <w:szCs w:val="24"/>
              </w:rPr>
              <w:t>Ю. Чжан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 xml:space="preserve">МоВ от </w:t>
            </w:r>
            <w:r>
              <w:rPr>
                <w:rFonts w:ascii="times new roman;times;serif" w:hAnsi="times new roman;times;serif"/>
                <w:lang w:val="en-US"/>
              </w:rPr>
              <w:t>14</w:t>
            </w:r>
            <w:r>
              <w:rPr>
                <w:rFonts w:ascii="times new roman;times;serif" w:hAnsi="times new roman;times;serif"/>
              </w:rPr>
              <w:t>/0</w:t>
            </w:r>
            <w:r>
              <w:rPr>
                <w:rFonts w:ascii="times new roman;times;serif" w:hAnsi="times new roman;times;serif"/>
                <w:lang w:val="en-US"/>
              </w:rPr>
              <w:t>5</w:t>
            </w:r>
            <w:r>
              <w:rPr>
                <w:rFonts w:ascii="times new roman;times;serif" w:hAnsi="times new roman;times;serif"/>
              </w:rPr>
              <w:t>/2021</w:t>
            </w:r>
          </w:p>
        </w:tc>
      </w:tr>
      <w:tr>
        <w:trPr/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  <w:color w:val="333333"/>
              </w:rPr>
              <w:t>Шаньдунский университет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>
                <w:lang w:val="en-US"/>
              </w:rPr>
            </w:pPr>
            <w:r>
              <w:rPr>
                <w:lang w:val="en-US"/>
              </w:rPr>
              <w:t>Китай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Цзинань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6"/>
              <w:widowControl w:val="false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Cs/>
                <w:sz w:val="24"/>
                <w:szCs w:val="24"/>
              </w:rPr>
              <w:t xml:space="preserve">Ч.Янг, </w:t>
            </w:r>
          </w:p>
          <w:p>
            <w:pPr>
              <w:pStyle w:val="Style26"/>
              <w:widowControl w:val="false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Cs/>
                <w:sz w:val="24"/>
                <w:szCs w:val="24"/>
              </w:rPr>
              <w:t xml:space="preserve">З.Чен, </w:t>
            </w:r>
          </w:p>
          <w:p>
            <w:pPr>
              <w:pStyle w:val="Style26"/>
              <w:widowControl w:val="false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Cs/>
                <w:sz w:val="24"/>
                <w:szCs w:val="24"/>
              </w:rPr>
              <w:t xml:space="preserve">К.Фэн, </w:t>
            </w:r>
          </w:p>
          <w:p>
            <w:pPr>
              <w:pStyle w:val="Style26"/>
              <w:widowControl w:val="false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Cs/>
                <w:sz w:val="24"/>
                <w:szCs w:val="24"/>
              </w:rPr>
              <w:t xml:space="preserve">Цз.Цзяо, </w:t>
            </w:r>
          </w:p>
          <w:p>
            <w:pPr>
              <w:pStyle w:val="Style26"/>
              <w:widowControl w:val="false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Cs/>
                <w:sz w:val="24"/>
                <w:szCs w:val="24"/>
              </w:rPr>
              <w:t xml:space="preserve">Д.Лю, </w:t>
            </w:r>
          </w:p>
          <w:p>
            <w:pPr>
              <w:pStyle w:val="Style26"/>
              <w:widowControl w:val="false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Cs/>
                <w:sz w:val="24"/>
                <w:szCs w:val="24"/>
              </w:rPr>
              <w:t xml:space="preserve">Ю.Ван, </w:t>
            </w:r>
          </w:p>
          <w:p>
            <w:pPr>
              <w:pStyle w:val="Style26"/>
              <w:widowControl w:val="false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Cs/>
                <w:sz w:val="24"/>
                <w:szCs w:val="24"/>
              </w:rPr>
              <w:t xml:space="preserve">Ю.Ван, </w:t>
            </w:r>
          </w:p>
          <w:p>
            <w:pPr>
              <w:pStyle w:val="Style26"/>
              <w:widowControl w:val="false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Cs/>
                <w:sz w:val="24"/>
                <w:szCs w:val="24"/>
              </w:rPr>
              <w:t xml:space="preserve">Ц.Сюй, </w:t>
            </w:r>
          </w:p>
          <w:p>
            <w:pPr>
              <w:pStyle w:val="Style26"/>
              <w:widowControl w:val="false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Cs/>
                <w:sz w:val="24"/>
                <w:szCs w:val="24"/>
              </w:rPr>
              <w:t>Ц.Ян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МоВ от 2</w:t>
            </w:r>
            <w:r>
              <w:rPr>
                <w:rFonts w:ascii="times new roman;times;serif" w:hAnsi="times new roman;times;serif"/>
                <w:lang w:val="en-US"/>
              </w:rPr>
              <w:t>7</w:t>
            </w:r>
            <w:r>
              <w:rPr>
                <w:rFonts w:ascii="times new roman;times;serif" w:hAnsi="times new roman;times;serif"/>
              </w:rPr>
              <w:t>/0</w:t>
            </w:r>
            <w:r>
              <w:rPr>
                <w:rFonts w:ascii="times new roman;times;serif" w:hAnsi="times new roman;times;serif"/>
                <w:lang w:val="en-US"/>
              </w:rPr>
              <w:t>5</w:t>
            </w:r>
            <w:r>
              <w:rPr>
                <w:rFonts w:ascii="times new roman;times;serif" w:hAnsi="times new roman;times;serif"/>
              </w:rPr>
              <w:t>/2021</w:t>
            </w:r>
          </w:p>
        </w:tc>
      </w:tr>
      <w:tr>
        <w:trPr/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  <w:color w:val="333333"/>
              </w:rPr>
              <w:t>Шанхайский институт прикладной физики Китайской академии наук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>
                <w:lang w:val="en-US"/>
              </w:rPr>
            </w:pPr>
            <w:r>
              <w:rPr>
                <w:lang w:val="en-US"/>
              </w:rPr>
              <w:t>Китай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Шанхай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6"/>
              <w:widowControl w:val="false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Cs/>
                <w:sz w:val="24"/>
                <w:szCs w:val="24"/>
              </w:rPr>
              <w:t xml:space="preserve">Д.Фан, </w:t>
            </w:r>
          </w:p>
          <w:p>
            <w:pPr>
              <w:pStyle w:val="Style26"/>
              <w:widowControl w:val="false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Cs/>
                <w:sz w:val="24"/>
                <w:szCs w:val="24"/>
              </w:rPr>
              <w:t xml:space="preserve">С.Цао, </w:t>
            </w:r>
          </w:p>
          <w:p>
            <w:pPr>
              <w:pStyle w:val="Style26"/>
              <w:widowControl w:val="false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Cs/>
                <w:sz w:val="24"/>
                <w:szCs w:val="24"/>
              </w:rPr>
              <w:t xml:space="preserve">Л.Лю, </w:t>
            </w:r>
          </w:p>
          <w:p>
            <w:pPr>
              <w:pStyle w:val="Style26"/>
              <w:widowControl w:val="false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Cs/>
                <w:sz w:val="24"/>
                <w:szCs w:val="24"/>
              </w:rPr>
              <w:t>Ф.Лу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МоВ от 27/04/2021</w:t>
            </w:r>
          </w:p>
        </w:tc>
      </w:tr>
      <w:tr>
        <w:trPr/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  <w:color w:val="333333"/>
              </w:rPr>
              <w:t>Высший институт технологий и прикладных наук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Куба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Гавана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6"/>
              <w:widowControl w:val="false"/>
              <w:rPr>
                <w:rFonts w:ascii="times new roman;times;serif" w:hAnsi="times new roman;times;serif"/>
                <w:sz w:val="24"/>
              </w:rPr>
            </w:pPr>
            <w:r>
              <w:rPr>
                <w:rFonts w:eastAsia="Calibri" w:cs="Times New Roman" w:ascii="Times New Roman" w:hAnsi="Times New Roman"/>
                <w:bCs/>
                <w:sz w:val="24"/>
                <w:szCs w:val="24"/>
              </w:rPr>
              <w:t>Гузман Ф. + 1 чел.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</w:r>
          </w:p>
        </w:tc>
      </w:tr>
      <w:tr>
        <w:trPr/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both"/>
              <w:rPr/>
            </w:pPr>
            <w:r>
              <w:rPr>
                <w:color w:val="333333"/>
              </w:rPr>
              <w:t>Центр исследований и перспективных исследований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Мексика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Мехико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bCs/>
              </w:rPr>
            </w:pPr>
            <w:r>
              <w:rPr>
                <w:bCs/>
              </w:rPr>
              <w:t xml:space="preserve">М.А.Аяла Торрес, Л.М.Монтаньо Зетина, М.А.Фонтейн Санчес  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Мексиканский консорциум, МоВ от 11/10/2019</w:t>
            </w:r>
          </w:p>
        </w:tc>
      </w:tr>
      <w:tr>
        <w:trPr/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both"/>
              <w:rPr/>
            </w:pPr>
            <w:r>
              <w:rPr/>
              <w:t>Институт ядерных наук Национального автономного университета Мексики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Мексика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Мехико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bCs/>
              </w:rPr>
            </w:pPr>
            <w:r>
              <w:rPr/>
              <w:t xml:space="preserve">М.Альварадо, А.Аяла, В.Битенхольц, Э.Куаутле, Р.Гарсия, Р.Гузман, М.Э.Патиньо  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Мексиканский консорциум, МоВ от 11/10/2019</w:t>
            </w:r>
          </w:p>
        </w:tc>
      </w:tr>
      <w:tr>
        <w:trPr/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both"/>
              <w:rPr/>
            </w:pPr>
            <w:r>
              <w:rPr/>
              <w:t>Столичный автономный университет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Мексика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Мехико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b/>
                <w:bCs/>
              </w:rPr>
            </w:pPr>
            <w:r>
              <w:rPr/>
              <w:t xml:space="preserve">И.Гаспар, Л.А.Эрнандес Росас, </w:t>
              <w:br/>
              <w:t xml:space="preserve">А.С.Хуан Лопес, Х.К.Маркес Рамирес  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Мексиканский консорциум, МоВ от 11/10/2019</w:t>
            </w:r>
          </w:p>
        </w:tc>
      </w:tr>
      <w:tr>
        <w:trPr/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both"/>
              <w:rPr/>
            </w:pPr>
            <w:r>
              <w:rPr>
                <w:color w:val="333333"/>
              </w:rPr>
              <w:t>Бенемеритский автономный университет Пуэблы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Мексика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Пуэбла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bCs/>
              </w:rPr>
            </w:pPr>
            <w:r>
              <w:rPr>
                <w:bCs/>
              </w:rPr>
              <w:t xml:space="preserve">Л.Г.Эспиноза Бельтран, Э.М.Барбоса, М.Р.Кауанци, К.Х.Сепеда Фернандес 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Мексиканский консорциум, МоВ от 11/10/2019</w:t>
            </w:r>
          </w:p>
        </w:tc>
      </w:tr>
      <w:tr>
        <w:trPr/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both"/>
              <w:rPr/>
            </w:pPr>
            <w:r>
              <w:rPr/>
              <w:t>Университет Колимы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Мексика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both"/>
              <w:rPr/>
            </w:pPr>
            <w:r>
              <w:rPr/>
              <w:t>Колима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bCs/>
              </w:rPr>
            </w:pPr>
            <w:r>
              <w:rPr/>
              <w:t xml:space="preserve">М.Эррера, М.Э.Техеда-Йоманс  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Мексиканский консорциум, МоВ от 11/10/2019</w:t>
            </w:r>
          </w:p>
        </w:tc>
      </w:tr>
      <w:tr>
        <w:trPr/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widowControl w:val="false"/>
              <w:spacing w:before="0" w:after="0"/>
              <w:jc w:val="both"/>
              <w:rPr/>
            </w:pPr>
            <w:r>
              <w:rPr/>
              <w:t>Автономный университет Синалоа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Мексика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widowControl w:val="false"/>
              <w:spacing w:before="0" w:after="0"/>
              <w:jc w:val="both"/>
              <w:rPr/>
            </w:pPr>
            <w:r>
              <w:rPr/>
              <w:t>Синалоа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widowControl w:val="false"/>
              <w:spacing w:before="0" w:after="160"/>
              <w:jc w:val="both"/>
              <w:rPr>
                <w:bCs/>
              </w:rPr>
            </w:pPr>
            <w:r>
              <w:rPr/>
              <w:t>И.Д. Хименес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Мексиканский консорциум, МоВ от 11/10/2019</w:t>
            </w:r>
          </w:p>
        </w:tc>
      </w:tr>
      <w:tr>
        <w:trPr/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both"/>
              <w:rPr/>
            </w:pPr>
            <w:r>
              <w:rPr/>
              <w:t>Университет Соноры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Мексика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both"/>
              <w:rPr/>
            </w:pPr>
            <w:r>
              <w:rPr>
                <w:rStyle w:val="Strong"/>
                <w:b w:val="false"/>
                <w:bCs w:val="false"/>
              </w:rPr>
              <w:t>Эрмосильо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/>
            </w:pPr>
            <w:r>
              <w:rPr/>
              <w:t xml:space="preserve">А.Г.Гарсия, Л.Реболледо  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Мексиканский консорциум, МоВ от 11/10/2019</w:t>
            </w:r>
          </w:p>
        </w:tc>
      </w:tr>
      <w:tr>
        <w:trPr/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both"/>
              <w:rPr/>
            </w:pPr>
            <w:r>
              <w:rPr/>
              <w:t>Университет Мичоакана де Сан Николас де Идальго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Мексика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both"/>
              <w:rPr/>
            </w:pPr>
            <w:r>
              <w:rPr>
                <w:rStyle w:val="Strong"/>
                <w:b w:val="false"/>
                <w:bCs w:val="false"/>
              </w:rPr>
              <w:t>Морелия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/>
            </w:pPr>
            <w:r>
              <w:rPr>
                <w:rStyle w:val="Strong"/>
                <w:b w:val="false"/>
                <w:bCs w:val="false"/>
              </w:rPr>
              <w:t xml:space="preserve">Х.Ансурес, И.Луна, П.Мартинес, С.Х.Ортис, А.Райя, </w:t>
              <w:br/>
              <w:t xml:space="preserve">М.Рейес, </w:t>
              <w:br/>
              <w:t xml:space="preserve">У.Саенс, </w:t>
              <w:br/>
              <w:t xml:space="preserve">Г.Тиноко 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Мексиканский консорциум, МоВ от 11/10/2019</w:t>
            </w:r>
          </w:p>
        </w:tc>
      </w:tr>
      <w:tr>
        <w:trPr/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Институт прикладной физики Академии наук Молдовы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Молдова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Кишинев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bCs/>
              </w:rPr>
            </w:pPr>
            <w:r>
              <w:rPr>
                <w:bCs/>
              </w:rPr>
              <w:t>М.Базнат, Д.Базнат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Нет соглашения</w:t>
            </w:r>
          </w:p>
        </w:tc>
      </w:tr>
      <w:tr>
        <w:trPr/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both"/>
              <w:rPr/>
            </w:pPr>
            <w:r>
              <w:rPr>
                <w:color w:val="333333"/>
              </w:rPr>
              <w:t>Физико-технический институт Монгольской академии наук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Монголия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Улан-Батор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0" w:after="240"/>
              <w:jc w:val="both"/>
              <w:rPr>
                <w:b/>
                <w:bCs/>
              </w:rPr>
            </w:pPr>
            <w:r>
              <w:rPr>
                <w:bCs/>
              </w:rPr>
              <w:t>Ц.Баатар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Нет соглашения</w:t>
            </w:r>
          </w:p>
        </w:tc>
      </w:tr>
      <w:tr>
        <w:trPr/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Федеральное государственное автономное образовательное учреждение высшего образования «Белгородский государственный национальный исследовательский университет»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Белгород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bCs/>
              </w:rPr>
            </w:pPr>
            <w:r>
              <w:rPr>
                <w:bCs/>
              </w:rPr>
              <w:t>К.Вохмянина, В.Дроник, А.Кубанкин, А.Пятигор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МоВ от 13/11/2020</w:t>
            </w:r>
          </w:p>
        </w:tc>
      </w:tr>
      <w:tr>
        <w:trPr/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/>
            </w:pPr>
            <w:r>
              <w:rPr/>
              <w:t>Научно-исследовательский институт ядерной физики имени Д.В. Скобельцына Московского государственного университета имени М.В. Ломоносова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Россия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Москва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bCs/>
              </w:rPr>
            </w:pPr>
            <w:r>
              <w:rPr>
                <w:bCs/>
              </w:rPr>
              <w:t>М.Меркин, Н.Баранова, Г.Богданова , Э.Боос, М.Черемнова, А.Чернышов, Г.Эюбова, Д.Карманов, П.Харламов, О.Кодолова, М.Королев, В.Коротких, А.Крюков, В.Кукулин, , В.Кузьмин Д.Ланской, И.Лохтин, Д.Меликов, М.Платонова, Г.Романенко, Л.Щеглова, С.Шушкевич, А.Снигирев, А.Соломин, Т.Третьякова, В.Волков, Е.Забродин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  <w:lang w:val="en-US"/>
              </w:rPr>
            </w:pPr>
            <w:r>
              <w:rPr>
                <w:rFonts w:ascii="times new roman;times;serif" w:hAnsi="times new roman;times;serif"/>
              </w:rPr>
              <w:t xml:space="preserve">МоВ от </w:t>
            </w:r>
            <w:r>
              <w:rPr>
                <w:rFonts w:ascii="times new roman;times;serif" w:hAnsi="times new roman;times;serif"/>
                <w:lang w:val="en-US"/>
              </w:rPr>
              <w:t>03</w:t>
            </w:r>
            <w:r>
              <w:rPr>
                <w:rFonts w:ascii="times new roman;times;serif" w:hAnsi="times new roman;times;serif"/>
              </w:rPr>
              <w:t>/</w:t>
            </w:r>
            <w:r>
              <w:rPr>
                <w:rFonts w:ascii="times new roman;times;serif" w:hAnsi="times new roman;times;serif"/>
                <w:lang w:val="en-US"/>
              </w:rPr>
              <w:t>11</w:t>
            </w:r>
            <w:r>
              <w:rPr>
                <w:rFonts w:ascii="times new roman;times;serif" w:hAnsi="times new roman;times;serif"/>
              </w:rPr>
              <w:t>/202</w:t>
            </w:r>
            <w:r>
              <w:rPr>
                <w:rFonts w:ascii="times new roman;times;serif" w:hAnsi="times new roman;times;serif"/>
                <w:lang w:val="en-US"/>
              </w:rPr>
              <w:t>0</w:t>
            </w:r>
          </w:p>
        </w:tc>
      </w:tr>
      <w:tr>
        <w:trPr/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Национальный исследовательский университет «Высшая школа экономики»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Россия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Москва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b/>
                <w:bCs/>
              </w:rPr>
            </w:pPr>
            <w:r>
              <w:rPr>
                <w:bCs/>
              </w:rPr>
              <w:t>Ф.Ратников, Д.Деркач, Ф.Газзави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МоВ в стадии подписания</w:t>
            </w:r>
          </w:p>
        </w:tc>
      </w:tr>
      <w:tr>
        <w:trPr/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both"/>
              <w:rPr/>
            </w:pPr>
            <w:r>
              <w:rPr/>
              <w:t>Федеральное государственное бюджетное учреждение науки Институт ядерных исследований Российской академии наук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Россия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Москва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bCs/>
              </w:rPr>
            </w:pPr>
            <w:r>
              <w:rPr>
                <w:bCs/>
              </w:rPr>
              <w:t>А.Ивашкин, А.Баранов, А.Ботвина, Ю.Дмитриева, М.Голубева, Ф.Губер, А.Известный, Н.Карпушкин, А.Курепин, С.Морозов, С.Мусин, Р.Непейвода, О.Петухов, В.Попов, И.Пшеничнов, С.Савенков, А.Стрижак, А.Светличный, В.Волков, Л.Якобнюк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МоВ от 29/01/2020</w:t>
            </w:r>
          </w:p>
        </w:tc>
      </w:tr>
      <w:tr>
        <w:trPr/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Федеральное государственное автономное образовательное учреждение высшего образования «Московский физико-технический институт (национальный исследовательский университет)»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Россия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Москва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bCs/>
              </w:rPr>
            </w:pPr>
            <w:r>
              <w:rPr>
                <w:bCs/>
              </w:rPr>
              <w:t>Т.Аушев,</w:t>
              <w:br/>
              <w:t>А.Нозик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МоВ от 03/11/2020</w:t>
            </w:r>
          </w:p>
        </w:tc>
      </w:tr>
      <w:tr>
        <w:trPr/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/>
            </w:pPr>
            <w:r>
              <w:rPr/>
              <w:t>Федеральное государственное автономное образовательное учреждение высшего образования «Национальный исследовательский ядерный университет «МИФИ»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Россия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Москва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bCs/>
              </w:rPr>
            </w:pPr>
            <w:r>
              <w:rPr>
                <w:bCs/>
              </w:rPr>
              <w:t>А.Тараненко, А.Аникеев, Э.Аткин, Н.Барбашина, А.Деманов, М.Мамаев, Г.Нигматкулов, П.Парфенов, М.Стриханов, В.Трошин, А.Трутце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МоВ от 11/06/2021</w:t>
            </w:r>
          </w:p>
        </w:tc>
      </w:tr>
      <w:tr>
        <w:trPr/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Федеральное государственное бюджетное учреждение «Национальный исследовательский центр «Курчатовский институт»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Россия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Москва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bCs/>
              </w:rPr>
            </w:pPr>
            <w:r>
              <w:rPr>
                <w:bCs/>
              </w:rPr>
              <w:t>В.Куликов, Д.Блау, С.Булычев, О.Голосов, М.Мартемьянов, М.Мацюк, К.Михайлов, Е.Некрасова, Д.Пересунько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>
                <w:rFonts w:ascii="times new roman;times;serif" w:hAnsi="times new roman;times;serif"/>
              </w:rPr>
              <w:t>МоВ от 09/11/2020</w:t>
            </w:r>
          </w:p>
        </w:tc>
      </w:tr>
      <w:tr>
        <w:trPr/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/>
            </w:pPr>
            <w:r>
              <w:rPr/>
              <w:t>Федеральное государственное бюджетное образовательное учреждение высшего образования «Российский экономический университет имени Г.В. Плеханова»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Россия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Москва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b/>
                <w:bCs/>
              </w:rPr>
            </w:pPr>
            <w:r>
              <w:rPr/>
              <w:t>А.Камкин, М.Чупилко, М.Лебедев, С.Смолов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МоВ в стадии подписания</w:t>
            </w:r>
          </w:p>
        </w:tc>
      </w:tr>
      <w:tr>
        <w:trPr/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both"/>
              <w:rPr/>
            </w:pPr>
            <w:r>
              <w:rPr/>
              <w:t>Северо-Осетинский государственный университет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Россия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both"/>
              <w:rPr/>
            </w:pPr>
            <w:r>
              <w:rPr/>
              <w:t>Владикавказ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bCs/>
              </w:rPr>
            </w:pPr>
            <w:r>
              <w:rPr>
                <w:bCs/>
              </w:rPr>
              <w:t>Н.Пухаева, А.Еремина, Р.Есенов, Ю.Касумов, Д.Кибизов, А.Корсунов, З.Персаева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Нет соглашения</w:t>
            </w:r>
          </w:p>
        </w:tc>
      </w:tr>
      <w:tr>
        <w:trPr/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/>
            </w:pPr>
            <w:r>
              <w:rPr/>
              <w:t>Федеральное государственное автономное образовательное учреждение высшего образования «Санкт-Петербургский политехнический университет Петра Великого»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Россия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Санкт-Петербург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b/>
                <w:bCs/>
              </w:rPr>
            </w:pPr>
            <w:r>
              <w:rPr>
                <w:bCs/>
              </w:rPr>
              <w:t>Я.Бердников, А.Бердников, Д.Котов, Д.Ларионова, А.Лобанов, Д.Шапаев, Д.Трушков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МоВ от 11/07/2023</w:t>
            </w:r>
          </w:p>
        </w:tc>
      </w:tr>
      <w:tr>
        <w:trPr/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/>
            </w:pPr>
            <w:r>
              <w:rPr/>
              <w:t>Федеральное государственное бюджетное образовательное учреждение высшего образования «Санкт-Петербургский государственный университет»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Россия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Санкт-Петербург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bCs/>
              </w:rPr>
            </w:pPr>
            <w:r>
              <w:rPr/>
              <w:t>Г.Феофилов, Е.Андронов, А.Ануфриев, С.Белокурова, В.Чуликов, К.Галактионов, С.Иголкин, В.Ильин, В.Кондратьев, В.Коваленко, Н.Макаров, Н.Мальцев, Д.Прохорова, Н.Прокофьев, А.Пучков, К.Севастьянова, С.Симак, С.Торилов, Ф.Валиев, В.Вечернин, С.Юрченко, В.Жеребчевский, А.Звягина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МоВ от 06/02/2023</w:t>
            </w:r>
          </w:p>
        </w:tc>
      </w:tr>
      <w:tr>
        <w:trPr/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both"/>
              <w:rPr/>
            </w:pPr>
            <w:r>
              <w:rPr/>
              <w:t>Федеральное государственное бюджетное учреждение «Петербургский институт ядерной физики имени Б.П. Константинова Национального исследовательского центра «Курчатовский институт»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Россия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Гатчина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bCs/>
              </w:rPr>
            </w:pPr>
            <w:r>
              <w:rPr>
                <w:bCs/>
              </w:rPr>
              <w:t xml:space="preserve">Ю.Рябов, Р.Абдулин, Н.Бурмасов, А.Дьяченко, А.Ежилов, О.Федин, Д.Иванищев, А.Ханзадеев, Л.Коченда, Д.Котов , П.Кравчов, Е.Крышень, А.Кирьянова, М.Максимов, М.Малаев, В.Малеев, Ю.Нарышкин, М.Покидова, Д.Пуджа, </w:t>
              <w:br/>
              <w:t xml:space="preserve">А.Рябов, В.Самсонов, А.Васильев, М.Взнуздаев, Г.Залите, М.Жалов, </w:t>
              <w:br/>
              <w:t>В.Рябов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МоВ от 27/09/2021</w:t>
            </w:r>
          </w:p>
        </w:tc>
      </w:tr>
      <w:tr>
        <w:trPr/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/>
            </w:pPr>
            <w:r>
              <w:rPr/>
              <w:t>Институт ядерных исследований «Винча»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Сербия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Белград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bCs/>
              </w:rPr>
            </w:pPr>
            <w:r>
              <w:rPr>
                <w:bCs/>
              </w:rPr>
              <w:t>Ю.Милошевич, Д.Манич, Л.Наддерд, В.Рекович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МоВ от 26/11/2021</w:t>
            </w:r>
          </w:p>
        </w:tc>
      </w:tr>
      <w:tr>
        <w:trPr/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/>
            </w:pPr>
            <w:r>
              <w:rPr/>
              <w:t>Университет Павла Йозефа Шафарика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Словакия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Кошице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bCs/>
              </w:rPr>
            </w:pPr>
            <w:r>
              <w:rPr>
                <w:bCs/>
              </w:rPr>
              <w:t>Я.Врлакова, В.Барбасова, А.Кравчакова, М.Вала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МоВ от 14/12/2021</w:t>
            </w:r>
          </w:p>
        </w:tc>
      </w:tr>
    </w:tbl>
    <w:p>
      <w:pPr>
        <w:pStyle w:val="Normal"/>
        <w:spacing w:lineRule="atLeast" w:line="240"/>
        <w:jc w:val="both"/>
        <w:rPr>
          <w:b/>
        </w:rPr>
      </w:pPr>
      <w:r>
        <w:rPr>
          <w:b/>
        </w:rPr>
      </w:r>
    </w:p>
    <w:p>
      <w:pPr>
        <w:pStyle w:val="Normal"/>
        <w:spacing w:lineRule="atLeast" w:line="240"/>
        <w:jc w:val="both"/>
        <w:rPr/>
      </w:pPr>
      <w:r>
        <w:rPr>
          <w:b/>
        </w:rPr>
        <w:t xml:space="preserve">2.6. Организации-соисполнители </w:t>
      </w:r>
      <w:r>
        <w:rPr>
          <w:i/>
          <w:iCs/>
        </w:rPr>
        <w:t>(те сотрудничающие организации/партнеры без финансового, инфраструктурного участия которых выполнение программы исследований невозможно. Пример — участие ОИЯИ в экспериментах LHC в CERN).</w:t>
      </w:r>
    </w:p>
    <w:p>
      <w:pPr>
        <w:pStyle w:val="Normal"/>
        <w:spacing w:lineRule="atLeast" w:line="240" w:before="0" w:after="0"/>
        <w:jc w:val="both"/>
        <w:rPr>
          <w:b/>
        </w:rPr>
      </w:pPr>
      <w:r>
        <w:rPr>
          <w:b/>
        </w:rPr>
        <w:t>3. Кадровое обеспечение</w:t>
      </w:r>
    </w:p>
    <w:p>
      <w:pPr>
        <w:pStyle w:val="Normal"/>
        <w:spacing w:lineRule="atLeast" w:line="240" w:before="0" w:after="0"/>
        <w:jc w:val="both"/>
        <w:rPr>
          <w:b/>
        </w:rPr>
      </w:pPr>
      <w:r>
        <w:rPr>
          <w:b/>
        </w:rPr>
        <w:t>3.1. Кадровые потребности в течение первого года реализации</w:t>
      </w:r>
    </w:p>
    <w:p>
      <w:pPr>
        <w:pStyle w:val="Normal"/>
        <w:spacing w:lineRule="atLeast" w:line="240" w:before="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</w:r>
    </w:p>
    <w:tbl>
      <w:tblPr>
        <w:tblW w:w="9810" w:type="dxa"/>
        <w:jc w:val="left"/>
        <w:tblInd w:w="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HBand="0" w:noVBand="0" w:firstColumn="0" w:lastRow="0" w:lastColumn="0" w:firstRow="0"/>
      </w:tblPr>
      <w:tblGrid>
        <w:gridCol w:w="710"/>
        <w:gridCol w:w="3031"/>
        <w:gridCol w:w="3034"/>
        <w:gridCol w:w="3034"/>
      </w:tblGrid>
      <w:tr>
        <w:trPr/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rPr>
                <w:b/>
              </w:rPr>
            </w:pPr>
            <w:r>
              <w:rPr>
                <w:b/>
              </w:rPr>
              <w:t>№№</w:t>
            </w:r>
            <w:r>
              <w:rPr>
                <w:b/>
              </w:rPr>
              <w:br/>
              <w:t>п/п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>
                <w:b/>
              </w:rPr>
              <w:t>Категория</w:t>
              <w:br/>
              <w:t>работника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spacing w:before="0" w:after="160"/>
              <w:jc w:val="center"/>
              <w:rPr>
                <w:bCs/>
              </w:rPr>
            </w:pPr>
            <w:r>
              <w:rPr>
                <w:b/>
              </w:rPr>
              <w:t>Основной персонал, сумма FTE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/>
              </w:rPr>
            </w:pPr>
            <w:r>
              <w:rPr>
                <w:b/>
                <w:lang w:val="en-US"/>
              </w:rPr>
              <w:t>Ассоциированный персонал</w:t>
            </w:r>
            <w:r>
              <w:rPr>
                <w:b/>
              </w:rPr>
              <w:t>,</w:t>
              <w:br/>
            </w:r>
            <w:r>
              <w:rPr>
                <w:b/>
                <w:lang w:val="en-US"/>
              </w:rPr>
              <w:t>сумма FTE</w:t>
            </w:r>
          </w:p>
        </w:tc>
      </w:tr>
      <w:tr>
        <w:trPr>
          <w:trHeight w:val="446" w:hRule="atLeast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before="0" w:after="160"/>
              <w:jc w:val="center"/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before="0" w:after="160"/>
              <w:rPr>
                <w:bCs/>
              </w:rPr>
            </w:pPr>
            <w:r>
              <w:rPr>
                <w:bCs/>
              </w:rPr>
              <w:t>руководители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before="0" w:after="160"/>
              <w:jc w:val="center"/>
              <w:rPr/>
            </w:pPr>
            <w:r>
              <w:rPr>
                <w:bCs/>
              </w:rPr>
              <w:t>6,37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before="0" w:after="160"/>
              <w:jc w:val="center"/>
              <w:rPr>
                <w:highlight w:val="none"/>
                <w:shd w:fill="auto" w:val="clear"/>
              </w:rPr>
            </w:pPr>
            <w:r>
              <w:rPr>
                <w:bCs/>
                <w:shd w:fill="auto" w:val="clear"/>
                <w:lang w:val="en-US"/>
              </w:rPr>
              <w:t xml:space="preserve">1,2 </w:t>
            </w:r>
          </w:p>
        </w:tc>
      </w:tr>
      <w:tr>
        <w:trPr>
          <w:trHeight w:val="435" w:hRule="atLeast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before="0" w:after="160"/>
              <w:jc w:val="center"/>
              <w:rPr/>
            </w:pPr>
            <w:r>
              <w:rPr>
                <w:bCs/>
              </w:rPr>
              <w:t>2.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before="0" w:after="160"/>
              <w:rPr>
                <w:bCs/>
              </w:rPr>
            </w:pPr>
            <w:r>
              <w:rPr>
                <w:bCs/>
              </w:rPr>
              <w:t>научные работники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before="0" w:after="160"/>
              <w:jc w:val="center"/>
              <w:rPr/>
            </w:pPr>
            <w:r>
              <w:rPr>
                <w:bCs/>
              </w:rPr>
              <w:t>47,97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before="0" w:after="160"/>
              <w:jc w:val="center"/>
              <w:rPr>
                <w:highlight w:val="none"/>
                <w:shd w:fill="auto" w:val="clear"/>
              </w:rPr>
            </w:pPr>
            <w:r>
              <w:rPr>
                <w:bCs/>
                <w:shd w:fill="auto" w:val="clear"/>
                <w:lang w:val="en-US"/>
              </w:rPr>
              <w:t>4</w:t>
            </w:r>
          </w:p>
        </w:tc>
      </w:tr>
      <w:tr>
        <w:trPr>
          <w:trHeight w:val="440" w:hRule="atLeast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before="0" w:after="160"/>
              <w:jc w:val="center"/>
              <w:rPr/>
            </w:pPr>
            <w:r>
              <w:rPr>
                <w:bCs/>
              </w:rPr>
              <w:t>3.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before="0" w:after="160"/>
              <w:rPr/>
            </w:pPr>
            <w:r>
              <w:rPr>
                <w:bCs/>
              </w:rPr>
              <w:t>инженеры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before="0" w:after="160"/>
              <w:jc w:val="center"/>
              <w:rPr/>
            </w:pPr>
            <w:r>
              <w:rPr>
                <w:bCs/>
              </w:rPr>
              <w:t>56,65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before="0" w:after="160"/>
              <w:jc w:val="center"/>
              <w:rPr>
                <w:bCs/>
                <w:strike/>
                <w:highlight w:val="none"/>
                <w:shd w:fill="auto" w:val="clear"/>
              </w:rPr>
            </w:pPr>
            <w:r>
              <w:rPr>
                <w:bCs/>
                <w:strike/>
                <w:shd w:fill="auto" w:val="clear"/>
              </w:rPr>
            </w:r>
          </w:p>
        </w:tc>
      </w:tr>
      <w:tr>
        <w:trPr>
          <w:trHeight w:val="440" w:hRule="atLeast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before="0" w:after="160"/>
              <w:jc w:val="center"/>
              <w:rPr>
                <w:bCs/>
              </w:rPr>
            </w:pPr>
            <w:r>
              <w:rPr>
                <w:bCs/>
              </w:rPr>
              <w:t>4.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before="0" w:after="160"/>
              <w:rPr/>
            </w:pPr>
            <w:r>
              <w:rPr>
                <w:bCs/>
              </w:rPr>
              <w:t>специалисты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before="0" w:after="160"/>
              <w:jc w:val="center"/>
              <w:rPr/>
            </w:pPr>
            <w:r>
              <w:rPr>
                <w:bCs/>
              </w:rPr>
              <w:t>5,36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before="0" w:after="160"/>
              <w:jc w:val="center"/>
              <w:rPr>
                <w:highlight w:val="none"/>
                <w:shd w:fill="auto" w:val="clear"/>
              </w:rPr>
            </w:pPr>
            <w:r>
              <w:rPr>
                <w:bCs/>
                <w:color w:val="000000"/>
                <w:shd w:fill="auto" w:val="clear"/>
                <w:lang w:val="en-US"/>
              </w:rPr>
              <w:t>0,9</w:t>
            </w:r>
          </w:p>
        </w:tc>
      </w:tr>
      <w:tr>
        <w:trPr>
          <w:trHeight w:val="440" w:hRule="atLeast"/>
        </w:trPr>
        <w:tc>
          <w:tcPr>
            <w:tcW w:w="710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before="0" w:after="160"/>
              <w:jc w:val="center"/>
              <w:rPr/>
            </w:pPr>
            <w:r>
              <w:rPr>
                <w:bCs/>
                <w:color w:val="000000"/>
              </w:rPr>
              <w:t>5.</w:t>
            </w:r>
          </w:p>
        </w:tc>
        <w:tc>
          <w:tcPr>
            <w:tcW w:w="303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before="0" w:after="160"/>
              <w:rPr/>
            </w:pPr>
            <w:r>
              <w:rPr>
                <w:color w:val="000000"/>
              </w:rPr>
              <w:t>служащие</w:t>
            </w:r>
          </w:p>
        </w:tc>
        <w:tc>
          <w:tcPr>
            <w:tcW w:w="3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before="0" w:after="160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3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before="0" w:after="160"/>
              <w:jc w:val="center"/>
              <w:rPr>
                <w:bCs/>
                <w:strike/>
                <w:color w:val="8D281E"/>
                <w:highlight w:val="none"/>
                <w:shd w:fill="auto" w:val="clear"/>
              </w:rPr>
            </w:pPr>
            <w:r>
              <w:rPr>
                <w:bCs/>
                <w:strike/>
                <w:color w:val="8D281E"/>
                <w:shd w:fill="auto" w:val="clear"/>
              </w:rPr>
            </w:r>
          </w:p>
        </w:tc>
      </w:tr>
      <w:tr>
        <w:trPr>
          <w:trHeight w:val="440" w:hRule="atLeast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before="0" w:after="160"/>
              <w:jc w:val="center"/>
              <w:rPr>
                <w:bCs/>
              </w:rPr>
            </w:pPr>
            <w:r>
              <w:rPr>
                <w:bCs/>
              </w:rPr>
              <w:t>6.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before="0" w:after="160"/>
              <w:rPr>
                <w:bCs/>
              </w:rPr>
            </w:pPr>
            <w:r>
              <w:rPr>
                <w:bCs/>
              </w:rPr>
              <w:t>рабочие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before="0" w:after="160"/>
              <w:jc w:val="center"/>
              <w:rPr/>
            </w:pPr>
            <w:r>
              <w:rPr/>
              <w:t>8,6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before="0" w:after="160"/>
              <w:jc w:val="center"/>
              <w:rPr>
                <w:bCs/>
                <w:strike/>
                <w:highlight w:val="none"/>
                <w:shd w:fill="auto" w:val="clear"/>
              </w:rPr>
            </w:pPr>
            <w:r>
              <w:rPr>
                <w:bCs/>
                <w:strike/>
                <w:shd w:fill="auto" w:val="clear"/>
              </w:rPr>
            </w:r>
          </w:p>
        </w:tc>
      </w:tr>
      <w:tr>
        <w:trPr>
          <w:trHeight w:val="415" w:hRule="atLeast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before="0" w:after="160"/>
              <w:jc w:val="center"/>
              <w:rPr>
                <w:bCs/>
                <w:strike/>
              </w:rPr>
            </w:pPr>
            <w:r>
              <w:rPr>
                <w:bCs/>
                <w:strike/>
              </w:rPr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before="0" w:after="160"/>
              <w:rPr/>
            </w:pPr>
            <w:r>
              <w:rPr>
                <w:b/>
              </w:rPr>
              <w:t>Итого</w:t>
            </w:r>
            <w:r>
              <w:rPr>
                <w:b/>
                <w:lang w:val="en-US"/>
              </w:rPr>
              <w:t>: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before="0" w:after="1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=sum C2:C7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124,95</w:t>
            </w:r>
            <w:r>
              <w:rPr>
                <w:b/>
                <w:bCs/>
              </w:rPr>
              <w:fldChar w:fldCharType="end"/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before="0" w:after="160"/>
              <w:jc w:val="center"/>
              <w:rPr>
                <w:highlight w:val="none"/>
                <w:shd w:fill="auto" w:val="clear"/>
              </w:rPr>
            </w:pPr>
            <w:r>
              <w:rPr>
                <w:b/>
                <w:shd w:fill="auto" w:val="clear"/>
                <w:lang w:val="en-US"/>
              </w:rPr>
              <w:t>6,1</w:t>
            </w:r>
          </w:p>
        </w:tc>
      </w:tr>
    </w:tbl>
    <w:p>
      <w:pPr>
        <w:pStyle w:val="Normal"/>
        <w:spacing w:lineRule="atLeast" w:line="240" w:before="0" w:after="0"/>
        <w:jc w:val="both"/>
        <w:rPr>
          <w:b/>
        </w:rPr>
      </w:pPr>
      <w:r>
        <w:rPr>
          <w:b/>
        </w:rPr>
      </w:r>
    </w:p>
    <w:p>
      <w:pPr>
        <w:pStyle w:val="Normal"/>
        <w:spacing w:lineRule="atLeast" w:line="240" w:before="0" w:after="0"/>
        <w:jc w:val="both"/>
        <w:rPr>
          <w:b/>
        </w:rPr>
      </w:pPr>
      <w:r>
        <w:rPr>
          <w:b/>
        </w:rPr>
      </w:r>
    </w:p>
    <w:p>
      <w:pPr>
        <w:pStyle w:val="Normal"/>
        <w:spacing w:lineRule="atLeast" w:line="240" w:before="0" w:after="0"/>
        <w:jc w:val="both"/>
        <w:rPr>
          <w:b/>
        </w:rPr>
      </w:pPr>
      <w:r>
        <w:rPr>
          <w:b/>
        </w:rPr>
        <w:t>3.2. Доступные кадровые ресурсы</w:t>
      </w:r>
    </w:p>
    <w:p>
      <w:pPr>
        <w:pStyle w:val="Normal"/>
        <w:spacing w:lineRule="atLeast" w:line="240" w:before="0" w:after="0"/>
        <w:rPr>
          <w:b/>
        </w:rPr>
      </w:pPr>
      <w:r>
        <w:rPr>
          <w:b/>
        </w:rPr>
        <w:t>3.2.1. Основной персонал ОИЯИ</w:t>
      </w:r>
    </w:p>
    <w:p>
      <w:pPr>
        <w:pStyle w:val="Normal"/>
        <w:spacing w:lineRule="atLeast" w:line="240" w:before="0" w:after="0"/>
        <w:rPr>
          <w:b/>
          <w:sz w:val="20"/>
          <w:szCs w:val="20"/>
        </w:rPr>
      </w:pPr>
      <w:r>
        <w:rPr>
          <w:b/>
          <w:sz w:val="20"/>
          <w:szCs w:val="20"/>
        </w:rPr>
      </w:r>
    </w:p>
    <w:tbl>
      <w:tblPr>
        <w:tblW w:w="977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699"/>
        <w:gridCol w:w="1740"/>
        <w:gridCol w:w="2090"/>
        <w:gridCol w:w="1930"/>
        <w:gridCol w:w="2323"/>
        <w:gridCol w:w="993"/>
      </w:tblGrid>
      <w:tr>
        <w:trPr/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tLeast" w:line="240" w:before="0" w:after="0"/>
              <w:jc w:val="center"/>
              <w:rPr>
                <w:b/>
              </w:rPr>
            </w:pPr>
            <w:r>
              <w:rPr>
                <w:b/>
              </w:rPr>
              <w:t>№№</w:t>
            </w:r>
            <w:r>
              <w:rPr>
                <w:b/>
              </w:rPr>
              <w:br/>
              <w:t>п/п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tLeast" w:line="240" w:before="0" w:after="0"/>
              <w:jc w:val="center"/>
              <w:rPr>
                <w:b/>
              </w:rPr>
            </w:pPr>
            <w:r>
              <w:rPr>
                <w:b/>
              </w:rPr>
              <w:t>Категория работников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tLeast" w:line="240" w:before="0" w:after="0"/>
              <w:jc w:val="center"/>
              <w:rPr>
                <w:b/>
              </w:rPr>
            </w:pPr>
            <w:r>
              <w:rPr>
                <w:b/>
              </w:rPr>
              <w:t>ФИО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tLeast" w:line="240" w:before="0" w:after="0"/>
              <w:jc w:val="center"/>
              <w:rPr>
                <w:b/>
              </w:rPr>
            </w:pPr>
            <w:r>
              <w:rPr>
                <w:b/>
              </w:rPr>
              <w:t>Подразделение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tLeast" w:line="240" w:before="0" w:after="0"/>
              <w:jc w:val="center"/>
              <w:rPr>
                <w:b/>
              </w:rPr>
            </w:pPr>
            <w:r>
              <w:rPr>
                <w:b/>
              </w:rPr>
              <w:t>Должность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tLeast" w:line="240" w:before="0" w:after="0"/>
              <w:jc w:val="center"/>
              <w:rPr>
                <w:b/>
              </w:rPr>
            </w:pPr>
            <w:r>
              <w:rPr>
                <w:b/>
              </w:rPr>
              <w:t>Сумма FTE</w:t>
            </w:r>
          </w:p>
        </w:tc>
      </w:tr>
      <w:tr>
        <w:trPr/>
        <w:tc>
          <w:tcPr>
            <w:tcW w:w="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1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  <w:t>руководители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>
                <w:bCs/>
              </w:rPr>
            </w:pPr>
            <w:r>
              <w:rPr>
                <w:bCs/>
              </w:rPr>
              <w:t>Беляев С.Е.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jc w:val="both"/>
              <w:rPr>
                <w:bCs/>
              </w:rPr>
            </w:pPr>
            <w:r>
              <w:rPr/>
              <w:t>ЛФВЭ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>
                <w:bCs/>
              </w:rPr>
            </w:pPr>
            <w:r>
              <w:rPr>
                <w:bCs/>
              </w:rPr>
              <w:t>начальник отдела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>
                <w:bCs/>
              </w:rPr>
            </w:pPr>
            <w:r>
              <w:rPr>
                <w:bCs/>
              </w:rPr>
              <w:t>0,3</w:t>
            </w:r>
          </w:p>
        </w:tc>
      </w:tr>
      <w:tr>
        <w:trPr/>
        <w:tc>
          <w:tcPr>
            <w:tcW w:w="69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>
                <w:bCs/>
              </w:rPr>
            </w:pPr>
            <w:r>
              <w:rPr>
                <w:bCs/>
              </w:rPr>
              <w:t>Егоров Д.С.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jc w:val="both"/>
              <w:rPr>
                <w:bCs/>
              </w:rPr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>
                <w:bCs/>
              </w:rPr>
            </w:pPr>
            <w:r>
              <w:rPr>
                <w:bCs/>
              </w:rPr>
              <w:t>начальник группы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>
                <w:bCs/>
              </w:rPr>
            </w:pPr>
            <w:r>
              <w:rPr>
                <w:bCs/>
              </w:rPr>
              <w:t>0,4</w:t>
            </w:r>
          </w:p>
        </w:tc>
      </w:tr>
      <w:tr>
        <w:trPr/>
        <w:tc>
          <w:tcPr>
            <w:tcW w:w="69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>
                <w:bCs/>
              </w:rPr>
            </w:pPr>
            <w:r>
              <w:rPr>
                <w:bCs/>
              </w:rPr>
              <w:t>Емельянов Н.Э.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jc w:val="both"/>
              <w:rPr>
                <w:bCs/>
              </w:rPr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>
                <w:bCs/>
              </w:rPr>
            </w:pPr>
            <w:r>
              <w:rPr>
                <w:bCs/>
              </w:rPr>
              <w:t>заместитель начальника отдела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>
        <w:trPr/>
        <w:tc>
          <w:tcPr>
            <w:tcW w:w="69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>
                <w:bCs/>
              </w:rPr>
            </w:pPr>
            <w:r>
              <w:rPr>
                <w:bCs/>
              </w:rPr>
              <w:t>Колесников А.О.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jc w:val="both"/>
              <w:rPr>
                <w:bCs/>
              </w:rPr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>
                <w:bCs/>
              </w:rPr>
            </w:pPr>
            <w:r>
              <w:rPr>
                <w:bCs/>
              </w:rPr>
              <w:t>начальник службы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>
                <w:bCs/>
              </w:rPr>
            </w:pPr>
            <w:r>
              <w:rPr>
                <w:bCs/>
              </w:rPr>
              <w:t>0,1</w:t>
            </w:r>
          </w:p>
        </w:tc>
      </w:tr>
      <w:tr>
        <w:trPr/>
        <w:tc>
          <w:tcPr>
            <w:tcW w:w="69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>
                <w:bCs/>
              </w:rPr>
            </w:pPr>
            <w:r>
              <w:rPr>
                <w:bCs/>
              </w:rPr>
              <w:t>Мухин К.А.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jc w:val="both"/>
              <w:rPr>
                <w:bCs/>
              </w:rPr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>
                <w:bCs/>
              </w:rPr>
            </w:pPr>
            <w:r>
              <w:rPr>
                <w:bCs/>
              </w:rPr>
              <w:t>заместитель главного инженера лаборатории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>
        <w:trPr/>
        <w:tc>
          <w:tcPr>
            <w:tcW w:w="69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>
                <w:bCs/>
              </w:rPr>
            </w:pPr>
            <w:r>
              <w:rPr>
                <w:bCs/>
              </w:rPr>
              <w:t>Пиядин С.М.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jc w:val="both"/>
              <w:rPr>
                <w:bCs/>
              </w:rPr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>
                <w:bCs/>
              </w:rPr>
            </w:pPr>
            <w:r>
              <w:rPr>
                <w:bCs/>
              </w:rPr>
              <w:t>заместитель начальника отдела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>
                <w:bCs/>
              </w:rPr>
            </w:pPr>
            <w:r>
              <w:rPr>
                <w:bCs/>
              </w:rPr>
              <w:t>0,37</w:t>
            </w:r>
          </w:p>
        </w:tc>
      </w:tr>
      <w:tr>
        <w:trPr/>
        <w:tc>
          <w:tcPr>
            <w:tcW w:w="69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>
                <w:bCs/>
              </w:rPr>
            </w:pPr>
            <w:r>
              <w:rPr>
                <w:bCs/>
              </w:rPr>
              <w:t>Серочкин Е.В.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jc w:val="both"/>
              <w:rPr>
                <w:bCs/>
              </w:rPr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>
                <w:bCs/>
              </w:rPr>
            </w:pPr>
            <w:r>
              <w:rPr>
                <w:bCs/>
              </w:rPr>
              <w:t>начальник бюро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>
                <w:bCs/>
              </w:rPr>
            </w:pPr>
            <w:r>
              <w:rPr>
                <w:bCs/>
              </w:rPr>
              <w:t>0,7</w:t>
            </w:r>
          </w:p>
        </w:tc>
      </w:tr>
      <w:tr>
        <w:trPr/>
        <w:tc>
          <w:tcPr>
            <w:tcW w:w="69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>
                <w:bCs/>
              </w:rPr>
            </w:pPr>
            <w:r>
              <w:rPr>
                <w:bCs/>
              </w:rPr>
              <w:t>Слепнев И.В.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jc w:val="both"/>
              <w:rPr>
                <w:bCs/>
              </w:rPr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>
                <w:bCs/>
              </w:rPr>
            </w:pPr>
            <w:r>
              <w:rPr>
                <w:bCs/>
              </w:rPr>
              <w:t>помощник директора лаборатории по развитию информационных технологий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>
                <w:bCs/>
              </w:rPr>
            </w:pPr>
            <w:r>
              <w:rPr>
                <w:bCs/>
              </w:rPr>
              <w:t>0,7</w:t>
            </w:r>
          </w:p>
        </w:tc>
      </w:tr>
      <w:tr>
        <w:trPr/>
        <w:tc>
          <w:tcPr>
            <w:tcW w:w="69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>
                <w:bCs/>
              </w:rPr>
            </w:pPr>
            <w:r>
              <w:rPr>
                <w:bCs/>
              </w:rPr>
              <w:t>Терешин Д.А.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jc w:val="both"/>
              <w:rPr>
                <w:bCs/>
              </w:rPr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>
                <w:bCs/>
              </w:rPr>
            </w:pPr>
            <w:r>
              <w:rPr>
                <w:bCs/>
              </w:rPr>
              <w:t>начальник группы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>
        <w:trPr/>
        <w:tc>
          <w:tcPr>
            <w:tcW w:w="69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>
                <w:bCs/>
              </w:rPr>
            </w:pPr>
            <w:r>
              <w:rPr>
                <w:bCs/>
              </w:rPr>
              <w:t>Топилин Н.Д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jc w:val="both"/>
              <w:rPr>
                <w:bCs/>
              </w:rPr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>
                <w:bCs/>
              </w:rPr>
            </w:pPr>
            <w:r>
              <w:rPr>
                <w:bCs/>
              </w:rPr>
              <w:t>заместитель главного инженера лаборатории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>
                <w:bCs/>
              </w:rPr>
            </w:pPr>
            <w:r>
              <w:rPr>
                <w:bCs/>
              </w:rPr>
              <w:t>0,8</w:t>
            </w:r>
          </w:p>
        </w:tc>
      </w:tr>
      <w:tr>
        <w:trPr/>
        <w:tc>
          <w:tcPr>
            <w:tcW w:w="8782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=sum F2:F11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3,6</w:t>
            </w:r>
            <w:r>
              <w:rPr>
                <w:b/>
                <w:bCs/>
              </w:rPr>
              <w:fldChar w:fldCharType="end"/>
            </w:r>
          </w:p>
        </w:tc>
      </w:tr>
      <w:tr>
        <w:trPr/>
        <w:tc>
          <w:tcPr>
            <w:tcW w:w="69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  <w:t>2.</w:t>
            </w:r>
          </w:p>
        </w:tc>
        <w:tc>
          <w:tcPr>
            <w:tcW w:w="174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  <w:t>научные работники</w:t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Авдеев С.П.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ВНС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0,4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Астахов В.И.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СНС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0,4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Бабкин В.А.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начальник сектора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1,28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Бажажин А.Г.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Базылев С.Н.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начальник сектора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0,68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Барышников В.М.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МНС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Богословский Д.Н.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СНС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0,5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Богуславский И.В.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консультант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0,1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Бхаттачарджи М.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МНС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Васендина В.А.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0,6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Водопьянов А.С.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начальник отдела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0,11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Воронюк В.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СНС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Гераксиев Н.С.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МНС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1,01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Герценбергер К.В.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начальник группы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0,76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Головатюк В.М.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начальник отдела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0,93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Дементьев Д.В.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0,4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Дмитриев А.В.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Додохов В.Х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начальник сектора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0,1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Дроник В.И.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стажер-исследователь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Дулов П.О.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0,8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Запорожец С.А.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СНС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1,16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Зинченко А.И.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ВНС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0,56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Зинченко Д.А.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МНС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0,5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Зрюев В.Н.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1,35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Кекелидзе Г.Д.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начальник сектора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0,1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Керейбай Диас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МНС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0,5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Киреев В.А.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СНС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0,96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Кирюшин Ю.Т.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ВНС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1,22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Кожевникова М.Е.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Колесников В.И.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начальник отдела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1,11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Коломоец Н.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МНС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Кречетов Ю.Ф.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СНС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Крылов А.В.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МНС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Кутинова О.В.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стажер-исследователь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0,5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Лобанов Ю.Ю.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ВНС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Лобастов С.П.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СНС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1,28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Лукстиньш Ю.Р.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консультант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0,84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Мамаев М.В.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МНС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Мерц С.П.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ВНС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0,51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Мещеряков Г.В.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СНС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Мовчан С.А.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начальник сектора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1,01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Молоканова Н.А.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СНС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0,1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Мурин Ю.А.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начальник отдела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0,54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Мыктыбеков Д.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МНС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Пиляр А.В.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СНС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1,05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Рогачевский О.В.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начальник сектора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0,95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Румянцев М.М.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0,9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Руфанов И.А.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СНС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0,5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Рябов В.Г.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ГНС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0,5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Семенов А.Ю.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ВНС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Сергеев С.В.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ВНС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0,5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Сердюк В.З.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Слепнев В.М.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начальник отдела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0,4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Сувариева Д.А.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МНС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0,88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Тихомиров В.В.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СНС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0,5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Тяпкин И.А.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ВНС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1,05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Фатеев О.В.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ВНС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1,08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Федюнин А.А.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начальник сектора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0,5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Филиппов Ю.П.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начальник сектора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Шереметьев А.Д.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МНС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0,5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Шутов А.В.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СНС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0,65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Шутов В.Б.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СНС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0,2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Юревич В.И.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начальник сектора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0,5</w:t>
            </w:r>
          </w:p>
        </w:tc>
      </w:tr>
      <w:tr>
        <w:trPr/>
        <w:tc>
          <w:tcPr>
            <w:tcW w:w="8782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47,97</w:t>
            </w:r>
          </w:p>
        </w:tc>
      </w:tr>
      <w:tr>
        <w:trPr/>
        <w:tc>
          <w:tcPr>
            <w:tcW w:w="69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  <w:t>3.</w:t>
            </w:r>
          </w:p>
        </w:tc>
        <w:tc>
          <w:tcPr>
            <w:tcW w:w="174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  <w:t>инженеры</w:t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Антонова А.Е.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инженер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Балашов И.А.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инженер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Баратов Р.В.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инженер-технолог 1 категории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Баскаков А.Е.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инженер-электроник 2 категории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0,6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Беляева Е.В.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ведущий конструктор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Борисов А.В.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лаборант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Бочкова А.Г.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лаборант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Бузин С.Г.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инженер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0,75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Буряков М.Г.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ведущий инженер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0,82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Бычков А.В.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инженер-программист 2 категории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Верещагин С.В.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ведущий инженер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1,36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Воронин А.Л.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инженер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0,5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Герасимов С.Е.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инженер-конструктор 1 категории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1,11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Дубровин А.Ю.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инженер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Егоров А.С.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инженер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0,6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Ефремов А.А.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ведущий инженер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Иванов А.В.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инженер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Камбар Ы.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инженер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0,5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Комаров В.Г.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техник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1,32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Костылёв А.И.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инженер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Крылов В.А.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ведущий инженер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Кукарников С.И.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ведущий конструктор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Куклин С.Н.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инженер-программист 1 категории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0,6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Лобанов В.И.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ведущий инженер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0,8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Макаров А.А.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инженер-конструктор 1 категории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0,7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Маликов И.В.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инженер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Мошкин А.А.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инженер-программист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Муравкин Е.Е.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техник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Нагдасев Р.В.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инженер-программист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Новоселов В.А.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лаборант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Петров В.А.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ведущий инженер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1,27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Потапов Д.С.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инженер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Ридингер Н.О.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старший техник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1,29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Рогов В.Ю.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ведущий электроник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0,5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Ромахов С.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инженер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0,5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Рыбаков А.А.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старший инженер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1,2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Рымшина А.А.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инженер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Самсонов В.А.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ведущий инженер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1,35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Самуилов М.С.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лаборант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Семенова И.А.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старший инженер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Сергеева Н.А.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инженер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0,5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Смелянский И.А.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инженер-технолог 2 категории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Смолянин Т.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инженер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Столыпина Л.Ю.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ведущий инженер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Суховаров С.И.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ведущий конструктор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1,53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Тарасов Н.А.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инженер-электроник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0,6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Терлецкий А.В.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ведущий инженер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0,6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Тимофеев С.В.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лаборант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Тимофеева А.Е.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лаборант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0,4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Тимошенко А.А.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инженер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0,5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Ткачев Г.П.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инженер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Федотов Ю.И.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старший инженер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0,99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Филиппов И.А.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инженер-программист 1 категории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0,6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Филиппов Ю.А.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лаборант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Цагаанхуу Т.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старший инженер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0,4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Чепурнов В.Ф.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ведущий технолог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1,33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Чепурнов В.В.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инженер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1,09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Шмырев И.А.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старший инженер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Шунько А.А.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инженер-конструктор 1 категории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0,1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Шутова Н.А.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инженер-программист 1 категории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0,2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Щеголев Д.В.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инженер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Щербаков А.Н.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инженер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Щипунов А.В.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инженер-электроник 1 категории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0,7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Ярыгин Г.А.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ведущий электроник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0,34</w:t>
            </w:r>
          </w:p>
        </w:tc>
      </w:tr>
      <w:tr>
        <w:trPr/>
        <w:tc>
          <w:tcPr>
            <w:tcW w:w="8782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56,65</w:t>
            </w:r>
          </w:p>
        </w:tc>
      </w:tr>
      <w:tr>
        <w:trPr/>
        <w:tc>
          <w:tcPr>
            <w:tcW w:w="69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  <w:t>4.</w:t>
            </w:r>
          </w:p>
        </w:tc>
        <w:tc>
          <w:tcPr>
            <w:tcW w:w="1740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/>
            </w:pPr>
            <w:r>
              <w:rPr/>
              <w:t>специалисты</w:t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Андреева С.В.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ведущий специалист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0,95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/>
            </w:pPr>
            <w:r>
              <w:rPr/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Володина О.А.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старший специалист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0,88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/>
            </w:pPr>
            <w:r>
              <w:rPr/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Додонова Л.О.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специалист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/>
            </w:pPr>
            <w:r>
              <w:rPr/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Какурин С.И.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главный технический специалист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1,43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/>
            </w:pPr>
            <w:r>
              <w:rPr/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Минаев Ю.И.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главный технический специалист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0,1</w:t>
            </w:r>
          </w:p>
        </w:tc>
      </w:tr>
      <w:tr>
        <w:trPr/>
        <w:tc>
          <w:tcPr>
            <w:tcW w:w="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/>
            </w:pPr>
            <w:r>
              <w:rPr/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Московка Е.П.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специалист по работе с документами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</w:t>
            </w:r>
          </w:p>
        </w:tc>
      </w:tr>
      <w:tr>
        <w:trPr/>
        <w:tc>
          <w:tcPr>
            <w:tcW w:w="8782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jc w:val="right"/>
              <w:rPr/>
            </w:pP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=sum F142:F147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5,36</w:t>
            </w:r>
            <w:r>
              <w:rPr>
                <w:b/>
                <w:bCs/>
              </w:rPr>
              <w:fldChar w:fldCharType="end"/>
            </w:r>
          </w:p>
        </w:tc>
      </w:tr>
      <w:tr>
        <w:trPr/>
        <w:tc>
          <w:tcPr>
            <w:tcW w:w="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  <w:t>5.</w:t>
            </w:r>
          </w:p>
        </w:tc>
        <w:tc>
          <w:tcPr>
            <w:tcW w:w="1740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/>
            </w:pPr>
            <w:r>
              <w:rPr/>
              <w:t>рабочие</w:t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Буторин А.В.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механик экспериментальных стендов и установок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1,5</w:t>
            </w:r>
          </w:p>
        </w:tc>
      </w:tr>
      <w:tr>
        <w:trPr/>
        <w:tc>
          <w:tcPr>
            <w:tcW w:w="69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/>
            </w:pPr>
            <w:r>
              <w:rPr/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Васильев И.Н.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механик экспериментальных стендов и установок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</w:t>
            </w:r>
          </w:p>
        </w:tc>
      </w:tr>
      <w:tr>
        <w:trPr/>
        <w:tc>
          <w:tcPr>
            <w:tcW w:w="69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/>
            </w:pPr>
            <w:r>
              <w:rPr/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Зайцева М.В.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монтажник радиоэлектронной аппаратуры и приборов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1,3</w:t>
            </w:r>
          </w:p>
        </w:tc>
      </w:tr>
      <w:tr>
        <w:trPr/>
        <w:tc>
          <w:tcPr>
            <w:tcW w:w="69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/>
            </w:pPr>
            <w:r>
              <w:rPr/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Максименкова В.И.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монтажник радиоэлектронной аппаратуры и приборов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0,6</w:t>
            </w:r>
          </w:p>
        </w:tc>
      </w:tr>
      <w:tr>
        <w:trPr/>
        <w:tc>
          <w:tcPr>
            <w:tcW w:w="69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rPr/>
            </w:pPr>
            <w:r>
              <w:rPr/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Московский А.Е.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механик экспериментальных стендов и установок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1,5</w:t>
            </w:r>
          </w:p>
        </w:tc>
      </w:tr>
      <w:tr>
        <w:trPr/>
        <w:tc>
          <w:tcPr>
            <w:tcW w:w="69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rPr/>
            </w:pPr>
            <w:r>
              <w:rPr/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Орлов О.Е.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монтажник радиоэлектронной аппаратуры и приборов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0,6</w:t>
            </w:r>
          </w:p>
        </w:tc>
      </w:tr>
      <w:tr>
        <w:trPr/>
        <w:tc>
          <w:tcPr>
            <w:tcW w:w="69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rPr/>
            </w:pPr>
            <w:r>
              <w:rPr/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Свалов В.Л.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монтажник радиоэлектронной аппаратуры и приборов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0,1</w:t>
            </w:r>
          </w:p>
        </w:tc>
      </w:tr>
      <w:tr>
        <w:trPr/>
        <w:tc>
          <w:tcPr>
            <w:tcW w:w="69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rPr/>
            </w:pPr>
            <w:r>
              <w:rPr/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Солнышкин Ю.А.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механик экспериментальных стендов и установок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</w:t>
            </w:r>
          </w:p>
        </w:tc>
      </w:tr>
      <w:tr>
        <w:trPr/>
        <w:tc>
          <w:tcPr>
            <w:tcW w:w="69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1740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rPr/>
            </w:pPr>
            <w:r>
              <w:rPr/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Шведов А.С.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rPr/>
            </w:pPr>
            <w:r>
              <w:rPr/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механик экспериментальных стендов и установок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rPr/>
            </w:pPr>
            <w:r>
              <w:rPr/>
              <w:t>1</w:t>
            </w:r>
          </w:p>
        </w:tc>
      </w:tr>
      <w:tr>
        <w:trPr/>
        <w:tc>
          <w:tcPr>
            <w:tcW w:w="8782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8,6</w:t>
            </w:r>
          </w:p>
        </w:tc>
      </w:tr>
      <w:tr>
        <w:trPr/>
        <w:tc>
          <w:tcPr>
            <w:tcW w:w="2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/>
            </w:pPr>
            <w:r>
              <w:rPr>
                <w:b/>
              </w:rPr>
              <w:t>Итого</w:t>
            </w:r>
            <w:r>
              <w:rPr>
                <w:b/>
                <w:lang w:val="en-US"/>
              </w:rPr>
              <w:t>: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jc w:val="both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jc w:val="both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jc w:val="both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jc w:val="both"/>
              <w:rPr>
                <w:b/>
              </w:rPr>
            </w:pPr>
            <w:r>
              <w:rPr>
                <w:b/>
              </w:rPr>
              <w:t>124,95</w:t>
            </w:r>
          </w:p>
        </w:tc>
      </w:tr>
    </w:tbl>
    <w:p>
      <w:pPr>
        <w:pStyle w:val="Normal"/>
        <w:spacing w:lineRule="atLeast" w:line="240" w:before="0" w:after="0"/>
        <w:jc w:val="both"/>
        <w:rPr>
          <w:b/>
        </w:rPr>
      </w:pPr>
      <w:r>
        <w:rPr>
          <w:b/>
        </w:rPr>
      </w:r>
    </w:p>
    <w:p>
      <w:pPr>
        <w:pStyle w:val="Normal"/>
        <w:spacing w:lineRule="atLeast" w:line="240" w:before="0" w:after="0"/>
        <w:jc w:val="both"/>
        <w:rPr>
          <w:b/>
        </w:rPr>
      </w:pPr>
      <w:r>
        <w:rPr>
          <w:b/>
        </w:rPr>
        <w:t>3.2.2. Ассоциированный персонал ОИЯИ</w:t>
      </w:r>
    </w:p>
    <w:p>
      <w:pPr>
        <w:pStyle w:val="Normal"/>
        <w:spacing w:lineRule="atLeast" w:line="240" w:before="0" w:after="0"/>
        <w:jc w:val="both"/>
        <w:rPr>
          <w:sz w:val="16"/>
          <w:szCs w:val="16"/>
        </w:rPr>
      </w:pPr>
      <w:r>
        <w:rPr>
          <w:sz w:val="16"/>
          <w:szCs w:val="16"/>
        </w:rPr>
      </w:r>
    </w:p>
    <w:tbl>
      <w:tblPr>
        <w:tblW w:w="980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705"/>
        <w:gridCol w:w="2833"/>
        <w:gridCol w:w="3686"/>
        <w:gridCol w:w="2583"/>
      </w:tblGrid>
      <w:tr>
        <w:trPr/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tLeast" w:line="240" w:before="0" w:after="160"/>
              <w:jc w:val="center"/>
              <w:rPr>
                <w:b/>
              </w:rPr>
            </w:pPr>
            <w:bookmarkStart w:id="0" w:name="_Hlk126579434"/>
            <w:bookmarkEnd w:id="0"/>
            <w:r>
              <w:rPr>
                <w:b/>
              </w:rPr>
              <w:t>№№</w:t>
            </w:r>
            <w:r>
              <w:rPr>
                <w:b/>
              </w:rPr>
              <w:br/>
              <w:t>п/п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tLeast" w:line="240" w:before="0" w:after="160"/>
              <w:jc w:val="center"/>
              <w:rPr>
                <w:b/>
              </w:rPr>
            </w:pPr>
            <w:r>
              <w:rPr>
                <w:b/>
              </w:rPr>
              <w:t>Категория работников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tLeast" w:line="240" w:before="0" w:after="160"/>
              <w:jc w:val="center"/>
              <w:rPr>
                <w:b/>
              </w:rPr>
            </w:pPr>
            <w:r>
              <w:rPr>
                <w:b/>
              </w:rPr>
              <w:t>Организация-партнер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tLeast" w:line="240" w:before="0" w:after="160"/>
              <w:jc w:val="center"/>
              <w:rPr>
                <w:b/>
              </w:rPr>
            </w:pPr>
            <w:r>
              <w:rPr>
                <w:b/>
              </w:rPr>
              <w:t>Сумма FTE</w:t>
            </w:r>
          </w:p>
        </w:tc>
      </w:tr>
      <w:tr>
        <w:trPr/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  <w:t>руководители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0" w:after="160"/>
              <w:jc w:val="both"/>
              <w:rPr/>
            </w:pPr>
            <w:r>
              <w:rPr/>
              <w:t xml:space="preserve">НИЦ «Курчатовский Институт» - </w:t>
            </w:r>
            <w:r>
              <w:rPr>
                <w:b/>
              </w:rPr>
              <w:t>ПИЯФ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  <w:t>4x0,3=1,2</w:t>
            </w:r>
          </w:p>
        </w:tc>
      </w:tr>
      <w:tr>
        <w:trPr/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8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/>
              <w:t>научные работники</w:t>
            </w:r>
          </w:p>
        </w:tc>
        <w:tc>
          <w:tcPr>
            <w:tcW w:w="36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0" w:after="160"/>
              <w:jc w:val="both"/>
              <w:rPr/>
            </w:pPr>
            <w:r>
              <w:rPr/>
              <w:t xml:space="preserve">НИЦ «Курчатовский Институт» - </w:t>
            </w:r>
            <w:r>
              <w:rPr>
                <w:b/>
              </w:rPr>
              <w:t>ПИЯФ</w:t>
            </w:r>
          </w:p>
        </w:tc>
        <w:tc>
          <w:tcPr>
            <w:tcW w:w="2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  <w:t>8x0,5=4</w:t>
            </w:r>
          </w:p>
        </w:tc>
      </w:tr>
      <w:tr>
        <w:trPr>
          <w:trHeight w:val="314" w:hRule="atLeast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  <w:t>3.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  <w:t>инженеры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</w:r>
          </w:p>
        </w:tc>
      </w:tr>
      <w:tr>
        <w:trPr>
          <w:trHeight w:val="369" w:hRule="atLeast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  <w:t>4.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  <w:t>специалисты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0" w:after="160"/>
              <w:jc w:val="both"/>
              <w:rPr/>
            </w:pPr>
            <w:r>
              <w:rPr/>
              <w:t xml:space="preserve">НИЦ «Курчатовский Институт» - </w:t>
            </w:r>
            <w:r>
              <w:rPr>
                <w:b/>
              </w:rPr>
              <w:t>ПИЯФ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  <w:t>3x0,3=0,9</w:t>
            </w:r>
          </w:p>
        </w:tc>
      </w:tr>
      <w:tr>
        <w:trPr/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bCs/>
              </w:rPr>
            </w:pPr>
            <w:r>
              <w:rPr>
                <w:bCs/>
              </w:rPr>
              <w:t>5.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  <w:t>рабочие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</w:r>
          </w:p>
        </w:tc>
      </w:tr>
      <w:tr>
        <w:trPr/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/>
            </w:pPr>
            <w:r>
              <w:rPr>
                <w:b/>
              </w:rPr>
              <w:t>Итого</w:t>
            </w:r>
            <w:r>
              <w:rPr>
                <w:b/>
                <w:lang w:val="en-US"/>
              </w:rPr>
              <w:t>: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jc w:val="both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 w:before="0" w:after="0"/>
              <w:jc w:val="center"/>
              <w:rPr/>
            </w:pPr>
            <w:r>
              <w:rPr>
                <w:b/>
              </w:rPr>
              <w:t>6,1</w:t>
            </w:r>
          </w:p>
        </w:tc>
      </w:tr>
    </w:tbl>
    <w:p>
      <w:pPr>
        <w:pStyle w:val="Normal"/>
        <w:spacing w:lineRule="atLeast" w:line="240" w:before="0" w:after="0"/>
        <w:jc w:val="both"/>
        <w:rPr>
          <w:b/>
        </w:rPr>
      </w:pPr>
      <w:r>
        <w:rPr>
          <w:b/>
        </w:rPr>
      </w:r>
    </w:p>
    <w:p>
      <w:pPr>
        <w:pStyle w:val="Normal"/>
        <w:spacing w:lineRule="atLeast" w:line="240" w:before="0" w:after="0"/>
        <w:jc w:val="both"/>
        <w:rPr>
          <w:b/>
        </w:rPr>
      </w:pPr>
      <w:r>
        <w:rPr>
          <w:b/>
        </w:rPr>
      </w:r>
    </w:p>
    <w:p>
      <w:pPr>
        <w:pStyle w:val="Normal"/>
        <w:spacing w:lineRule="atLeast" w:line="240"/>
        <w:jc w:val="both"/>
        <w:rPr>
          <w:lang w:val="en-US"/>
        </w:rPr>
      </w:pPr>
      <w:r>
        <w:rPr>
          <w:lang w:val="en-US"/>
        </w:rPr>
      </w:r>
    </w:p>
    <w:p>
      <w:pPr>
        <w:pStyle w:val="Normal"/>
        <w:spacing w:lineRule="atLeast" w:line="240"/>
        <w:jc w:val="both"/>
        <w:rPr>
          <w:b/>
        </w:rPr>
      </w:pPr>
      <w:r>
        <w:rPr>
          <w:b/>
        </w:rPr>
        <w:t>4. Финансовое обеспечение</w:t>
      </w:r>
    </w:p>
    <w:p>
      <w:pPr>
        <w:pStyle w:val="Normal"/>
        <w:spacing w:lineRule="atLeast" w:line="240" w:before="0" w:after="0"/>
        <w:jc w:val="both"/>
        <w:rPr>
          <w:b/>
        </w:rPr>
      </w:pPr>
      <w:r>
        <w:rPr>
          <w:b/>
        </w:rPr>
        <w:t>4.1. Полная сметная стоимость проекта  - 33 млн. дол. США.</w:t>
      </w:r>
    </w:p>
    <w:p>
      <w:pPr>
        <w:pStyle w:val="Normal"/>
        <w:spacing w:lineRule="atLeast" w:line="240" w:before="0" w:after="0"/>
        <w:jc w:val="both"/>
        <w:rPr/>
      </w:pPr>
      <w:r>
        <w:rPr/>
        <w:t xml:space="preserve">Прогноз полной сметной стоимости (указать суммарно за весь срок, за исключением ФЗП).  </w:t>
      </w:r>
    </w:p>
    <w:p>
      <w:pPr>
        <w:pStyle w:val="Normal"/>
        <w:spacing w:lineRule="atLeast" w:line="240" w:before="0" w:after="0"/>
        <w:jc w:val="both"/>
        <w:rPr/>
      </w:pPr>
      <w:r>
        <w:rPr/>
        <w:t xml:space="preserve">Детализация приводится в отдельной форме. </w:t>
      </w:r>
    </w:p>
    <w:p>
      <w:pPr>
        <w:pStyle w:val="Normal"/>
        <w:spacing w:lineRule="exact" w:line="240" w:before="0" w:after="0"/>
        <w:jc w:val="both"/>
        <w:rPr/>
      </w:pPr>
      <w:r>
        <w:rPr/>
      </w:r>
    </w:p>
    <w:p>
      <w:pPr>
        <w:pStyle w:val="Normal"/>
        <w:spacing w:lineRule="exact" w:line="240" w:before="0" w:after="0"/>
        <w:jc w:val="both"/>
        <w:rPr>
          <w:b/>
        </w:rPr>
      </w:pPr>
      <w:r>
        <w:rPr>
          <w:b/>
        </w:rPr>
        <w:t xml:space="preserve">4.2. Внебюджетные источники финансирования </w:t>
      </w:r>
    </w:p>
    <w:p>
      <w:pPr>
        <w:pStyle w:val="Normal"/>
        <w:spacing w:lineRule="exact" w:line="240" w:before="0" w:after="0"/>
        <w:jc w:val="both"/>
        <w:rPr/>
      </w:pPr>
      <w:r>
        <w:rPr/>
        <w:t>Предполагаемое финансирование со стороны соисполнителей/заказчиков - общий объем.</w:t>
      </w:r>
    </w:p>
    <w:p>
      <w:pPr>
        <w:pStyle w:val="Normal"/>
        <w:spacing w:lineRule="exact" w:line="240" w:before="0" w:after="0"/>
        <w:jc w:val="both"/>
        <w:rPr/>
      </w:pPr>
      <w:r>
        <w:rPr/>
      </w:r>
    </w:p>
    <w:p>
      <w:pPr>
        <w:pStyle w:val="Normal"/>
        <w:spacing w:lineRule="exact" w:line="240" w:before="0" w:after="0"/>
        <w:jc w:val="both"/>
        <w:rPr/>
      </w:pPr>
      <w:r>
        <w:rPr/>
      </w:r>
    </w:p>
    <w:p>
      <w:pPr>
        <w:pStyle w:val="Normal"/>
        <w:spacing w:lineRule="auto" w:line="360"/>
        <w:jc w:val="both"/>
        <w:rPr/>
      </w:pPr>
      <w:r>
        <w:rPr>
          <w:b/>
          <w:bCs/>
        </w:rPr>
        <w:t xml:space="preserve">Руководители проекта: </w:t>
      </w:r>
      <w:r>
        <w:rPr/>
        <w:t>Головатюк В.М., Кекелидзе В.Д.</w:t>
      </w:r>
    </w:p>
    <w:p>
      <w:pPr>
        <w:pStyle w:val="Normal"/>
        <w:spacing w:lineRule="auto" w:line="360" w:before="0" w:after="0"/>
        <w:jc w:val="both"/>
        <w:rPr/>
      </w:pPr>
      <w:r>
        <w:rPr/>
      </w:r>
    </w:p>
    <w:p>
      <w:pPr>
        <w:pStyle w:val="Normal"/>
        <w:spacing w:lineRule="auto" w:line="360" w:before="0" w:after="0"/>
        <w:jc w:val="both"/>
        <w:rPr/>
      </w:pPr>
      <w:r>
        <w:rPr/>
      </w:r>
    </w:p>
    <w:p>
      <w:pPr>
        <w:pStyle w:val="Normal"/>
        <w:spacing w:lineRule="auto" w:line="360" w:before="0" w:after="0"/>
        <w:jc w:val="both"/>
        <w:rPr/>
      </w:pPr>
      <w:r>
        <w:rPr/>
        <w:t>Дата представления проекта (подпроекта КИП) в ДНОД: _________</w:t>
      </w:r>
    </w:p>
    <w:p>
      <w:pPr>
        <w:pStyle w:val="Normal"/>
        <w:spacing w:lineRule="auto" w:line="360" w:before="0" w:after="0"/>
        <w:jc w:val="both"/>
        <w:rPr/>
      </w:pPr>
      <w:r>
        <w:rPr/>
        <w:t>Дата решения НТС лаборатории: _________ номер документа: _________</w:t>
      </w:r>
    </w:p>
    <w:p>
      <w:pPr>
        <w:pStyle w:val="Normal"/>
        <w:spacing w:lineRule="auto" w:line="360" w:before="0" w:after="0"/>
        <w:jc w:val="both"/>
        <w:rPr/>
      </w:pPr>
      <w:r>
        <w:rPr/>
        <w:t>Год начала проекта (подпроекта КИП): ________________</w:t>
      </w:r>
    </w:p>
    <w:p>
      <w:pPr>
        <w:pStyle w:val="Normal"/>
        <w:spacing w:lineRule="auto" w:line="360" w:before="0" w:after="0"/>
        <w:jc w:val="both"/>
        <w:rPr/>
      </w:pPr>
      <w:r>
        <w:rPr/>
        <w:t xml:space="preserve">(для продлеваемых проектов) –– год начала работ по проекту: </w:t>
      </w:r>
      <w:r>
        <w:rPr>
          <w:b/>
          <w:bCs/>
        </w:rPr>
        <w:t>2012 г.</w:t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spacing w:lineRule="auto" w:line="240" w:before="0" w:after="0"/>
        <w:rPr>
          <w:rFonts w:eastAsia="Calibri"/>
          <w:bCs/>
          <w:color w:val="000000"/>
        </w:rPr>
      </w:pPr>
      <w:r>
        <w:rPr>
          <w:rFonts w:eastAsia="Calibri"/>
          <w:bCs/>
          <w:color w:val="000000"/>
        </w:rPr>
      </w:r>
    </w:p>
    <w:p>
      <w:pPr>
        <w:pStyle w:val="Normal"/>
        <w:spacing w:lineRule="auto" w:line="240" w:before="0" w:after="0"/>
        <w:rPr>
          <w:rFonts w:eastAsia="Calibri"/>
          <w:bCs/>
          <w:color w:val="000000"/>
        </w:rPr>
      </w:pPr>
      <w:r>
        <w:rPr>
          <w:rFonts w:eastAsia="Calibri"/>
          <w:bCs/>
          <w:color w:val="000000"/>
        </w:rPr>
      </w:r>
    </w:p>
    <w:p>
      <w:pPr>
        <w:pStyle w:val="Normal"/>
        <w:jc w:val="right"/>
        <w:rPr/>
      </w:pPr>
      <w:r>
        <w:rPr/>
      </w:r>
    </w:p>
    <w:p>
      <w:pPr>
        <w:pStyle w:val="Normal"/>
        <w:spacing w:lineRule="auto" w:line="360"/>
        <w:jc w:val="center"/>
        <w:rPr>
          <w:b/>
          <w:bCs/>
        </w:rPr>
      </w:pPr>
      <w:r>
        <w:rPr/>
        <w:drawing>
          <wp:inline distT="0" distB="0" distL="0" distR="0">
            <wp:extent cx="5940425" cy="8246745"/>
            <wp:effectExtent l="0" t="0" r="0" b="0"/>
            <wp:docPr id="4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spacing w:lineRule="auto" w:line="360"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spacing w:lineRule="auto" w:line="360"/>
        <w:rPr>
          <w:b/>
          <w:bCs/>
        </w:rPr>
      </w:pPr>
      <w:r>
        <w:rPr>
          <w:b/>
          <w:bCs/>
        </w:rPr>
      </w:r>
    </w:p>
    <w:p>
      <w:pPr>
        <w:pStyle w:val="Normal"/>
        <w:spacing w:lineRule="auto" w:line="360"/>
        <w:jc w:val="center"/>
        <w:rPr>
          <w:b/>
          <w:bCs/>
        </w:rPr>
      </w:pPr>
      <w:r>
        <w:rPr>
          <w:b/>
          <w:bCs/>
        </w:rPr>
        <w:t>ЛИСТ СОГЛАСОВАНИЙ ПРОЕКТА</w:t>
      </w:r>
    </w:p>
    <w:p>
      <w:pPr>
        <w:pStyle w:val="Normal"/>
        <w:spacing w:lineRule="auto" w:line="360"/>
        <w:jc w:val="center"/>
        <w:rPr>
          <w:sz w:val="28"/>
          <w:szCs w:val="28"/>
        </w:rPr>
      </w:pPr>
      <w:r>
        <w:rPr>
          <w:sz w:val="28"/>
          <w:szCs w:val="28"/>
        </w:rPr>
        <w:t>Многоцелевой Детектор (</w:t>
      </w:r>
      <w:r>
        <w:rPr>
          <w:sz w:val="28"/>
          <w:szCs w:val="28"/>
          <w:lang w:val="en-US"/>
        </w:rPr>
        <w:t>MPD</w:t>
      </w:r>
      <w:r>
        <w:rPr>
          <w:sz w:val="28"/>
          <w:szCs w:val="28"/>
        </w:rPr>
        <w:t>)</w:t>
      </w:r>
    </w:p>
    <w:p>
      <w:pPr>
        <w:pStyle w:val="Normal"/>
        <w:spacing w:lineRule="auto" w:line="360"/>
        <w:jc w:val="center"/>
        <w:rPr/>
      </w:pPr>
      <w:r>
        <w:rPr/>
        <w:t xml:space="preserve">ШИФР ПРОЕКТА 02-1-1065-3-2011/2025 </w:t>
      </w:r>
    </w:p>
    <w:p>
      <w:pPr>
        <w:pStyle w:val="Normal"/>
        <w:spacing w:lineRule="auto" w:line="360"/>
        <w:jc w:val="center"/>
        <w:rPr/>
      </w:pPr>
      <w:r>
        <w:rPr/>
        <w:t xml:space="preserve">ШИФР ТЕМЫ 02-1-1065-2007/2026 </w:t>
      </w:r>
    </w:p>
    <w:p>
      <w:pPr>
        <w:pStyle w:val="Normal"/>
        <w:spacing w:lineRule="auto" w:line="360"/>
        <w:jc w:val="center"/>
        <w:rPr/>
      </w:pPr>
      <w:r>
        <w:rPr/>
        <w:t>Руководители проекта: В.М. Головатюк В.Д. Кекелидзе,</w:t>
      </w:r>
    </w:p>
    <w:p>
      <w:pPr>
        <w:pStyle w:val="Normal"/>
        <w:spacing w:lineRule="auto" w:line="360"/>
        <w:jc w:val="center"/>
        <w:rPr/>
      </w:pPr>
      <w:r>
        <w:rPr/>
        <w:t xml:space="preserve"> </w:t>
      </w:r>
      <w:r>
        <w:rPr>
          <w:i/>
          <w:iCs/>
        </w:rPr>
        <w:t xml:space="preserve">Заместитель руководителя проекта: </w:t>
      </w:r>
      <w:r>
        <w:rPr/>
        <w:t xml:space="preserve">В.Г. Рябов </w:t>
      </w:r>
    </w:p>
    <w:p>
      <w:pPr>
        <w:pStyle w:val="Normal"/>
        <w:spacing w:lineRule="auto" w:line="360"/>
        <w:jc w:val="both"/>
        <w:rPr/>
      </w:pPr>
      <w:r>
        <w:rPr/>
        <w:t>УТВЕРЖДАЮ</w:t>
      </w:r>
    </w:p>
    <w:tbl>
      <w:tblPr>
        <w:tblW w:w="9673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1e0" w:noHBand="0" w:noVBand="0" w:firstColumn="1" w:lastRow="1" w:lastColumn="1" w:firstRow="1"/>
      </w:tblPr>
      <w:tblGrid>
        <w:gridCol w:w="4522"/>
        <w:gridCol w:w="1571"/>
        <w:gridCol w:w="1983"/>
        <w:gridCol w:w="1330"/>
        <w:gridCol w:w="267"/>
      </w:tblGrid>
      <w:tr>
        <w:trPr/>
        <w:tc>
          <w:tcPr>
            <w:tcW w:w="452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  <w:t>ДИРЕКТОР ОИЯИ</w:t>
            </w:r>
          </w:p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1571" w:type="dxa"/>
            <w:tcBorders/>
          </w:tcPr>
          <w:p>
            <w:pPr>
              <w:pStyle w:val="Normal"/>
              <w:widowControl w:val="false"/>
              <w:spacing w:before="0" w:after="0"/>
              <w:ind w:left="-91" w:hanging="0"/>
              <w:rPr/>
            </w:pPr>
            <w:r>
              <w:rPr/>
              <w:t>____________</w:t>
            </w:r>
          </w:p>
          <w:p>
            <w:pPr>
              <w:pStyle w:val="Normal"/>
              <w:widowControl w:val="false"/>
              <w:spacing w:before="0" w:after="0"/>
              <w:ind w:left="-91" w:hang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</w:t>
            </w:r>
            <w:r>
              <w:rPr>
                <w:sz w:val="16"/>
                <w:szCs w:val="16"/>
              </w:rPr>
              <w:t>ФИО</w:t>
            </w:r>
          </w:p>
          <w:p>
            <w:pPr>
              <w:pStyle w:val="Normal"/>
              <w:widowControl w:val="false"/>
              <w:spacing w:before="0" w:after="160"/>
              <w:ind w:left="-91" w:hanging="0"/>
              <w:jc w:val="right"/>
              <w:rPr/>
            </w:pPr>
            <w:r>
              <w:rPr/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 w:val="false"/>
              <w:spacing w:lineRule="atLeast" w:line="240" w:before="0" w:after="0"/>
              <w:jc w:val="center"/>
              <w:rPr/>
            </w:pPr>
            <w:r>
              <w:rPr/>
              <w:t>_________</w:t>
            </w:r>
          </w:p>
          <w:p>
            <w:pPr>
              <w:pStyle w:val="Normal"/>
              <w:widowControl w:val="false"/>
              <w:spacing w:lineRule="atLeast" w:line="240"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</w:t>
            </w:r>
            <w:r>
              <w:rPr>
                <w:sz w:val="16"/>
                <w:szCs w:val="16"/>
              </w:rPr>
              <w:t>ПОДПИСЬ</w:t>
            </w:r>
          </w:p>
          <w:p>
            <w:pPr>
              <w:pStyle w:val="Normal"/>
              <w:widowControl w:val="false"/>
              <w:spacing w:lineRule="atLeast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tLeast" w:line="240" w:before="0" w:after="0"/>
              <w:rPr/>
            </w:pPr>
            <w:r>
              <w:rPr/>
            </w:r>
          </w:p>
        </w:tc>
        <w:tc>
          <w:tcPr>
            <w:tcW w:w="1597" w:type="dxa"/>
            <w:gridSpan w:val="2"/>
            <w:tcBorders/>
          </w:tcPr>
          <w:p>
            <w:pPr>
              <w:pStyle w:val="Normal"/>
              <w:widowControl w:val="false"/>
              <w:spacing w:lineRule="atLeast" w:line="240" w:before="0" w:after="0"/>
              <w:jc w:val="center"/>
              <w:rPr/>
            </w:pPr>
            <w:r>
              <w:rPr/>
              <w:t>_________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494" w:leader="none"/>
              </w:tabs>
              <w:spacing w:lineRule="atLeast" w:line="240"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ДАТА</w:t>
            </w:r>
          </w:p>
          <w:p>
            <w:pPr>
              <w:pStyle w:val="Normal"/>
              <w:widowControl w:val="false"/>
              <w:spacing w:lineRule="atLeast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tLeast" w:line="240" w:before="0" w:after="0"/>
              <w:jc w:val="right"/>
              <w:rPr/>
            </w:pPr>
            <w:r>
              <w:rPr/>
            </w:r>
          </w:p>
        </w:tc>
      </w:tr>
      <w:tr>
        <w:trPr/>
        <w:tc>
          <w:tcPr>
            <w:tcW w:w="4522" w:type="dxa"/>
            <w:tcBorders/>
          </w:tcPr>
          <w:p>
            <w:pPr>
              <w:pStyle w:val="Normal"/>
              <w:widowControl w:val="false"/>
              <w:spacing w:before="0" w:after="160"/>
              <w:rPr>
                <w:lang w:val="en-US"/>
              </w:rPr>
            </w:pPr>
            <w:r>
              <w:rPr>
                <w:lang w:val="en-US"/>
              </w:rPr>
            </w:r>
          </w:p>
        </w:tc>
        <w:tc>
          <w:tcPr>
            <w:tcW w:w="1571" w:type="dxa"/>
            <w:tcBorders/>
          </w:tcPr>
          <w:p>
            <w:pPr>
              <w:pStyle w:val="Normal"/>
              <w:widowControl w:val="false"/>
              <w:spacing w:before="0" w:after="160"/>
              <w:jc w:val="both"/>
              <w:rPr/>
            </w:pPr>
            <w:r>
              <w:rPr/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 w:val="false"/>
              <w:spacing w:before="0" w:after="160"/>
              <w:jc w:val="both"/>
              <w:rPr>
                <w:lang w:val="en-US"/>
              </w:rPr>
            </w:pPr>
            <w:r>
              <w:rPr>
                <w:lang w:val="en-US"/>
              </w:rPr>
            </w:r>
          </w:p>
        </w:tc>
        <w:tc>
          <w:tcPr>
            <w:tcW w:w="1597" w:type="dxa"/>
            <w:gridSpan w:val="2"/>
            <w:tcBorders/>
          </w:tcPr>
          <w:p>
            <w:pPr>
              <w:pStyle w:val="Normal"/>
              <w:widowControl w:val="false"/>
              <w:spacing w:before="0" w:after="160"/>
              <w:jc w:val="both"/>
              <w:rPr/>
            </w:pPr>
            <w:r>
              <w:rPr/>
            </w:r>
          </w:p>
        </w:tc>
      </w:tr>
      <w:tr>
        <w:trPr/>
        <w:tc>
          <w:tcPr>
            <w:tcW w:w="4522" w:type="dxa"/>
            <w:tcBorders/>
          </w:tcPr>
          <w:p>
            <w:pPr>
              <w:pStyle w:val="Normal"/>
              <w:widowControl w:val="false"/>
              <w:spacing w:before="0" w:after="0"/>
              <w:rPr/>
            </w:pPr>
            <w:r>
              <w:rPr/>
              <w:t>СОГЛАСОВАНО</w:t>
            </w:r>
          </w:p>
        </w:tc>
        <w:tc>
          <w:tcPr>
            <w:tcW w:w="1571" w:type="dxa"/>
            <w:tcBorders/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/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/>
            </w:r>
          </w:p>
        </w:tc>
        <w:tc>
          <w:tcPr>
            <w:tcW w:w="1597" w:type="dxa"/>
            <w:gridSpan w:val="2"/>
            <w:tcBorders/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/>
            </w:r>
          </w:p>
        </w:tc>
      </w:tr>
      <w:tr>
        <w:trPr/>
        <w:tc>
          <w:tcPr>
            <w:tcW w:w="4522" w:type="dxa"/>
            <w:tcBorders/>
          </w:tcPr>
          <w:p>
            <w:pPr>
              <w:pStyle w:val="Normal"/>
              <w:widowControl w:val="false"/>
              <w:spacing w:before="0" w:after="0"/>
              <w:rPr/>
            </w:pPr>
            <w:bookmarkStart w:id="1" w:name="_Hlk126079368"/>
            <w:bookmarkEnd w:id="1"/>
            <w:r>
              <w:rPr/>
              <w:t>ВИЦЕ-ДИРЕКТОР ОИЯИ</w:t>
            </w:r>
          </w:p>
        </w:tc>
        <w:tc>
          <w:tcPr>
            <w:tcW w:w="1571" w:type="dxa"/>
            <w:tcBorders/>
          </w:tcPr>
          <w:p>
            <w:pPr>
              <w:pStyle w:val="Normal"/>
              <w:widowControl w:val="false"/>
              <w:spacing w:before="0" w:after="0"/>
              <w:rPr/>
            </w:pPr>
            <w:r>
              <w:rPr>
                <w:lang w:val="en-US"/>
              </w:rPr>
              <w:t>_______</w:t>
            </w:r>
            <w:r>
              <w:rPr/>
              <w:t>____</w:t>
            </w:r>
          </w:p>
          <w:p>
            <w:pPr>
              <w:pStyle w:val="Normal"/>
              <w:widowControl w:val="false"/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</w:t>
            </w:r>
            <w:r>
              <w:rPr>
                <w:sz w:val="16"/>
                <w:szCs w:val="16"/>
              </w:rPr>
              <w:t>ФИО</w:t>
            </w:r>
          </w:p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 w:val="false"/>
              <w:spacing w:before="0" w:after="0"/>
              <w:jc w:val="center"/>
              <w:rPr/>
            </w:pPr>
            <w:r>
              <w:rPr/>
              <w:t>_________</w:t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ПОДПИСЬ</w:t>
            </w:r>
          </w:p>
        </w:tc>
        <w:tc>
          <w:tcPr>
            <w:tcW w:w="1330" w:type="dxa"/>
            <w:tcBorders/>
          </w:tcPr>
          <w:p>
            <w:pPr>
              <w:pStyle w:val="Normal"/>
              <w:widowControl w:val="false"/>
              <w:spacing w:before="0" w:after="0"/>
              <w:jc w:val="center"/>
              <w:rPr/>
            </w:pPr>
            <w:r>
              <w:rPr/>
              <w:t>_________</w:t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ДАТА</w:t>
            </w:r>
          </w:p>
        </w:tc>
        <w:tc>
          <w:tcPr>
            <w:tcW w:w="267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  <w:bookmarkStart w:id="2" w:name="_Hlk126079368_Copy_1"/>
            <w:bookmarkStart w:id="3" w:name="_Hlk126079368_Copy_1"/>
            <w:bookmarkEnd w:id="3"/>
          </w:p>
        </w:tc>
      </w:tr>
      <w:tr>
        <w:trPr/>
        <w:tc>
          <w:tcPr>
            <w:tcW w:w="4522" w:type="dxa"/>
            <w:tcBorders/>
          </w:tcPr>
          <w:p>
            <w:pPr>
              <w:pStyle w:val="Normal"/>
              <w:widowControl w:val="false"/>
              <w:spacing w:before="0" w:after="0"/>
              <w:rPr/>
            </w:pPr>
            <w:r>
              <w:rPr/>
              <w:t>ГЛАВНЫЙ УЧЕНЫЙ СЕКРЕТАРЬ</w:t>
            </w:r>
          </w:p>
        </w:tc>
        <w:tc>
          <w:tcPr>
            <w:tcW w:w="1571" w:type="dxa"/>
            <w:tcBorders/>
          </w:tcPr>
          <w:p>
            <w:pPr>
              <w:pStyle w:val="Normal"/>
              <w:widowControl w:val="false"/>
              <w:spacing w:before="0" w:after="0"/>
              <w:rPr/>
            </w:pPr>
            <w:r>
              <w:rPr>
                <w:lang w:val="en-US"/>
              </w:rPr>
              <w:t>_______</w:t>
            </w:r>
            <w:r>
              <w:rPr/>
              <w:t>____</w:t>
            </w:r>
          </w:p>
          <w:p>
            <w:pPr>
              <w:pStyle w:val="Normal"/>
              <w:widowControl w:val="false"/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</w:t>
            </w:r>
            <w:r>
              <w:rPr>
                <w:sz w:val="16"/>
                <w:szCs w:val="16"/>
              </w:rPr>
              <w:t>ФИО</w:t>
            </w:r>
          </w:p>
          <w:p>
            <w:pPr>
              <w:pStyle w:val="Normal"/>
              <w:widowControl w:val="false"/>
              <w:spacing w:before="0" w:after="0"/>
              <w:jc w:val="center"/>
              <w:rPr/>
            </w:pPr>
            <w:r>
              <w:rPr/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 w:val="false"/>
              <w:spacing w:before="0" w:after="0"/>
              <w:jc w:val="center"/>
              <w:rPr/>
            </w:pPr>
            <w:r>
              <w:rPr/>
              <w:t>_________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ПОДПИСЬ</w:t>
            </w:r>
          </w:p>
        </w:tc>
        <w:tc>
          <w:tcPr>
            <w:tcW w:w="1330" w:type="dxa"/>
            <w:tcBorders/>
          </w:tcPr>
          <w:p>
            <w:pPr>
              <w:pStyle w:val="Normal"/>
              <w:widowControl w:val="false"/>
              <w:spacing w:before="0" w:after="0"/>
              <w:jc w:val="center"/>
              <w:rPr/>
            </w:pPr>
            <w:r>
              <w:rPr/>
              <w:t>_________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ДАТА</w:t>
            </w:r>
          </w:p>
        </w:tc>
        <w:tc>
          <w:tcPr>
            <w:tcW w:w="267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  <w:tr>
        <w:trPr/>
        <w:tc>
          <w:tcPr>
            <w:tcW w:w="4522" w:type="dxa"/>
            <w:tcBorders/>
          </w:tcPr>
          <w:p>
            <w:pPr>
              <w:pStyle w:val="Normal"/>
              <w:widowControl w:val="false"/>
              <w:spacing w:before="0" w:after="0"/>
              <w:rPr/>
            </w:pPr>
            <w:r>
              <w:rPr/>
              <w:t>ГЛАВНЫЙ ИНЖЕНЕР</w:t>
            </w:r>
          </w:p>
        </w:tc>
        <w:tc>
          <w:tcPr>
            <w:tcW w:w="1571" w:type="dxa"/>
            <w:tcBorders/>
          </w:tcPr>
          <w:p>
            <w:pPr>
              <w:pStyle w:val="Normal"/>
              <w:widowControl w:val="false"/>
              <w:spacing w:before="0" w:after="0"/>
              <w:rPr/>
            </w:pPr>
            <w:r>
              <w:rPr>
                <w:lang w:val="en-US"/>
              </w:rPr>
              <w:t>_______</w:t>
            </w:r>
            <w:r>
              <w:rPr/>
              <w:t>____</w:t>
            </w:r>
          </w:p>
          <w:p>
            <w:pPr>
              <w:pStyle w:val="Normal"/>
              <w:widowControl w:val="false"/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</w:t>
            </w:r>
            <w:r>
              <w:rPr>
                <w:sz w:val="16"/>
                <w:szCs w:val="16"/>
              </w:rPr>
              <w:t>ФИО</w:t>
            </w:r>
          </w:p>
          <w:p>
            <w:pPr>
              <w:pStyle w:val="Normal"/>
              <w:widowControl w:val="false"/>
              <w:spacing w:before="0" w:after="0"/>
              <w:jc w:val="center"/>
              <w:rPr/>
            </w:pPr>
            <w:r>
              <w:rPr/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 w:val="false"/>
              <w:spacing w:before="0" w:after="0"/>
              <w:jc w:val="center"/>
              <w:rPr/>
            </w:pPr>
            <w:r>
              <w:rPr/>
              <w:t>_________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ПОДПИСЬ</w:t>
            </w:r>
          </w:p>
        </w:tc>
        <w:tc>
          <w:tcPr>
            <w:tcW w:w="1330" w:type="dxa"/>
            <w:tcBorders/>
          </w:tcPr>
          <w:p>
            <w:pPr>
              <w:pStyle w:val="Normal"/>
              <w:widowControl w:val="false"/>
              <w:spacing w:before="0" w:after="0"/>
              <w:jc w:val="center"/>
              <w:rPr/>
            </w:pPr>
            <w:r>
              <w:rPr/>
              <w:t>_________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ДАТА</w:t>
            </w:r>
          </w:p>
        </w:tc>
        <w:tc>
          <w:tcPr>
            <w:tcW w:w="267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  <w:tr>
        <w:trPr/>
        <w:tc>
          <w:tcPr>
            <w:tcW w:w="4522" w:type="dxa"/>
            <w:tcBorders/>
          </w:tcPr>
          <w:p>
            <w:pPr>
              <w:pStyle w:val="Normal"/>
              <w:widowControl w:val="false"/>
              <w:spacing w:lineRule="auto" w:line="720" w:before="0" w:after="0"/>
              <w:rPr/>
            </w:pPr>
            <w:r>
              <w:rPr/>
              <w:t>ДИРЕКТОР ЛАБОРАТОРИИ</w:t>
            </w:r>
          </w:p>
        </w:tc>
        <w:tc>
          <w:tcPr>
            <w:tcW w:w="1571" w:type="dxa"/>
            <w:tcBorders/>
          </w:tcPr>
          <w:p>
            <w:pPr>
              <w:pStyle w:val="Normal"/>
              <w:widowControl w:val="false"/>
              <w:spacing w:before="0" w:after="0"/>
              <w:rPr/>
            </w:pPr>
            <w:r>
              <w:rPr>
                <w:lang w:val="en-US"/>
              </w:rPr>
              <w:t>_______</w:t>
            </w:r>
            <w:r>
              <w:rPr/>
              <w:t>____</w:t>
            </w:r>
          </w:p>
          <w:p>
            <w:pPr>
              <w:pStyle w:val="Normal"/>
              <w:widowControl w:val="false"/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</w:t>
            </w:r>
            <w:r>
              <w:rPr>
                <w:sz w:val="16"/>
                <w:szCs w:val="16"/>
              </w:rPr>
              <w:t>ФИО</w:t>
            </w:r>
          </w:p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/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 w:val="false"/>
              <w:spacing w:before="0" w:after="0"/>
              <w:jc w:val="center"/>
              <w:rPr/>
            </w:pPr>
            <w:r>
              <w:rPr/>
              <w:t>_________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ПОДПИСЬ</w:t>
            </w:r>
          </w:p>
        </w:tc>
        <w:tc>
          <w:tcPr>
            <w:tcW w:w="1330" w:type="dxa"/>
            <w:tcBorders/>
          </w:tcPr>
          <w:p>
            <w:pPr>
              <w:pStyle w:val="Normal"/>
              <w:widowControl w:val="false"/>
              <w:spacing w:before="0" w:after="0"/>
              <w:jc w:val="center"/>
              <w:rPr/>
            </w:pPr>
            <w:r>
              <w:rPr/>
              <w:t>_________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ДАТА</w:t>
            </w:r>
          </w:p>
        </w:tc>
        <w:tc>
          <w:tcPr>
            <w:tcW w:w="267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  <w:tr>
        <w:trPr/>
        <w:tc>
          <w:tcPr>
            <w:tcW w:w="4522" w:type="dxa"/>
            <w:tcBorders/>
          </w:tcPr>
          <w:p>
            <w:pPr>
              <w:pStyle w:val="Normal"/>
              <w:widowControl w:val="false"/>
              <w:spacing w:lineRule="auto" w:line="720" w:before="0" w:after="0"/>
              <w:rPr/>
            </w:pPr>
            <w:r>
              <w:rPr/>
              <w:t>ГЛАВНЫЙ ИНЖЕНЕР ЛАБОРАТОРИИ</w:t>
            </w:r>
          </w:p>
        </w:tc>
        <w:tc>
          <w:tcPr>
            <w:tcW w:w="1571" w:type="dxa"/>
            <w:tcBorders/>
          </w:tcPr>
          <w:p>
            <w:pPr>
              <w:pStyle w:val="Normal"/>
              <w:widowControl w:val="false"/>
              <w:spacing w:before="0" w:after="0"/>
              <w:rPr/>
            </w:pPr>
            <w:r>
              <w:rPr>
                <w:lang w:val="en-US"/>
              </w:rPr>
              <w:t>_______</w:t>
            </w:r>
            <w:r>
              <w:rPr/>
              <w:t>____</w:t>
            </w:r>
          </w:p>
          <w:p>
            <w:pPr>
              <w:pStyle w:val="Normal"/>
              <w:widowControl w:val="false"/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</w:t>
            </w:r>
            <w:r>
              <w:rPr>
                <w:sz w:val="16"/>
                <w:szCs w:val="16"/>
              </w:rPr>
              <w:t>ФИО</w:t>
            </w:r>
          </w:p>
          <w:p>
            <w:pPr>
              <w:pStyle w:val="Normal"/>
              <w:widowControl w:val="false"/>
              <w:spacing w:lineRule="auto" w:line="480" w:before="0" w:after="160"/>
              <w:jc w:val="center"/>
              <w:rPr/>
            </w:pPr>
            <w:r>
              <w:rPr/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 w:val="false"/>
              <w:spacing w:before="0" w:after="0"/>
              <w:jc w:val="center"/>
              <w:rPr/>
            </w:pPr>
            <w:r>
              <w:rPr/>
              <w:t>_________</w:t>
            </w:r>
          </w:p>
          <w:p>
            <w:pPr>
              <w:pStyle w:val="Normal"/>
              <w:widowControl w:val="false"/>
              <w:spacing w:lineRule="auto" w:line="480" w:before="0" w:after="1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ПОДПИСЬ</w:t>
            </w:r>
          </w:p>
        </w:tc>
        <w:tc>
          <w:tcPr>
            <w:tcW w:w="1330" w:type="dxa"/>
            <w:tcBorders/>
          </w:tcPr>
          <w:p>
            <w:pPr>
              <w:pStyle w:val="Normal"/>
              <w:widowControl w:val="false"/>
              <w:spacing w:before="0" w:after="0"/>
              <w:jc w:val="center"/>
              <w:rPr/>
            </w:pPr>
            <w:r>
              <w:rPr/>
              <w:t>_________</w:t>
            </w:r>
          </w:p>
          <w:p>
            <w:pPr>
              <w:pStyle w:val="Normal"/>
              <w:widowControl w:val="false"/>
              <w:spacing w:lineRule="auto" w:line="480" w:before="0" w:after="1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ДАТА</w:t>
            </w:r>
          </w:p>
        </w:tc>
        <w:tc>
          <w:tcPr>
            <w:tcW w:w="267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  <w:tr>
        <w:trPr>
          <w:trHeight w:val="824" w:hRule="atLeast"/>
        </w:trPr>
        <w:tc>
          <w:tcPr>
            <w:tcW w:w="4522" w:type="dxa"/>
            <w:tcBorders/>
          </w:tcPr>
          <w:p>
            <w:pPr>
              <w:pStyle w:val="Normal"/>
              <w:widowControl w:val="false"/>
              <w:spacing w:lineRule="auto" w:line="720" w:before="0" w:after="0"/>
              <w:rPr/>
            </w:pPr>
            <w:r>
              <w:rPr/>
              <w:t>УЧЕНЫЙ СЕКРЕТАРЬ ЛАБОРАТОРИИ</w:t>
            </w:r>
          </w:p>
        </w:tc>
        <w:tc>
          <w:tcPr>
            <w:tcW w:w="1571" w:type="dxa"/>
            <w:tcBorders/>
          </w:tcPr>
          <w:p>
            <w:pPr>
              <w:pStyle w:val="Normal"/>
              <w:widowControl w:val="false"/>
              <w:spacing w:before="0" w:after="0"/>
              <w:rPr/>
            </w:pPr>
            <w:r>
              <w:rPr>
                <w:lang w:val="en-US"/>
              </w:rPr>
              <w:t>_______</w:t>
            </w:r>
            <w:r>
              <w:rPr/>
              <w:t>____</w:t>
            </w:r>
          </w:p>
          <w:p>
            <w:pPr>
              <w:pStyle w:val="Normal"/>
              <w:widowControl w:val="false"/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</w:t>
            </w:r>
            <w:r>
              <w:rPr>
                <w:sz w:val="16"/>
                <w:szCs w:val="16"/>
              </w:rPr>
              <w:t>ФИО</w:t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 w:val="false"/>
              <w:spacing w:before="0" w:after="0"/>
              <w:jc w:val="center"/>
              <w:rPr/>
            </w:pPr>
            <w:r>
              <w:rPr/>
              <w:t>_________</w:t>
            </w:r>
          </w:p>
          <w:p>
            <w:pPr>
              <w:pStyle w:val="Normal"/>
              <w:widowControl w:val="false"/>
              <w:spacing w:lineRule="auto" w:line="480" w:before="0" w:after="1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ПОДПИСЬ</w:t>
            </w:r>
          </w:p>
        </w:tc>
        <w:tc>
          <w:tcPr>
            <w:tcW w:w="1330" w:type="dxa"/>
            <w:tcBorders/>
          </w:tcPr>
          <w:p>
            <w:pPr>
              <w:pStyle w:val="Normal"/>
              <w:widowControl w:val="false"/>
              <w:spacing w:before="0" w:after="0"/>
              <w:jc w:val="center"/>
              <w:rPr/>
            </w:pPr>
            <w:r>
              <w:rPr/>
              <w:t>_________</w:t>
            </w:r>
          </w:p>
          <w:p>
            <w:pPr>
              <w:pStyle w:val="Normal"/>
              <w:widowControl w:val="false"/>
              <w:spacing w:lineRule="auto" w:line="480" w:before="0" w:after="1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ДАТА</w:t>
            </w:r>
          </w:p>
        </w:tc>
        <w:tc>
          <w:tcPr>
            <w:tcW w:w="267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  <w:tr>
        <w:trPr/>
        <w:tc>
          <w:tcPr>
            <w:tcW w:w="4522" w:type="dxa"/>
            <w:tcBorders/>
          </w:tcPr>
          <w:p>
            <w:pPr>
              <w:pStyle w:val="Normal"/>
              <w:widowControl w:val="false"/>
              <w:spacing w:lineRule="atLeast" w:line="240" w:before="0" w:after="0"/>
              <w:rPr/>
            </w:pPr>
            <w:r>
              <w:rPr/>
              <w:t>РУКОВОДИТЕЛЬ ТЕМЫ / КИП</w:t>
            </w:r>
          </w:p>
        </w:tc>
        <w:tc>
          <w:tcPr>
            <w:tcW w:w="1571" w:type="dxa"/>
            <w:tcBorders/>
          </w:tcPr>
          <w:p>
            <w:pPr>
              <w:pStyle w:val="Normal"/>
              <w:widowControl w:val="false"/>
              <w:spacing w:lineRule="atLeast" w:line="240" w:before="0" w:after="0"/>
              <w:rPr/>
            </w:pPr>
            <w:r>
              <w:rPr>
                <w:lang w:val="en-US"/>
              </w:rPr>
              <w:t>______</w:t>
            </w:r>
            <w:r>
              <w:rPr/>
              <w:t>_____</w:t>
            </w:r>
          </w:p>
          <w:p>
            <w:pPr>
              <w:pStyle w:val="Normal"/>
              <w:widowControl w:val="false"/>
              <w:spacing w:lineRule="atLeast" w:line="240"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</w:t>
            </w:r>
            <w:r>
              <w:rPr>
                <w:sz w:val="16"/>
                <w:szCs w:val="16"/>
              </w:rPr>
              <w:t>ФИО</w:t>
            </w:r>
          </w:p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/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 w:val="false"/>
              <w:spacing w:before="0" w:after="0"/>
              <w:jc w:val="center"/>
              <w:rPr/>
            </w:pPr>
            <w:r>
              <w:rPr/>
              <w:t>_________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ПОДПИСЬ</w:t>
            </w:r>
          </w:p>
        </w:tc>
        <w:tc>
          <w:tcPr>
            <w:tcW w:w="1330" w:type="dxa"/>
            <w:tcBorders/>
          </w:tcPr>
          <w:p>
            <w:pPr>
              <w:pStyle w:val="Normal"/>
              <w:widowControl w:val="false"/>
              <w:spacing w:before="0" w:after="0"/>
              <w:jc w:val="center"/>
              <w:rPr/>
            </w:pPr>
            <w:r>
              <w:rPr/>
              <w:t>_________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ДАТА</w:t>
            </w:r>
          </w:p>
        </w:tc>
        <w:tc>
          <w:tcPr>
            <w:tcW w:w="267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  <w:tr>
        <w:trPr/>
        <w:tc>
          <w:tcPr>
            <w:tcW w:w="4522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  <w:t>РУКОВОДИТЕЛЬ ПРОЕКТА / ПОДПРОЕКТА КИП</w:t>
            </w:r>
          </w:p>
        </w:tc>
        <w:tc>
          <w:tcPr>
            <w:tcW w:w="1571" w:type="dxa"/>
            <w:tcBorders/>
          </w:tcPr>
          <w:p>
            <w:pPr>
              <w:pStyle w:val="Normal"/>
              <w:widowControl w:val="false"/>
              <w:spacing w:before="0" w:after="0"/>
              <w:rPr/>
            </w:pPr>
            <w:r>
              <w:rPr>
                <w:lang w:val="en-US"/>
              </w:rPr>
              <w:t>_______</w:t>
            </w:r>
            <w:r>
              <w:rPr/>
              <w:t>____</w:t>
            </w:r>
          </w:p>
          <w:p>
            <w:pPr>
              <w:pStyle w:val="Normal"/>
              <w:widowControl w:val="false"/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</w:t>
            </w:r>
            <w:r>
              <w:rPr>
                <w:sz w:val="16"/>
                <w:szCs w:val="16"/>
              </w:rPr>
              <w:t>ФИО</w:t>
            </w:r>
          </w:p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/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 w:val="false"/>
              <w:spacing w:before="0" w:after="0"/>
              <w:jc w:val="center"/>
              <w:rPr/>
            </w:pPr>
            <w:r>
              <w:rPr/>
              <w:t>_________</w:t>
            </w:r>
          </w:p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>
                <w:sz w:val="16"/>
                <w:szCs w:val="16"/>
              </w:rPr>
              <w:t>ПОДПИСЬ</w:t>
            </w:r>
          </w:p>
        </w:tc>
        <w:tc>
          <w:tcPr>
            <w:tcW w:w="1330" w:type="dxa"/>
            <w:tcBorders/>
          </w:tcPr>
          <w:p>
            <w:pPr>
              <w:pStyle w:val="Normal"/>
              <w:widowControl w:val="false"/>
              <w:spacing w:before="0" w:after="0"/>
              <w:jc w:val="center"/>
              <w:rPr/>
            </w:pPr>
            <w:r>
              <w:rPr/>
              <w:t>_________</w:t>
            </w:r>
          </w:p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>
                <w:sz w:val="16"/>
                <w:szCs w:val="16"/>
              </w:rPr>
              <w:t>ДАТА</w:t>
            </w:r>
          </w:p>
        </w:tc>
        <w:tc>
          <w:tcPr>
            <w:tcW w:w="267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  <w:tr>
        <w:trPr/>
        <w:tc>
          <w:tcPr>
            <w:tcW w:w="452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spacing w:before="0" w:after="160"/>
              <w:rPr/>
            </w:pPr>
            <w:r>
              <w:rPr/>
              <w:t>ОДОБРЕН ПКК ПО НАПРАВЛЕНИЮ</w:t>
            </w:r>
          </w:p>
        </w:tc>
        <w:tc>
          <w:tcPr>
            <w:tcW w:w="1571" w:type="dxa"/>
            <w:tcBorders/>
          </w:tcPr>
          <w:p>
            <w:pPr>
              <w:pStyle w:val="Normal"/>
              <w:widowControl w:val="false"/>
              <w:spacing w:before="0" w:after="0"/>
              <w:rPr>
                <w:lang w:val="en-US"/>
              </w:rPr>
            </w:pPr>
            <w:r>
              <w:rPr>
                <w:lang w:val="en-US"/>
              </w:rPr>
            </w:r>
          </w:p>
          <w:p>
            <w:pPr>
              <w:pStyle w:val="Normal"/>
              <w:widowControl w:val="false"/>
              <w:spacing w:before="0" w:after="0"/>
              <w:rPr/>
            </w:pPr>
            <w:r>
              <w:rPr>
                <w:lang w:val="en-US"/>
              </w:rPr>
              <w:t>______</w:t>
            </w:r>
            <w:r>
              <w:rPr/>
              <w:t>_____</w:t>
            </w:r>
          </w:p>
          <w:p>
            <w:pPr>
              <w:pStyle w:val="Normal"/>
              <w:widowControl w:val="false"/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</w:t>
            </w:r>
            <w:r>
              <w:rPr>
                <w:sz w:val="16"/>
                <w:szCs w:val="16"/>
              </w:rPr>
              <w:t>ФИО</w:t>
            </w:r>
          </w:p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/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 w:val="false"/>
              <w:spacing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spacing w:before="0" w:after="0"/>
              <w:jc w:val="center"/>
              <w:rPr/>
            </w:pPr>
            <w:r>
              <w:rPr/>
              <w:t>_________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ПОДПИСЬ</w:t>
            </w:r>
          </w:p>
        </w:tc>
        <w:tc>
          <w:tcPr>
            <w:tcW w:w="1597" w:type="dxa"/>
            <w:gridSpan w:val="2"/>
            <w:tcBorders/>
          </w:tcPr>
          <w:p>
            <w:pPr>
              <w:pStyle w:val="Normal"/>
              <w:widowControl w:val="false"/>
              <w:spacing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spacing w:before="0" w:after="0"/>
              <w:jc w:val="center"/>
              <w:rPr/>
            </w:pPr>
            <w:r>
              <w:rPr/>
              <w:t>_________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ДАТА</w:t>
            </w:r>
          </w:p>
        </w:tc>
      </w:tr>
    </w:tbl>
    <w:p>
      <w:pPr>
        <w:pStyle w:val="Normal"/>
        <w:spacing w:before="0" w:after="160"/>
        <w:rPr/>
      </w:pPr>
      <w:r>
        <w:rPr/>
      </w:r>
    </w:p>
    <w:sectPr>
      <w:type w:val="nextPage"/>
      <w:pgSz w:w="11906" w:h="16838"/>
      <w:pgMar w:left="1701" w:right="850" w:gutter="0" w:header="0" w:top="568" w:footer="0" w:bottom="142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Segoe UI"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Liberation Mono">
    <w:altName w:val="Courier New"/>
    <w:charset w:val="01"/>
    <w:family w:val="roman"/>
    <w:pitch w:val="variable"/>
  </w:font>
  <w:font w:name="times new roman">
    <w:altName w:val="times"/>
    <w:charset w:val="01"/>
    <w:family w:val="roman"/>
    <w:pitch w:val="variable"/>
  </w:font>
  <w:font w:name="Symbol">
    <w:charset w:val="02"/>
    <w:family w:val="auto"/>
    <w:pitch w:val="default"/>
  </w:font>
  <w:font w:name="Courier New">
    <w:charset w:val="01"/>
    <w:family w:val="modern"/>
    <w:pitch w:val="fixed"/>
  </w:font>
  <w:font w:name="Wingdings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8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7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4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89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26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198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70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42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14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486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58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300" w:hanging="180"/>
      </w:pPr>
      <w:rPr/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41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Calibri" w:cs="Times New Roman" w:eastAsiaTheme="minorHAnsi"/>
        <w:sz w:val="24"/>
        <w:szCs w:val="24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45b95"/>
    <w:pPr>
      <w:widowControl/>
      <w:suppressAutoHyphens w:val="true"/>
      <w:bidi w:val="0"/>
      <w:spacing w:lineRule="auto" w:line="259" w:before="0" w:after="160"/>
      <w:jc w:val="left"/>
    </w:pPr>
    <w:rPr>
      <w:rFonts w:ascii="Times New Roman" w:hAnsi="Times New Roman" w:eastAsia="Calibri" w:cs="Times New Roman" w:eastAsiaTheme="minorHAnsi"/>
      <w:color w:val="auto"/>
      <w:kern w:val="0"/>
      <w:sz w:val="24"/>
      <w:szCs w:val="24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Bullets" w:customStyle="1">
    <w:name w:val="Bullets"/>
    <w:qFormat/>
    <w:rsid w:val="00064c91"/>
    <w:rPr>
      <w:rFonts w:ascii="OpenSymbol" w:hAnsi="OpenSymbol" w:eastAsia="OpenSymbol" w:cs="OpenSymbol"/>
    </w:rPr>
  </w:style>
  <w:style w:type="character" w:styleId="Style14" w:customStyle="1">
    <w:name w:val="Символ нумерации"/>
    <w:qFormat/>
    <w:rsid w:val="00ca76e5"/>
    <w:rPr/>
  </w:style>
  <w:style w:type="character" w:styleId="Style15" w:customStyle="1">
    <w:name w:val="Текст выноски Знак"/>
    <w:basedOn w:val="DefaultParagraphFont"/>
    <w:link w:val="BalloonText"/>
    <w:uiPriority w:val="99"/>
    <w:semiHidden/>
    <w:qFormat/>
    <w:rsid w:val="00ab7ac3"/>
    <w:rPr>
      <w:rFonts w:ascii="Segoe UI" w:hAnsi="Segoe UI" w:cs="Segoe UI"/>
      <w:sz w:val="18"/>
      <w:szCs w:val="18"/>
    </w:rPr>
  </w:style>
  <w:style w:type="character" w:styleId="-">
    <w:name w:val="Hyperlink"/>
    <w:basedOn w:val="DefaultParagraphFont"/>
    <w:uiPriority w:val="99"/>
    <w:unhideWhenUsed/>
    <w:rsid w:val="00f3092e"/>
    <w:rPr>
      <w:color w:val="0563C1" w:themeColor="hyperlink"/>
      <w:u w:val="single"/>
    </w:rPr>
  </w:style>
  <w:style w:type="character" w:styleId="Style16" w:customStyle="1">
    <w:name w:val="Абзац списка Знак"/>
    <w:link w:val="ListParagraph"/>
    <w:qFormat/>
    <w:locked/>
    <w:rsid w:val="00f3092e"/>
    <w:rPr>
      <w:rFonts w:eastAsia="Calibri"/>
    </w:rPr>
  </w:style>
  <w:style w:type="character" w:styleId="Style17" w:customStyle="1">
    <w:name w:val="Название объекта Знак"/>
    <w:link w:val="Caption"/>
    <w:uiPriority w:val="35"/>
    <w:qFormat/>
    <w:locked/>
    <w:rsid w:val="00f3092e"/>
    <w:rPr>
      <w:rFonts w:ascii="Calibri" w:hAnsi="Calibri"/>
      <w:i/>
      <w:iCs/>
    </w:rPr>
  </w:style>
  <w:style w:type="character" w:styleId="Style18" w:customStyle="1">
    <w:name w:val="Основной текст_"/>
    <w:basedOn w:val="DefaultParagraphFont"/>
    <w:link w:val="17"/>
    <w:qFormat/>
    <w:rsid w:val="00f3092e"/>
    <w:rPr>
      <w:rFonts w:eastAsia="Times New Roman"/>
      <w:sz w:val="22"/>
      <w:szCs w:val="22"/>
      <w:shd w:fill="FFFFFF" w:val="clear"/>
    </w:rPr>
  </w:style>
  <w:style w:type="character" w:styleId="Strong">
    <w:name w:val="Strong"/>
    <w:qFormat/>
    <w:rsid w:val="00b75382"/>
    <w:rPr>
      <w:b/>
      <w:bCs/>
    </w:rPr>
  </w:style>
  <w:style w:type="paragraph" w:styleId="Style19" w:customStyle="1">
    <w:name w:val="Заголовок"/>
    <w:basedOn w:val="Normal"/>
    <w:next w:val="Style20"/>
    <w:qFormat/>
    <w:rsid w:val="00064c91"/>
    <w:pPr>
      <w:keepNext w:val="true"/>
      <w:spacing w:before="240" w:after="120"/>
    </w:pPr>
    <w:rPr>
      <w:rFonts w:ascii="Liberation Sans" w:hAnsi="Liberation Sans" w:eastAsia="Roboto" w:cs="Roboto"/>
      <w:sz w:val="28"/>
      <w:szCs w:val="28"/>
    </w:rPr>
  </w:style>
  <w:style w:type="paragraph" w:styleId="Style20">
    <w:name w:val="Body Text"/>
    <w:basedOn w:val="Normal"/>
    <w:rsid w:val="00064c91"/>
    <w:pPr>
      <w:spacing w:lineRule="auto" w:line="276" w:before="0" w:after="140"/>
    </w:pPr>
    <w:rPr/>
  </w:style>
  <w:style w:type="paragraph" w:styleId="Style21">
    <w:name w:val="List"/>
    <w:basedOn w:val="Style20"/>
    <w:rsid w:val="00064c91"/>
    <w:pPr/>
    <w:rPr>
      <w:rFonts w:ascii="Calibri" w:hAnsi="Calibri"/>
    </w:rPr>
  </w:style>
  <w:style w:type="paragraph" w:styleId="Style22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3" w:customStyle="1">
    <w:name w:val="Указатель"/>
    <w:basedOn w:val="Normal"/>
    <w:qFormat/>
    <w:rsid w:val="00064c91"/>
    <w:pPr>
      <w:suppressLineNumbers/>
    </w:pPr>
    <w:rPr>
      <w:rFonts w:ascii="Calibri" w:hAnsi="Calibri"/>
    </w:rPr>
  </w:style>
  <w:style w:type="paragraph" w:styleId="Caption">
    <w:name w:val="caption"/>
    <w:basedOn w:val="Normal"/>
    <w:link w:val="Style17"/>
    <w:qFormat/>
    <w:rsid w:val="00064c91"/>
    <w:pPr>
      <w:suppressLineNumbers/>
      <w:spacing w:before="120" w:after="120"/>
    </w:pPr>
    <w:rPr>
      <w:rFonts w:ascii="Calibri" w:hAnsi="Calibri"/>
      <w:i/>
      <w:iCs/>
    </w:rPr>
  </w:style>
  <w:style w:type="paragraph" w:styleId="ListParagraph">
    <w:name w:val="List Paragraph"/>
    <w:basedOn w:val="Normal"/>
    <w:link w:val="Style16"/>
    <w:qFormat/>
    <w:rsid w:val="00064c91"/>
    <w:pPr>
      <w:suppressAutoHyphens w:val="false"/>
      <w:spacing w:lineRule="auto" w:line="252" w:before="0" w:after="160"/>
      <w:ind w:left="720" w:hanging="0"/>
      <w:contextualSpacing/>
    </w:pPr>
    <w:rPr>
      <w:rFonts w:eastAsia="Calibri"/>
    </w:rPr>
  </w:style>
  <w:style w:type="paragraph" w:styleId="Style24" w:customStyle="1">
    <w:name w:val="Содержимое таблицы"/>
    <w:basedOn w:val="Normal"/>
    <w:qFormat/>
    <w:rsid w:val="00025b98"/>
    <w:pPr>
      <w:widowControl w:val="false"/>
      <w:suppressLineNumbers/>
      <w:spacing w:lineRule="auto" w:line="240" w:before="0" w:after="0"/>
    </w:pPr>
    <w:rPr>
      <w:rFonts w:ascii="Liberation Serif" w:hAnsi="Liberation Serif" w:eastAsia="Noto Serif CJK SC" w:cs="Noto Sans Devanagari"/>
      <w:kern w:val="2"/>
      <w:lang w:eastAsia="zh-CN" w:bidi="hi-IN"/>
    </w:rPr>
  </w:style>
  <w:style w:type="paragraph" w:styleId="Style25" w:customStyle="1">
    <w:name w:val="Заголовок таблицы"/>
    <w:basedOn w:val="Style24"/>
    <w:qFormat/>
    <w:rsid w:val="00ca76e5"/>
    <w:pPr>
      <w:spacing w:lineRule="auto" w:line="259" w:before="0" w:after="160"/>
      <w:jc w:val="center"/>
    </w:pPr>
    <w:rPr>
      <w:rFonts w:ascii="Times New Roman" w:hAnsi="Times New Roman" w:eastAsia="Calibri" w:cs="Times New Roman" w:eastAsiaTheme="minorHAnsi"/>
      <w:b/>
      <w:bCs/>
      <w:kern w:val="0"/>
      <w:lang w:eastAsia="en-US" w:bidi="ar-SA"/>
    </w:rPr>
  </w:style>
  <w:style w:type="paragraph" w:styleId="BalloonText">
    <w:name w:val="Balloon Text"/>
    <w:basedOn w:val="Normal"/>
    <w:link w:val="Style15"/>
    <w:uiPriority w:val="99"/>
    <w:semiHidden/>
    <w:unhideWhenUsed/>
    <w:qFormat/>
    <w:rsid w:val="00ab7ac3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qFormat/>
    <w:rsid w:val="009150d7"/>
    <w:pPr/>
    <w:rPr/>
  </w:style>
  <w:style w:type="paragraph" w:styleId="17" w:customStyle="1">
    <w:name w:val="Основной текст17"/>
    <w:basedOn w:val="Normal"/>
    <w:link w:val="Style18"/>
    <w:qFormat/>
    <w:rsid w:val="00f3092e"/>
    <w:pPr>
      <w:widowControl w:val="false"/>
      <w:shd w:val="clear" w:color="auto" w:fill="FFFFFF"/>
      <w:suppressAutoHyphens w:val="false"/>
      <w:spacing w:lineRule="exact" w:line="293" w:before="180" w:after="180"/>
      <w:ind w:hanging="1980"/>
      <w:jc w:val="both"/>
    </w:pPr>
    <w:rPr>
      <w:rFonts w:eastAsia="Times New Roman"/>
      <w:sz w:val="22"/>
      <w:szCs w:val="22"/>
    </w:rPr>
  </w:style>
  <w:style w:type="paragraph" w:styleId="Default" w:customStyle="1">
    <w:name w:val="Default"/>
    <w:qFormat/>
    <w:rsid w:val="00f942c9"/>
    <w:pPr>
      <w:widowControl/>
      <w:suppressAutoHyphens w:val="false"/>
      <w:bidi w:val="0"/>
      <w:spacing w:before="0" w:after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ru-RU" w:eastAsia="en-US" w:bidi="ar-SA"/>
    </w:rPr>
  </w:style>
  <w:style w:type="paragraph" w:styleId="1" w:customStyle="1">
    <w:name w:val="Заголовок1"/>
    <w:basedOn w:val="Normal"/>
    <w:next w:val="Style20"/>
    <w:qFormat/>
    <w:rsid w:val="00ca76e5"/>
    <w:pPr>
      <w:keepNext w:val="true"/>
      <w:spacing w:before="240" w:after="120"/>
    </w:pPr>
    <w:rPr>
      <w:rFonts w:ascii="Liberation Sans" w:hAnsi="Liberation Sans" w:eastAsia="Roboto" w:cs="Roboto"/>
      <w:sz w:val="28"/>
      <w:szCs w:val="28"/>
    </w:rPr>
  </w:style>
  <w:style w:type="paragraph" w:styleId="11" w:customStyle="1">
    <w:name w:val="Указатель1"/>
    <w:basedOn w:val="Normal"/>
    <w:qFormat/>
    <w:rsid w:val="00ca76e5"/>
    <w:pPr>
      <w:suppressLineNumbers/>
    </w:pPr>
    <w:rPr>
      <w:rFonts w:ascii="Calibri" w:hAnsi="Calibri"/>
    </w:rPr>
  </w:style>
  <w:style w:type="paragraph" w:styleId="Style26" w:customStyle="1">
    <w:name w:val="Текст в заданном формате"/>
    <w:basedOn w:val="Normal"/>
    <w:qFormat/>
    <w:rsid w:val="00b75382"/>
    <w:pPr>
      <w:spacing w:before="0" w:after="0"/>
    </w:pPr>
    <w:rPr>
      <w:rFonts w:ascii="Liberation Mono" w:hAnsi="Liberation Mono" w:eastAsia="Liberation Mono" w:cs="Liberation Mono"/>
      <w:sz w:val="20"/>
      <w:szCs w:val="20"/>
    </w:rPr>
  </w:style>
  <w:style w:type="paragraph" w:styleId="Style27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uiPriority w:val="39"/>
    <w:rsid w:val="00ab1e88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1.png"/><Relationship Id="rId4" Type="http://schemas.openxmlformats.org/officeDocument/2006/relationships/hyperlink" Target="http://mpd.jinr.ru/doc/mpd-tdr" TargetMode="External"/><Relationship Id="rId5" Type="http://schemas.openxmlformats.org/officeDocument/2006/relationships/image" Target="media/image2.wmf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<Relationship Id="rId10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270FEA-26E0-416E-8029-1F4456F56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Application>LibreOffice/7.5.9.2$Linux_X86_64 LibreOffice_project/50$Build-2</Application>
  <AppVersion>15.0000</AppVersion>
  <Pages>20</Pages>
  <Words>3649</Words>
  <Characters>24333</Characters>
  <CharactersWithSpaces>27361</CharactersWithSpaces>
  <Paragraphs>1191</Paragraphs>
  <Company>Reanimator Extreme Edition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2024-11-25T07:06:00Z</dcterms:created>
  <dc:creator>Sila Marin</dc:creator>
  <dc:description/>
  <dc:language>en-US</dc:language>
  <cp:lastModifiedBy/>
  <cp:lastPrinted>2024-11-22T13:41:00Z</cp:lastPrinted>
  <dcterms:modified xsi:type="dcterms:W3CDTF">2024-11-25T11:59:50Z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