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fontTable.xml" ContentType="application/vnd.openxmlformats-officedocument.wordprocessingml.fontTable+xml"/>
  <Override PartName="/word/footer2.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8.jpeg" ContentType="image/jpeg"/>
  <Override PartName="/word/media/image1.png" ContentType="image/png"/>
  <Override PartName="/word/media/image2.jpeg" ContentType="image/jpeg"/>
  <Override PartName="/word/media/image3.png" ContentType="image/png"/>
  <Override PartName="/word/media/image5.png" ContentType="image/png"/>
  <Override PartName="/word/media/image9.jpeg" ContentType="image/jpeg"/>
  <Override PartName="/word/media/image10.png" ContentType="image/png"/>
  <Override PartName="/word/media/image4.jpeg" ContentType="image/jpeg"/>
  <Override PartName="/word/media/image6.png" ContentType="image/png"/>
  <Override PartName="/word/media/image7.jpeg" ContentType="image/jpe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WWPlainText"/>
        <w:jc w:val="right"/>
        <w:rPr>
          <w:b/>
          <w:b/>
          <w:lang w:val="en-US"/>
        </w:rPr>
      </w:pPr>
      <w:r>
        <w:rPr/>
      </w:r>
    </w:p>
    <w:p>
      <w:pPr>
        <w:pStyle w:val="13"/>
        <w:rPr>
          <w:rFonts w:eastAsia="MS Mincho"/>
          <w:b/>
          <w:b/>
          <w:lang w:val="en-US"/>
        </w:rPr>
      </w:pPr>
      <w:r>
        <w:rPr>
          <w:rFonts w:eastAsia="MS Mincho"/>
          <w:b/>
          <w:lang w:val="en-US"/>
        </w:rPr>
      </w:r>
    </w:p>
    <w:p>
      <w:pPr>
        <w:pStyle w:val="WWPlainText"/>
        <w:spacing w:before="0" w:after="360"/>
        <w:jc w:val="center"/>
        <w:rPr>
          <w:b/>
          <w:b/>
          <w:lang w:val="en-US"/>
        </w:rPr>
      </w:pPr>
      <w:r>
        <w:rPr>
          <w:b/>
          <w:sz w:val="28"/>
          <w:lang w:val="en-US"/>
        </w:rPr>
        <w:t xml:space="preserve">Measurement of the Rare Decay </w:t>
      </w:r>
      <w:r>
        <w:rPr>
          <w:b/>
          <w:spacing w:val="1"/>
          <w:w w:val="120"/>
          <w:sz w:val="28"/>
          <w:lang w:val="en-US"/>
        </w:rPr>
        <w:t>K</w:t>
      </w:r>
      <w:r>
        <w:rPr>
          <w:b/>
          <w:spacing w:val="1"/>
          <w:w w:val="120"/>
          <w:sz w:val="28"/>
          <w:vertAlign w:val="superscript"/>
          <w:lang w:val="en-US"/>
        </w:rPr>
        <w:t>+</w:t>
      </w:r>
      <w:r>
        <w:rPr>
          <w:b/>
          <w:spacing w:val="1"/>
          <w:w w:val="120"/>
          <w:sz w:val="28"/>
          <w:lang w:val="en-US"/>
        </w:rPr>
        <w:t xml:space="preserve"> </w:t>
      </w:r>
      <w:r>
        <w:rPr>
          <w:rFonts w:cs="Symbol" w:ascii="Symbol" w:hAnsi="Symbol"/>
          <w:b/>
          <w:spacing w:val="1"/>
          <w:w w:val="120"/>
          <w:sz w:val="28"/>
          <w:lang w:val="en-US"/>
        </w:rPr>
        <w:t></w:t>
      </w:r>
      <w:r>
        <w:rPr>
          <w:b/>
          <w:spacing w:val="1"/>
          <w:w w:val="120"/>
          <w:sz w:val="28"/>
          <w:vertAlign w:val="superscript"/>
          <w:lang w:val="en-US"/>
        </w:rPr>
        <w:t>+</w:t>
      </w:r>
      <w:r>
        <w:rPr>
          <w:rFonts w:cs="Symbol" w:ascii="Symbol" w:hAnsi="Symbol"/>
          <w:b/>
          <w:spacing w:val="1"/>
          <w:w w:val="120"/>
          <w:sz w:val="28"/>
          <w:lang w:val="en-US"/>
        </w:rPr>
        <w:t></w:t>
      </w:r>
      <w:r>
        <w:rPr>
          <w:rFonts w:cs="Symbol" w:ascii="Symbol" w:hAnsi="Symbol"/>
          <w:b/>
          <w:spacing w:val="2"/>
          <w:w w:val="120"/>
          <w:sz w:val="28"/>
          <w:lang w:val="en-US"/>
        </w:rPr>
        <w:t></w:t>
      </w:r>
      <w:r>
        <w:rPr>
          <w:rFonts w:cs="Symbol" w:ascii="Symbol" w:hAnsi="Symbol"/>
          <w:b/>
          <w:spacing w:val="1"/>
          <w:w w:val="120"/>
          <w:sz w:val="28"/>
          <w:lang w:val="en-US"/>
        </w:rPr>
        <w:t></w:t>
      </w:r>
      <w:r>
        <w:rPr>
          <w:b/>
          <w:sz w:val="28"/>
          <w:lang w:val="en-US"/>
        </w:rPr>
        <w:t>at the CERN SPS</w:t>
      </w:r>
    </w:p>
    <w:p>
      <w:pPr>
        <w:pStyle w:val="WWPlainText"/>
        <w:jc w:val="center"/>
        <w:rPr>
          <w:rFonts w:eastAsia="Verdana"/>
          <w:bCs/>
          <w:i/>
          <w:i/>
          <w:color w:val="000000"/>
          <w:lang w:val="en-US"/>
        </w:rPr>
      </w:pPr>
      <w:r>
        <w:rPr>
          <w:b/>
          <w:lang w:val="en-US"/>
        </w:rPr>
        <w:t>NA62 Project (</w:t>
      </w:r>
      <w:r>
        <w:rPr>
          <w:rFonts w:eastAsia="Verdana"/>
          <w:bCs/>
          <w:color w:val="000000"/>
          <w:lang w:val="en-US"/>
        </w:rPr>
        <w:t>Collaboration</w:t>
      </w:r>
      <w:r>
        <w:rPr>
          <w:rFonts w:eastAsia="Verdana"/>
          <w:b/>
          <w:bCs/>
          <w:color w:val="000000"/>
          <w:lang w:val="en-US"/>
        </w:rPr>
        <w:t xml:space="preserve"> NA62)</w:t>
      </w:r>
    </w:p>
    <w:p>
      <w:pPr>
        <w:pStyle w:val="WWPlainText"/>
        <w:jc w:val="center"/>
        <w:rPr>
          <w:rFonts w:eastAsia="Verdana"/>
          <w:bCs/>
          <w:i/>
          <w:i/>
          <w:color w:val="000000"/>
          <w:lang w:val="en-US"/>
        </w:rPr>
      </w:pPr>
      <w:r>
        <w:rPr>
          <w:rFonts w:eastAsia="Verdana"/>
          <w:bCs/>
          <w:i/>
          <w:color w:val="000000"/>
          <w:lang w:val="en-US"/>
        </w:rPr>
        <w:t xml:space="preserve">Prologation for 2019-2021 </w:t>
      </w:r>
    </w:p>
    <w:p>
      <w:pPr>
        <w:pStyle w:val="TextBody"/>
        <w:rPr>
          <w:rFonts w:eastAsia="Verdana"/>
          <w:bCs/>
          <w:i/>
          <w:i/>
          <w:color w:val="000000"/>
          <w:lang w:val="en-US"/>
        </w:rPr>
      </w:pPr>
      <w:r>
        <w:rPr>
          <w:rFonts w:eastAsia="Verdana"/>
          <w:bCs/>
          <w:i/>
          <w:color w:val="000000"/>
          <w:lang w:val="en-US"/>
        </w:rPr>
      </w:r>
    </w:p>
    <w:p>
      <w:pPr>
        <w:pStyle w:val="Normal"/>
        <w:spacing w:before="0" w:after="120"/>
        <w:jc w:val="both"/>
        <w:rPr>
          <w:b/>
          <w:b/>
          <w:color w:val="CC0000"/>
          <w:lang w:val="en-US"/>
        </w:rPr>
      </w:pPr>
      <w:r>
        <w:rPr>
          <w:b/>
          <w:lang w:val="en-US"/>
        </w:rPr>
        <w:t>List of organizations and participants</w:t>
      </w:r>
    </w:p>
    <w:p>
      <w:pPr>
        <w:pStyle w:val="TextBody"/>
        <w:rPr>
          <w:b/>
          <w:b/>
          <w:color w:val="CC0000"/>
          <w:lang w:val="en-US"/>
        </w:rPr>
      </w:pPr>
      <w:r>
        <w:rPr>
          <w:b/>
          <w:color w:val="CC0000"/>
          <w:lang w:val="en-US"/>
        </w:rPr>
        <w:t xml:space="preserve">Belgium: </w:t>
      </w:r>
      <w:r>
        <w:rPr>
          <w:lang w:val="en-US"/>
        </w:rPr>
        <w:t>Université Catholique de Louvain (</w:t>
      </w:r>
      <w:r>
        <w:rPr>
          <w:b/>
          <w:color w:val="CC0000"/>
          <w:lang w:val="en-US"/>
        </w:rPr>
        <w:t>Louvain-La-Neuve</w:t>
      </w:r>
      <w:r>
        <w:rPr>
          <w:b/>
          <w:lang w:val="en-US"/>
        </w:rPr>
        <w:t xml:space="preserve">); </w:t>
      </w:r>
    </w:p>
    <w:p>
      <w:pPr>
        <w:pStyle w:val="TextBody"/>
        <w:rPr>
          <w:b/>
          <w:b/>
          <w:color w:val="DA0807"/>
          <w:lang w:val="en-US"/>
        </w:rPr>
      </w:pPr>
      <w:r>
        <w:rPr>
          <w:b/>
          <w:color w:val="CC0000"/>
          <w:lang w:val="en-US"/>
        </w:rPr>
        <w:t>Bulgaria:</w:t>
      </w:r>
      <w:r>
        <w:rPr>
          <w:b/>
          <w:lang w:val="en-US"/>
        </w:rPr>
        <w:t xml:space="preserve"> </w:t>
      </w:r>
      <w:r>
        <w:rPr>
          <w:lang w:val="en-US"/>
        </w:rPr>
        <w:t>University of Sofia St. Kliment Ohridski,</w:t>
      </w:r>
      <w:r>
        <w:rPr>
          <w:b/>
          <w:color w:val="333399"/>
          <w:lang w:val="en-US"/>
        </w:rPr>
        <w:t xml:space="preserve"> </w:t>
      </w:r>
      <w:r>
        <w:rPr>
          <w:lang w:val="en-US"/>
        </w:rPr>
        <w:t>Faculty of Physics</w:t>
      </w:r>
      <w:bookmarkStart w:id="0" w:name="006244"/>
      <w:bookmarkEnd w:id="0"/>
      <w:r>
        <w:rPr>
          <w:lang w:val="en-US"/>
        </w:rPr>
        <w:t xml:space="preserve"> </w:t>
      </w:r>
      <w:r>
        <w:rPr>
          <w:b/>
          <w:lang w:val="en-US"/>
        </w:rPr>
        <w:t>(</w:t>
      </w:r>
      <w:r>
        <w:rPr>
          <w:b/>
          <w:color w:val="CC0000"/>
          <w:lang w:val="en-US"/>
        </w:rPr>
        <w:t>Sofia</w:t>
      </w:r>
      <w:r>
        <w:rPr>
          <w:b/>
          <w:lang w:val="en-US"/>
        </w:rPr>
        <w:t xml:space="preserve">); </w:t>
      </w:r>
    </w:p>
    <w:p>
      <w:pPr>
        <w:pStyle w:val="TextBody"/>
        <w:rPr>
          <w:b/>
          <w:b/>
          <w:color w:val="CC0000"/>
          <w:lang w:val="en-US"/>
        </w:rPr>
      </w:pPr>
      <w:r>
        <w:rPr>
          <w:b/>
          <w:color w:val="DA0807"/>
          <w:lang w:val="en-US"/>
        </w:rPr>
        <w:t>Canada</w:t>
      </w:r>
      <w:r>
        <w:rPr>
          <w:b/>
          <w:lang w:val="en-US"/>
        </w:rPr>
        <w:t xml:space="preserve">: </w:t>
      </w:r>
      <w:r>
        <w:rPr>
          <w:lang w:val="en-US"/>
        </w:rPr>
        <w:t>TRIUMF, University of British Columbia</w:t>
      </w:r>
      <w:r>
        <w:rPr>
          <w:b/>
          <w:lang w:val="en-US"/>
        </w:rPr>
        <w:t xml:space="preserve"> (</w:t>
      </w:r>
      <w:r>
        <w:rPr>
          <w:b/>
          <w:color w:val="DA0807"/>
          <w:lang w:val="en-US"/>
        </w:rPr>
        <w:t>Vancouver</w:t>
      </w:r>
      <w:r>
        <w:rPr>
          <w:b/>
          <w:lang w:val="en-US"/>
        </w:rPr>
        <w:t>);</w:t>
      </w:r>
    </w:p>
    <w:p>
      <w:pPr>
        <w:pStyle w:val="TextBody"/>
        <w:rPr>
          <w:b/>
          <w:b/>
          <w:color w:val="CC0000"/>
          <w:lang w:val="en-US"/>
        </w:rPr>
      </w:pPr>
      <w:r>
        <w:rPr>
          <w:b/>
          <w:color w:val="CC0000"/>
          <w:lang w:val="en-US"/>
        </w:rPr>
        <w:t>Czech Republic</w:t>
      </w:r>
      <w:r>
        <w:rPr>
          <w:b/>
          <w:lang w:val="en-US"/>
        </w:rPr>
        <w:t xml:space="preserve">: </w:t>
      </w:r>
      <w:r>
        <w:rPr>
          <w:lang w:val="en-US"/>
        </w:rPr>
        <w:t>Charles University (</w:t>
      </w:r>
      <w:r>
        <w:rPr>
          <w:b/>
          <w:color w:val="CC0000"/>
          <w:lang w:val="en-US"/>
        </w:rPr>
        <w:t>Prague</w:t>
      </w:r>
      <w:r>
        <w:rPr>
          <w:b/>
          <w:lang w:val="en-US"/>
        </w:rPr>
        <w:t xml:space="preserve">); </w:t>
      </w:r>
    </w:p>
    <w:p>
      <w:pPr>
        <w:pStyle w:val="TextBody"/>
        <w:rPr>
          <w:b/>
          <w:b/>
          <w:color w:val="CC0000"/>
          <w:lang w:val="en-US"/>
        </w:rPr>
      </w:pPr>
      <w:r>
        <w:rPr>
          <w:b/>
          <w:color w:val="CC0000"/>
          <w:lang w:val="en-US"/>
        </w:rPr>
        <w:t>Germany:</w:t>
      </w:r>
      <w:r>
        <w:rPr>
          <w:b/>
          <w:lang w:val="en-US"/>
        </w:rPr>
        <w:t xml:space="preserve"> </w:t>
      </w:r>
      <w:r>
        <w:rPr>
          <w:lang w:val="en-US"/>
        </w:rPr>
        <w:t>Johannes-Gutenberg-Universitat Mainz (</w:t>
      </w:r>
      <w:r>
        <w:rPr>
          <w:b/>
          <w:color w:val="CC0000"/>
          <w:lang w:val="en-US"/>
        </w:rPr>
        <w:t>Mainz</w:t>
      </w:r>
      <w:r>
        <w:rPr>
          <w:b/>
          <w:lang w:val="en-US"/>
        </w:rPr>
        <w:t xml:space="preserve">); </w:t>
      </w:r>
    </w:p>
    <w:p>
      <w:pPr>
        <w:pStyle w:val="TextBody"/>
        <w:ind w:left="709" w:hanging="709"/>
        <w:rPr>
          <w:b/>
          <w:b/>
          <w:color w:val="CC0000"/>
          <w:lang w:val="en-US"/>
        </w:rPr>
      </w:pPr>
      <w:r>
        <w:rPr>
          <w:b/>
          <w:color w:val="CC0000"/>
          <w:lang w:val="en-US"/>
        </w:rPr>
        <w:t xml:space="preserve">Italy: </w:t>
      </w:r>
      <w:r>
        <w:rPr>
          <w:lang w:val="en-US"/>
        </w:rPr>
        <w:t>Università di Ferrara (</w:t>
      </w:r>
      <w:r>
        <w:rPr>
          <w:b/>
          <w:color w:val="CC0000"/>
          <w:lang w:val="en-US"/>
        </w:rPr>
        <w:t>Ferrara</w:t>
      </w:r>
      <w:r>
        <w:rPr>
          <w:b/>
          <w:lang w:val="en-US"/>
        </w:rPr>
        <w:t xml:space="preserve">), </w:t>
      </w:r>
      <w:r>
        <w:rPr>
          <w:lang w:val="en-US"/>
        </w:rPr>
        <w:t>Universita e INFN</w:t>
      </w:r>
      <w:bookmarkStart w:id="1" w:name="003541"/>
      <w:bookmarkStart w:id="2" w:name="000541"/>
      <w:bookmarkEnd w:id="1"/>
      <w:bookmarkEnd w:id="2"/>
      <w:r>
        <w:rPr>
          <w:lang w:val="en-US"/>
        </w:rPr>
        <w:t xml:space="preserve"> (</w:t>
      </w:r>
      <w:r>
        <w:rPr>
          <w:b/>
          <w:color w:val="CC0000"/>
          <w:lang w:val="en-US"/>
        </w:rPr>
        <w:t>Florence</w:t>
      </w:r>
      <w:r>
        <w:rPr>
          <w:b/>
          <w:lang w:val="en-US"/>
        </w:rPr>
        <w:t xml:space="preserve">), </w:t>
      </w:r>
      <w:r>
        <w:rPr>
          <w:lang w:val="en-US"/>
        </w:rPr>
        <w:t>Istituto Nazionale di Fisica Nucleare (INFN),</w:t>
      </w:r>
      <w:r>
        <w:rPr>
          <w:b/>
          <w:color w:val="333399"/>
          <w:lang w:val="en-US"/>
        </w:rPr>
        <w:t xml:space="preserve"> </w:t>
      </w:r>
      <w:r>
        <w:rPr>
          <w:lang w:val="en-US"/>
        </w:rPr>
        <w:t>Laboratori Nazionali di Frascati</w:t>
      </w:r>
      <w:bookmarkStart w:id="3" w:name="000547"/>
      <w:bookmarkEnd w:id="3"/>
      <w:r>
        <w:rPr>
          <w:lang w:val="en-US"/>
        </w:rPr>
        <w:t xml:space="preserve"> </w:t>
      </w:r>
      <w:r>
        <w:rPr>
          <w:b/>
          <w:color w:val="CC0000"/>
          <w:lang w:val="en-US"/>
        </w:rPr>
        <w:t>(Frascati),</w:t>
      </w:r>
      <w:r>
        <w:rPr>
          <w:b/>
          <w:lang w:val="en-US"/>
        </w:rPr>
        <w:t xml:space="preserve"> </w:t>
      </w:r>
      <w:r>
        <w:rPr>
          <w:lang w:val="en-US"/>
        </w:rPr>
        <w:t>Universita e INFN (</w:t>
      </w:r>
      <w:r>
        <w:rPr>
          <w:b/>
          <w:color w:val="CC0000"/>
          <w:lang w:val="en-US"/>
        </w:rPr>
        <w:t>Naples</w:t>
      </w:r>
      <w:r>
        <w:rPr>
          <w:b/>
          <w:lang w:val="en-US"/>
        </w:rPr>
        <w:t xml:space="preserve">), </w:t>
      </w:r>
      <w:bookmarkStart w:id="4" w:name="006554"/>
      <w:bookmarkEnd w:id="4"/>
      <w:r>
        <w:rPr>
          <w:lang w:val="en-US"/>
        </w:rPr>
        <w:t>Universita e INFN (</w:t>
      </w:r>
      <w:r>
        <w:rPr>
          <w:b/>
          <w:color w:val="CC0000"/>
          <w:lang w:val="en-US"/>
        </w:rPr>
        <w:t>Padua</w:t>
      </w:r>
      <w:r>
        <w:rPr>
          <w:b/>
          <w:lang w:val="en-US"/>
        </w:rPr>
        <w:t xml:space="preserve">), </w:t>
      </w:r>
      <w:r>
        <w:rPr>
          <w:lang w:val="en-US"/>
        </w:rPr>
        <w:t>Universita e INFN (</w:t>
      </w:r>
      <w:r>
        <w:rPr>
          <w:b/>
          <w:color w:val="CC0000"/>
          <w:lang w:val="en-US"/>
        </w:rPr>
        <w:t>Perugia),</w:t>
      </w:r>
      <w:r>
        <w:rPr>
          <w:b/>
          <w:lang w:val="en-US"/>
        </w:rPr>
        <w:t xml:space="preserve"> </w:t>
      </w:r>
      <w:r>
        <w:rPr>
          <w:lang w:val="en-US"/>
        </w:rPr>
        <w:t>Sezione di Pisa, INFN</w:t>
      </w:r>
      <w:bookmarkStart w:id="5" w:name="003562"/>
      <w:bookmarkStart w:id="6" w:name="013795"/>
      <w:bookmarkEnd w:id="5"/>
      <w:bookmarkEnd w:id="6"/>
      <w:r>
        <w:rPr>
          <w:lang w:val="en-US"/>
        </w:rPr>
        <w:t xml:space="preserve"> </w:t>
      </w:r>
      <w:r>
        <w:rPr>
          <w:b/>
          <w:color w:val="CC0000"/>
          <w:lang w:val="en-US"/>
        </w:rPr>
        <w:t>(Pisa</w:t>
      </w:r>
      <w:r>
        <w:rPr>
          <w:b/>
          <w:lang w:val="en-US"/>
        </w:rPr>
        <w:t xml:space="preserve">), </w:t>
      </w:r>
      <w:r>
        <w:rPr>
          <w:lang w:val="en-US"/>
        </w:rPr>
        <w:t>Universita degli Studi di Roma Tor Vergata,</w:t>
      </w:r>
      <w:r>
        <w:rPr>
          <w:b/>
          <w:color w:val="333399"/>
          <w:lang w:val="en-US"/>
        </w:rPr>
        <w:t xml:space="preserve"> </w:t>
      </w:r>
      <w:r>
        <w:rPr>
          <w:lang w:val="en-US"/>
        </w:rPr>
        <w:t xml:space="preserve">Sezione di Roma Tor Vergata, INFN </w:t>
      </w:r>
      <w:bookmarkStart w:id="7" w:name="000559"/>
      <w:bookmarkStart w:id="8" w:name="001075"/>
      <w:bookmarkEnd w:id="7"/>
      <w:bookmarkEnd w:id="8"/>
      <w:r>
        <w:rPr>
          <w:lang w:val="en-US"/>
        </w:rPr>
        <w:t>(</w:t>
      </w:r>
      <w:r>
        <w:rPr>
          <w:b/>
          <w:color w:val="CC0000"/>
          <w:lang w:val="en-US"/>
        </w:rPr>
        <w:t>Rome</w:t>
      </w:r>
      <w:r>
        <w:rPr>
          <w:b/>
          <w:lang w:val="en-US"/>
        </w:rPr>
        <w:t xml:space="preserve">), </w:t>
      </w:r>
      <w:r>
        <w:rPr>
          <w:lang w:val="en-US"/>
        </w:rPr>
        <w:t>Universita e INFN, Roma I, Sezione di Roma I, INFN</w:t>
      </w:r>
      <w:r>
        <w:rPr>
          <w:b/>
          <w:color w:val="CC0000"/>
          <w:lang w:val="en-US"/>
        </w:rPr>
        <w:t>(Rome</w:t>
      </w:r>
      <w:r>
        <w:rPr>
          <w:b/>
          <w:lang w:val="en-US"/>
        </w:rPr>
        <w:t xml:space="preserve">), </w:t>
      </w:r>
      <w:r>
        <w:rPr>
          <w:lang w:val="en-US"/>
        </w:rPr>
        <w:t>Universita e INFN </w:t>
      </w:r>
      <w:bookmarkStart w:id="9" w:name="080031"/>
      <w:bookmarkStart w:id="10" w:name="072323"/>
      <w:bookmarkEnd w:id="9"/>
      <w:bookmarkEnd w:id="10"/>
      <w:r>
        <w:rPr>
          <w:lang w:val="en-US"/>
        </w:rPr>
        <w:t xml:space="preserve"> (</w:t>
      </w:r>
      <w:r>
        <w:rPr>
          <w:b/>
          <w:color w:val="CC0000"/>
          <w:lang w:val="en-US"/>
        </w:rPr>
        <w:t>Turin</w:t>
      </w:r>
      <w:r>
        <w:rPr>
          <w:b/>
          <w:lang w:val="en-US"/>
        </w:rPr>
        <w:t xml:space="preserve">); </w:t>
      </w:r>
    </w:p>
    <w:p>
      <w:pPr>
        <w:pStyle w:val="TextBody"/>
        <w:rPr>
          <w:b/>
          <w:b/>
          <w:color w:val="CC0000"/>
          <w:lang w:val="en-US"/>
        </w:rPr>
      </w:pPr>
      <w:r>
        <w:rPr>
          <w:b/>
          <w:color w:val="CC0000"/>
          <w:lang w:val="en-US"/>
        </w:rPr>
        <w:t>Mexico</w:t>
      </w:r>
      <w:r>
        <w:rPr>
          <w:b/>
          <w:lang w:val="en-US"/>
        </w:rPr>
        <w:t xml:space="preserve">: </w:t>
      </w:r>
      <w:r>
        <w:rPr>
          <w:lang w:val="en-US"/>
        </w:rPr>
        <w:t>Universidad Autónoma de San Luís Potosi,</w:t>
      </w:r>
      <w:r>
        <w:rPr>
          <w:b/>
          <w:color w:val="333399"/>
          <w:lang w:val="en-US"/>
        </w:rPr>
        <w:t xml:space="preserve"> </w:t>
      </w:r>
      <w:r>
        <w:rPr>
          <w:lang w:val="en-US"/>
        </w:rPr>
        <w:t>Instituto de Fisica (</w:t>
      </w:r>
      <w:r>
        <w:rPr>
          <w:b/>
          <w:color w:val="CC0000"/>
          <w:lang w:val="en-US"/>
        </w:rPr>
        <w:t>San Luis Potosi</w:t>
      </w:r>
      <w:r>
        <w:rPr>
          <w:b/>
          <w:lang w:val="en-US"/>
        </w:rPr>
        <w:t xml:space="preserve">); </w:t>
      </w:r>
    </w:p>
    <w:p>
      <w:pPr>
        <w:pStyle w:val="TextBody"/>
        <w:ind w:left="709" w:hanging="709"/>
        <w:rPr>
          <w:b/>
          <w:b/>
          <w:color w:val="CC0000"/>
          <w:lang w:val="en-US"/>
        </w:rPr>
      </w:pPr>
      <w:r>
        <w:rPr>
          <w:b/>
          <w:color w:val="CC0000"/>
          <w:lang w:val="en-US"/>
        </w:rPr>
        <w:t>Romania</w:t>
      </w:r>
      <w:r>
        <w:rPr>
          <w:b/>
          <w:lang w:val="en-US"/>
        </w:rPr>
        <w:t xml:space="preserve">: </w:t>
      </w:r>
      <w:r>
        <w:rPr>
          <w:lang w:val="en-US"/>
        </w:rPr>
        <w:t>Horia Hulubei National Institute of Physics and Nuclear Engineering</w:t>
      </w:r>
      <w:bookmarkStart w:id="11" w:name="003739"/>
      <w:bookmarkEnd w:id="11"/>
      <w:r>
        <w:rPr>
          <w:lang w:val="en-US"/>
        </w:rPr>
        <w:t xml:space="preserve"> (</w:t>
      </w:r>
      <w:r>
        <w:rPr>
          <w:b/>
          <w:color w:val="CC0000"/>
          <w:lang w:val="en-US"/>
        </w:rPr>
        <w:t>Bucharest-Magurele</w:t>
      </w:r>
      <w:r>
        <w:rPr>
          <w:b/>
          <w:lang w:val="en-US"/>
        </w:rPr>
        <w:t xml:space="preserve">); </w:t>
      </w:r>
    </w:p>
    <w:p>
      <w:pPr>
        <w:pStyle w:val="TextBody"/>
        <w:ind w:left="709" w:hanging="709"/>
        <w:rPr>
          <w:b/>
          <w:b/>
          <w:color w:val="CC0000"/>
          <w:lang w:val="en-US"/>
        </w:rPr>
      </w:pPr>
      <w:r>
        <w:rPr>
          <w:b/>
          <w:color w:val="CC0000"/>
          <w:lang w:val="en-US"/>
        </w:rPr>
        <w:t>Russia:</w:t>
      </w:r>
      <w:r>
        <w:rPr>
          <w:b/>
          <w:lang w:val="en-US"/>
        </w:rPr>
        <w:t xml:space="preserve"> </w:t>
      </w:r>
      <w:r>
        <w:rPr>
          <w:lang w:val="en-US"/>
        </w:rPr>
        <w:t>Joint Institute for Nuclear Research – JINR (</w:t>
      </w:r>
      <w:bookmarkStart w:id="12" w:name="003752"/>
      <w:bookmarkStart w:id="13" w:name="000754"/>
      <w:bookmarkEnd w:id="12"/>
      <w:bookmarkEnd w:id="13"/>
      <w:r>
        <w:rPr>
          <w:b/>
          <w:color w:val="CC0000"/>
          <w:lang w:val="en-US"/>
        </w:rPr>
        <w:t>Dubna</w:t>
      </w:r>
      <w:r>
        <w:rPr>
          <w:b/>
          <w:lang w:val="en-US"/>
        </w:rPr>
        <w:t xml:space="preserve">), </w:t>
      </w:r>
      <w:r>
        <w:rPr>
          <w:lang w:val="en-US"/>
        </w:rPr>
        <w:t>Institute for Nuclear Research</w:t>
      </w:r>
      <w:bookmarkStart w:id="14" w:name="003767"/>
      <w:bookmarkEnd w:id="14"/>
      <w:r>
        <w:rPr>
          <w:lang w:val="en-US"/>
        </w:rPr>
        <w:t xml:space="preserve"> RAS (</w:t>
      </w:r>
      <w:r>
        <w:rPr>
          <w:b/>
          <w:color w:val="CC0000"/>
          <w:lang w:val="en-US"/>
        </w:rPr>
        <w:t>Moscow</w:t>
      </w:r>
      <w:r>
        <w:rPr>
          <w:b/>
          <w:lang w:val="en-US"/>
        </w:rPr>
        <w:t xml:space="preserve">), </w:t>
      </w:r>
      <w:r>
        <w:rPr>
          <w:lang w:val="en-US"/>
        </w:rPr>
        <w:t>Institute for High Energy Physics, Russian Federation State Research Centre</w:t>
      </w:r>
      <w:bookmarkStart w:id="15" w:name="003240"/>
      <w:bookmarkEnd w:id="15"/>
      <w:r>
        <w:rPr>
          <w:lang w:val="en-US"/>
        </w:rPr>
        <w:t xml:space="preserve"> (</w:t>
      </w:r>
      <w:r>
        <w:rPr>
          <w:b/>
          <w:color w:val="CC0000"/>
          <w:lang w:val="en-US"/>
        </w:rPr>
        <w:t>Protvino</w:t>
      </w:r>
      <w:r>
        <w:rPr>
          <w:b/>
          <w:lang w:val="en-US"/>
        </w:rPr>
        <w:t xml:space="preserve">); </w:t>
      </w:r>
    </w:p>
    <w:p>
      <w:pPr>
        <w:pStyle w:val="TextBody"/>
        <w:rPr>
          <w:b/>
          <w:b/>
          <w:color w:val="CC0000"/>
          <w:lang w:val="en-US"/>
        </w:rPr>
      </w:pPr>
      <w:r>
        <w:rPr>
          <w:b/>
          <w:color w:val="CC0000"/>
          <w:lang w:val="en-US"/>
        </w:rPr>
        <w:t>Slovakia</w:t>
      </w:r>
      <w:r>
        <w:rPr>
          <w:b/>
          <w:lang w:val="en-US"/>
        </w:rPr>
        <w:t xml:space="preserve">: </w:t>
      </w:r>
      <w:r>
        <w:rPr>
          <w:lang w:val="en-US"/>
        </w:rPr>
        <w:t>Comenius University (</w:t>
      </w:r>
      <w:r>
        <w:rPr>
          <w:b/>
          <w:color w:val="CC0000"/>
          <w:lang w:val="en-US"/>
        </w:rPr>
        <w:t>Bratislava</w:t>
      </w:r>
      <w:r>
        <w:rPr>
          <w:b/>
          <w:lang w:val="en-US"/>
        </w:rPr>
        <w:t xml:space="preserve">); </w:t>
      </w:r>
    </w:p>
    <w:p>
      <w:pPr>
        <w:pStyle w:val="TextBody"/>
        <w:rPr>
          <w:b/>
          <w:b/>
          <w:color w:val="CC0000"/>
          <w:lang w:val="en-US"/>
        </w:rPr>
      </w:pPr>
      <w:r>
        <w:rPr>
          <w:b/>
          <w:color w:val="CC0000"/>
          <w:lang w:val="en-US"/>
        </w:rPr>
        <w:t>Switzerland:</w:t>
      </w:r>
      <w:r>
        <w:rPr>
          <w:b/>
          <w:lang w:val="en-US"/>
        </w:rPr>
        <w:t xml:space="preserve"> </w:t>
      </w:r>
      <w:r>
        <w:rPr>
          <w:lang w:val="en-US"/>
        </w:rPr>
        <w:t>Conseil Européen pour la Recherche Nucléaire – CERN (</w:t>
      </w:r>
      <w:r>
        <w:rPr>
          <w:b/>
          <w:color w:val="CC0000"/>
          <w:lang w:val="en-US"/>
        </w:rPr>
        <w:t>Geneva</w:t>
      </w:r>
      <w:r>
        <w:rPr>
          <w:b/>
          <w:lang w:val="en-US"/>
        </w:rPr>
        <w:t xml:space="preserve">) </w:t>
      </w:r>
    </w:p>
    <w:p>
      <w:pPr>
        <w:pStyle w:val="TextBody"/>
        <w:ind w:left="709" w:hanging="709"/>
        <w:rPr>
          <w:b/>
          <w:b/>
          <w:color w:val="CC0000"/>
          <w:lang w:val="en-US"/>
        </w:rPr>
      </w:pPr>
      <w:r>
        <w:rPr>
          <w:b/>
          <w:color w:val="CC0000"/>
          <w:lang w:val="en-US"/>
        </w:rPr>
        <w:t>United Kingdom:</w:t>
      </w:r>
      <w:r>
        <w:rPr>
          <w:b/>
          <w:lang w:val="en-US"/>
        </w:rPr>
        <w:t xml:space="preserve"> </w:t>
      </w:r>
      <w:r>
        <w:rPr>
          <w:lang w:val="en-US"/>
        </w:rPr>
        <w:t>University of Birmingham</w:t>
      </w:r>
      <w:bookmarkStart w:id="16" w:name="003400"/>
      <w:bookmarkStart w:id="17" w:name="000400"/>
      <w:bookmarkEnd w:id="16"/>
      <w:bookmarkEnd w:id="17"/>
      <w:r>
        <w:rPr>
          <w:lang w:val="en-US"/>
        </w:rPr>
        <w:t xml:space="preserve"> (</w:t>
      </w:r>
      <w:r>
        <w:rPr>
          <w:b/>
          <w:color w:val="CC0000"/>
          <w:lang w:val="en-US"/>
        </w:rPr>
        <w:t>Birmingham</w:t>
      </w:r>
      <w:r>
        <w:rPr>
          <w:b/>
          <w:lang w:val="en-US"/>
        </w:rPr>
        <w:t xml:space="preserve">), </w:t>
      </w:r>
      <w:r>
        <w:rPr>
          <w:lang w:val="en-US"/>
        </w:rPr>
        <w:t>University of Bristol,</w:t>
      </w:r>
      <w:r>
        <w:rPr>
          <w:b/>
          <w:color w:val="333399"/>
          <w:lang w:val="en-US"/>
        </w:rPr>
        <w:t xml:space="preserve"> </w:t>
      </w:r>
      <w:r>
        <w:rPr>
          <w:lang w:val="en-US"/>
        </w:rPr>
        <w:t>H. H. Wills Physics Laboratory</w:t>
      </w:r>
      <w:bookmarkStart w:id="18" w:name="003413"/>
      <w:bookmarkEnd w:id="18"/>
      <w:r>
        <w:rPr>
          <w:lang w:val="en-US"/>
        </w:rPr>
        <w:t xml:space="preserve"> (</w:t>
      </w:r>
      <w:r>
        <w:rPr>
          <w:b/>
          <w:color w:val="CC0000"/>
          <w:lang w:val="en-US"/>
        </w:rPr>
        <w:t>Bristol</w:t>
      </w:r>
      <w:r>
        <w:rPr>
          <w:b/>
          <w:lang w:val="en-US"/>
        </w:rPr>
        <w:t xml:space="preserve">), </w:t>
      </w:r>
      <w:r>
        <w:rPr>
          <w:lang w:val="en-US"/>
        </w:rPr>
        <w:t>University of Glasgow</w:t>
      </w:r>
      <w:bookmarkStart w:id="19" w:name="006419"/>
      <w:bookmarkStart w:id="20" w:name="003420"/>
      <w:bookmarkEnd w:id="19"/>
      <w:bookmarkEnd w:id="20"/>
      <w:r>
        <w:rPr>
          <w:lang w:val="en-US"/>
        </w:rPr>
        <w:t xml:space="preserve"> (</w:t>
      </w:r>
      <w:r>
        <w:rPr>
          <w:b/>
          <w:color w:val="CC0000"/>
          <w:lang w:val="en-US"/>
        </w:rPr>
        <w:t>Glasgow</w:t>
      </w:r>
      <w:r>
        <w:rPr>
          <w:b/>
          <w:lang w:val="en-US"/>
        </w:rPr>
        <w:t xml:space="preserve">), </w:t>
      </w:r>
      <w:r>
        <w:rPr>
          <w:lang w:val="en-US"/>
        </w:rPr>
        <w:t>University of Liverpool, Oliver Lodge Laboratory (</w:t>
      </w:r>
      <w:r>
        <w:rPr>
          <w:b/>
          <w:color w:val="CC0000"/>
          <w:lang w:val="en-US"/>
        </w:rPr>
        <w:t>Liverpool</w:t>
      </w:r>
      <w:r>
        <w:rPr>
          <w:b/>
          <w:lang w:val="en-US"/>
        </w:rPr>
        <w:t xml:space="preserve">); </w:t>
      </w:r>
    </w:p>
    <w:p>
      <w:pPr>
        <w:pStyle w:val="TextBody"/>
        <w:ind w:left="709" w:hanging="709"/>
        <w:rPr>
          <w:color w:val="000000"/>
          <w:lang w:val="en-US"/>
        </w:rPr>
      </w:pPr>
      <w:r>
        <w:rPr>
          <w:b/>
          <w:color w:val="CC0000"/>
          <w:lang w:val="en-US"/>
        </w:rPr>
        <w:t>United States of America:</w:t>
      </w:r>
      <w:r>
        <w:rPr>
          <w:b/>
          <w:lang w:val="en-US"/>
        </w:rPr>
        <w:t xml:space="preserve"> </w:t>
      </w:r>
      <w:r>
        <w:rPr>
          <w:rFonts w:cs="Times"/>
          <w:color w:val="000D51"/>
          <w:lang w:val="en-US"/>
        </w:rPr>
        <w:t xml:space="preserve">Boston University </w:t>
      </w:r>
      <w:r>
        <w:rPr>
          <w:lang w:val="en-US"/>
        </w:rPr>
        <w:t>(</w:t>
      </w:r>
      <w:r>
        <w:rPr>
          <w:b/>
          <w:color w:val="CC0000"/>
          <w:lang w:val="en-US"/>
        </w:rPr>
        <w:t>Boston</w:t>
      </w:r>
      <w:r>
        <w:rPr>
          <w:b/>
          <w:lang w:val="en-US"/>
        </w:rPr>
        <w:t xml:space="preserve">), </w:t>
      </w:r>
      <w:r>
        <w:rPr>
          <w:lang w:val="en-US"/>
        </w:rPr>
        <w:t>George Mason University (</w:t>
      </w:r>
      <w:r>
        <w:rPr>
          <w:b/>
          <w:color w:val="CC0000"/>
          <w:lang w:val="en-US"/>
        </w:rPr>
        <w:t>Fairfax</w:t>
      </w:r>
      <w:r>
        <w:rPr>
          <w:b/>
          <w:lang w:val="en-US"/>
        </w:rPr>
        <w:t xml:space="preserve">), </w:t>
      </w:r>
      <w:r>
        <w:rPr>
          <w:lang w:val="en-US"/>
        </w:rPr>
        <w:t>SLAC National Accelerator Laboratory (</w:t>
      </w:r>
      <w:r>
        <w:rPr>
          <w:b/>
          <w:color w:val="CC0000"/>
          <w:lang w:val="en-US"/>
        </w:rPr>
        <w:t>Menlo Park</w:t>
      </w:r>
      <w:r>
        <w:rPr>
          <w:b/>
          <w:lang w:val="en-US"/>
        </w:rPr>
        <w:t xml:space="preserve">), </w:t>
      </w:r>
      <w:r>
        <w:rPr>
          <w:lang w:val="en-US"/>
        </w:rPr>
        <w:t>University of California Merced (</w:t>
      </w:r>
      <w:r>
        <w:rPr>
          <w:b/>
          <w:color w:val="CC0000"/>
          <w:lang w:val="en-US"/>
        </w:rPr>
        <w:t>Merced</w:t>
      </w:r>
      <w:r>
        <w:rPr>
          <w:b/>
          <w:lang w:val="en-US"/>
        </w:rPr>
        <w:t>),</w:t>
      </w:r>
      <w:r>
        <w:rPr>
          <w:b/>
          <w:color w:val="CC0000"/>
          <w:lang w:val="en-US"/>
        </w:rPr>
        <w:t xml:space="preserve"> </w:t>
      </w:r>
      <w:r>
        <w:rPr>
          <w:color w:val="000053"/>
          <w:lang w:val="en-US"/>
        </w:rPr>
        <w:t>Brookhaven National Laboratory (BNL) (</w:t>
      </w:r>
      <w:r>
        <w:rPr>
          <w:b/>
          <w:bCs/>
          <w:color w:val="BE0004"/>
          <w:lang w:val="en-US"/>
        </w:rPr>
        <w:t>Upton</w:t>
      </w:r>
      <w:r>
        <w:rPr>
          <w:lang w:val="en-US"/>
        </w:rPr>
        <w:t>)</w:t>
      </w:r>
      <w:r>
        <w:rPr>
          <w:b/>
          <w:lang w:val="en-US"/>
        </w:rPr>
        <w:t>.</w:t>
      </w:r>
      <w:r>
        <w:rPr>
          <w:lang w:val="en-US"/>
        </w:rPr>
        <w:t xml:space="preserve"> </w:t>
      </w:r>
    </w:p>
    <w:p>
      <w:pPr>
        <w:pStyle w:val="Normal"/>
        <w:jc w:val="right"/>
        <w:rPr>
          <w:color w:val="000000"/>
          <w:lang w:val="en-US"/>
        </w:rPr>
      </w:pPr>
      <w:bookmarkStart w:id="21" w:name="OLE_LINK2"/>
      <w:bookmarkStart w:id="22" w:name="OLE_LINK2"/>
      <w:bookmarkEnd w:id="22"/>
      <w:r>
        <w:rPr>
          <w:color w:val="000000"/>
          <w:lang w:val="en-US"/>
        </w:rPr>
      </w:r>
    </w:p>
    <w:p>
      <w:pPr>
        <w:pStyle w:val="Normal"/>
        <w:jc w:val="center"/>
        <w:rPr>
          <w:b/>
          <w:b/>
          <w:color w:val="000000"/>
          <w:lang w:val="en-US"/>
        </w:rPr>
      </w:pPr>
      <w:r>
        <w:rPr>
          <w:b/>
          <w:color w:val="000000"/>
          <w:lang w:val="en-US"/>
        </w:rPr>
      </w:r>
    </w:p>
    <w:p>
      <w:pPr>
        <w:pStyle w:val="WWPlainText"/>
        <w:jc w:val="center"/>
        <w:rPr>
          <w:b/>
          <w:b/>
          <w:color w:val="000000"/>
          <w:lang w:val="en-US"/>
        </w:rPr>
      </w:pPr>
      <w:r>
        <w:rPr>
          <w:b/>
          <w:lang w:val="en-US"/>
        </w:rPr>
        <w:t>Laboratory of High Energy Physics</w:t>
      </w:r>
    </w:p>
    <w:p>
      <w:pPr>
        <w:pStyle w:val="Normal"/>
        <w:jc w:val="center"/>
        <w:rPr>
          <w:b/>
          <w:b/>
          <w:color w:val="000000"/>
          <w:lang w:val="en-US"/>
        </w:rPr>
      </w:pPr>
      <w:r>
        <w:rPr>
          <w:b/>
          <w:color w:val="000000"/>
          <w:lang w:val="en-US"/>
        </w:rPr>
      </w:r>
    </w:p>
    <w:p>
      <w:pPr>
        <w:pStyle w:val="Normal"/>
        <w:shd w:val="clear" w:color="auto" w:fill="FFFFFF"/>
        <w:spacing w:before="115" w:after="0"/>
        <w:rPr>
          <w:color w:val="000000"/>
          <w:spacing w:val="6"/>
          <w:lang w:val="en-US"/>
        </w:rPr>
      </w:pPr>
      <w:r>
        <w:rPr>
          <w:color w:val="000000"/>
          <w:spacing w:val="7"/>
          <w:lang w:val="en-US"/>
        </w:rPr>
        <w:t xml:space="preserve">D. Baygarashev, S. Gevorkian, L. Glonti, E. Goudzovski, D. Emelyanov, T. Enik, V. Kekelidze, A.Korotkova, D.Madigozhin, M. Misheva, N. </w:t>
      </w:r>
      <w:r>
        <w:rPr>
          <w:color w:val="000000"/>
          <w:spacing w:val="6"/>
          <w:lang w:val="en-US"/>
        </w:rPr>
        <w:t xml:space="preserve">Molokanova, </w:t>
      </w:r>
      <w:r>
        <w:rPr>
          <w:color w:val="000000"/>
          <w:spacing w:val="7"/>
          <w:lang w:val="en-US"/>
        </w:rPr>
        <w:t>S. Movchan,</w:t>
      </w:r>
      <w:r>
        <w:rPr>
          <w:color w:val="000000"/>
          <w:spacing w:val="6"/>
          <w:lang w:val="en-US"/>
        </w:rPr>
        <w:t xml:space="preserve"> I. Polenkevich, Yu. Potrebenikov, S. Shkarovskiy</w:t>
      </w:r>
    </w:p>
    <w:p>
      <w:pPr>
        <w:pStyle w:val="Normal"/>
        <w:spacing w:before="115" w:after="0"/>
        <w:jc w:val="both"/>
        <w:rPr>
          <w:color w:val="000000"/>
          <w:spacing w:val="6"/>
          <w:lang w:val="en-US"/>
        </w:rPr>
      </w:pPr>
      <w:r>
        <w:rPr>
          <w:color w:val="000000"/>
          <w:spacing w:val="6"/>
          <w:lang w:val="en-US"/>
        </w:rPr>
      </w:r>
    </w:p>
    <w:p>
      <w:pPr>
        <w:pStyle w:val="WWPlainText"/>
        <w:jc w:val="center"/>
        <w:rPr>
          <w:b/>
          <w:b/>
          <w:color w:val="000000"/>
          <w:spacing w:val="6"/>
          <w:lang w:val="en-US"/>
        </w:rPr>
      </w:pPr>
      <w:r>
        <w:rPr>
          <w:b/>
          <w:color w:val="000000"/>
          <w:spacing w:val="6"/>
          <w:lang w:val="en-US"/>
        </w:rPr>
      </w:r>
    </w:p>
    <w:p>
      <w:pPr>
        <w:pStyle w:val="WWPlainText"/>
        <w:ind w:left="720" w:firstLine="720"/>
        <w:rPr>
          <w:b/>
          <w:b/>
          <w:color w:val="000000"/>
          <w:spacing w:val="6"/>
          <w:lang w:val="en-US"/>
        </w:rPr>
      </w:pPr>
      <w:r>
        <w:rPr>
          <w:b/>
          <w:color w:val="000000"/>
          <w:spacing w:val="6"/>
          <w:lang w:val="en-US"/>
        </w:rPr>
      </w:r>
    </w:p>
    <w:p>
      <w:pPr>
        <w:pStyle w:val="WWPlainText"/>
        <w:ind w:left="1440" w:firstLine="720"/>
        <w:rPr>
          <w:rFonts w:eastAsia="MS Mincho"/>
          <w:lang w:val="en-US"/>
        </w:rPr>
      </w:pPr>
      <w:r>
        <w:rPr>
          <w:lang w:val="en-US"/>
        </w:rPr>
        <w:t xml:space="preserve">Project leaders: </w:t>
        <w:tab/>
        <w:tab/>
        <w:tab/>
        <w:t>Kekelidze V.D.         (LHEP)</w:t>
      </w:r>
    </w:p>
    <w:p>
      <w:pPr>
        <w:pStyle w:val="WWPlainText"/>
        <w:ind w:left="4320" w:firstLine="720"/>
        <w:rPr>
          <w:lang w:val="en-US"/>
        </w:rPr>
      </w:pPr>
      <w:r>
        <w:rPr>
          <w:rFonts w:eastAsia="MS Mincho"/>
          <w:lang w:val="en-US"/>
        </w:rPr>
        <w:t>Potrebenikov Yu.K.</w:t>
      </w:r>
      <w:r>
        <w:rPr>
          <w:lang w:val="en-US"/>
        </w:rPr>
        <w:t xml:space="preserve">  (LHEP)</w:t>
      </w:r>
    </w:p>
    <w:p>
      <w:pPr>
        <w:pStyle w:val="WWPlainText"/>
        <w:rPr>
          <w:lang w:val="en-US"/>
        </w:rPr>
      </w:pPr>
      <w:r>
        <w:rPr>
          <w:lang w:val="en-US"/>
        </w:rPr>
      </w:r>
    </w:p>
    <w:p>
      <w:pPr>
        <w:pStyle w:val="WWPlainText"/>
        <w:ind w:left="4320" w:firstLine="720"/>
        <w:rPr>
          <w:lang w:val="en-US"/>
        </w:rPr>
      </w:pPr>
      <w:r>
        <w:rPr>
          <w:lang w:val="en-US"/>
        </w:rPr>
      </w:r>
    </w:p>
    <w:p>
      <w:pPr>
        <w:pStyle w:val="WWPlainText"/>
        <w:ind w:left="4320" w:firstLine="720"/>
        <w:rPr>
          <w:lang w:val="en-US"/>
        </w:rPr>
      </w:pPr>
      <w:r>
        <w:rPr>
          <w:lang w:val="en-US"/>
        </w:rPr>
      </w:r>
    </w:p>
    <w:p>
      <w:pPr>
        <w:pStyle w:val="WWPlainText"/>
        <w:ind w:left="4320" w:firstLine="720"/>
        <w:rPr>
          <w:lang w:val="en-US"/>
        </w:rPr>
      </w:pPr>
      <w:r>
        <w:rPr>
          <w:lang w:val="en-US"/>
        </w:rPr>
      </w:r>
    </w:p>
    <w:p>
      <w:pPr>
        <w:pStyle w:val="13"/>
        <w:rPr>
          <w:rFonts w:eastAsia="MS Mincho"/>
          <w:lang w:val="en-US"/>
        </w:rPr>
      </w:pPr>
      <w:r>
        <w:rPr>
          <w:rFonts w:eastAsia="MS Mincho"/>
          <w:lang w:val="en-US"/>
        </w:rPr>
      </w:r>
      <w:r>
        <w:br w:type="page"/>
      </w:r>
    </w:p>
    <w:p>
      <w:pPr>
        <w:pStyle w:val="WWPlainText"/>
        <w:tabs>
          <w:tab w:val="left" w:pos="6480" w:leader="none"/>
        </w:tabs>
        <w:rPr>
          <w:b/>
          <w:b/>
          <w:bCs/>
          <w:u w:val="single"/>
          <w:lang w:val="en-US"/>
        </w:rPr>
      </w:pPr>
      <w:r>
        <w:rPr>
          <w:b/>
          <w:u w:val="single"/>
          <w:lang w:val="en-US"/>
        </w:rPr>
        <w:t>Introduction</w:t>
      </w:r>
    </w:p>
    <w:p>
      <w:pPr>
        <w:pStyle w:val="Normal"/>
        <w:tabs>
          <w:tab w:val="left" w:pos="6480" w:leader="none"/>
        </w:tabs>
        <w:rPr>
          <w:b/>
          <w:b/>
          <w:bCs/>
          <w:u w:val="single"/>
          <w:lang w:val="en-US"/>
        </w:rPr>
      </w:pPr>
      <w:r>
        <w:rPr>
          <w:b/>
          <w:bCs/>
          <w:u w:val="single"/>
          <w:lang w:val="en-US"/>
        </w:rPr>
      </w:r>
    </w:p>
    <w:p>
      <w:pPr>
        <w:pStyle w:val="Normal"/>
        <w:spacing w:before="0" w:after="120"/>
        <w:ind w:firstLine="567"/>
        <w:jc w:val="both"/>
        <w:rPr>
          <w:lang w:val="en-US"/>
        </w:rPr>
      </w:pPr>
      <w:r>
        <w:rPr>
          <w:lang w:val="en-US"/>
        </w:rPr>
        <w:t>The proposed project is a continuation of the three stages of NA62 project, implemented in VBLHEP JINR in 2010 - 2018. The goal of all stages of the project is the participation in realization of the NA62 experiment at SPS CERN, where a</w:t>
      </w:r>
      <w:r>
        <w:rPr>
          <w:spacing w:val="0"/>
          <w:lang w:val="en-US"/>
        </w:rPr>
        <w:t xml:space="preserve"> measurement of the very rare kaon decay </w:t>
      </w:r>
      <w:r>
        <w:rPr>
          <w:spacing w:val="1"/>
          <w:w w:val="120"/>
          <w:sz w:val="22"/>
          <w:szCs w:val="24"/>
          <w:lang w:val="en-US"/>
        </w:rPr>
        <w:t>K</w:t>
      </w:r>
      <w:r>
        <w:rPr>
          <w:spacing w:val="1"/>
          <w:w w:val="120"/>
          <w:sz w:val="22"/>
          <w:szCs w:val="24"/>
          <w:vertAlign w:val="superscript"/>
          <w:lang w:val="en-US"/>
        </w:rPr>
        <w:t>+</w:t>
      </w:r>
      <w:r>
        <w:rPr>
          <w:rFonts w:cs="Symbol" w:ascii="Symbol" w:hAnsi="Symbol"/>
          <w:spacing w:val="1"/>
          <w:w w:val="120"/>
          <w:sz w:val="22"/>
          <w:szCs w:val="24"/>
          <w:lang w:val="en-US"/>
        </w:rPr>
        <w:t></w:t>
      </w:r>
      <w:r>
        <w:rPr>
          <w:spacing w:val="1"/>
          <w:w w:val="120"/>
          <w:sz w:val="22"/>
          <w:szCs w:val="24"/>
          <w:vertAlign w:val="superscript"/>
          <w:lang w:val="en-US"/>
        </w:rPr>
        <w:t>+</w:t>
      </w:r>
      <w:r>
        <w:rPr>
          <w:rFonts w:cs="Symbol" w:ascii="Symbol" w:hAnsi="Symbol"/>
          <w:spacing w:val="1"/>
          <w:w w:val="120"/>
          <w:sz w:val="22"/>
          <w:szCs w:val="24"/>
          <w:lang w:val="en-US"/>
        </w:rPr>
        <w:t></w:t>
      </w:r>
      <w:r>
        <w:rPr>
          <w:rFonts w:cs="Symbol" w:ascii="Symbol" w:hAnsi="Symbol"/>
          <w:spacing w:val="2"/>
          <w:w w:val="120"/>
          <w:sz w:val="22"/>
          <w:szCs w:val="24"/>
          <w:lang w:val="en-US"/>
        </w:rPr>
        <w:t></w:t>
      </w:r>
      <w:r>
        <w:rPr>
          <w:rFonts w:cs="Symbol" w:ascii="Symbol" w:hAnsi="Symbol"/>
          <w:i/>
          <w:spacing w:val="2"/>
          <w:w w:val="120"/>
          <w:sz w:val="22"/>
          <w:szCs w:val="24"/>
          <w:lang w:val="en-US"/>
        </w:rPr>
        <w:t></w:t>
      </w:r>
      <w:r>
        <w:rPr>
          <w:lang w:val="en-US"/>
        </w:rPr>
        <w:t xml:space="preserve">is planned </w:t>
      </w:r>
      <w:r>
        <w:rPr>
          <w:spacing w:val="0"/>
          <w:lang w:val="en-US"/>
        </w:rPr>
        <w:t xml:space="preserve">to make a </w:t>
      </w:r>
      <w:r>
        <w:rPr>
          <w:spacing w:val="3"/>
          <w:lang w:val="en-US"/>
        </w:rPr>
        <w:t xml:space="preserve">decisive test of the Standard Model (SM) by means of the 10%-precision measurement of the </w:t>
      </w:r>
      <w:r>
        <w:rPr>
          <w:lang w:val="en-US"/>
        </w:rPr>
        <w:t>Cabibbo-Kobayashi-Maskawa (</w:t>
      </w:r>
      <w:r>
        <w:rPr>
          <w:spacing w:val="3"/>
          <w:lang w:val="en-US"/>
        </w:rPr>
        <w:t>CKM)</w:t>
      </w:r>
      <w:r>
        <w:rPr>
          <w:lang w:val="en-US"/>
        </w:rPr>
        <w:t xml:space="preserve"> matrix </w:t>
      </w:r>
      <w:r>
        <w:rPr>
          <w:spacing w:val="3"/>
          <w:lang w:val="en-US"/>
        </w:rPr>
        <w:t xml:space="preserve">parameter </w:t>
      </w:r>
      <w:r>
        <w:rPr>
          <w:i/>
          <w:iCs/>
          <w:spacing w:val="2"/>
          <w:lang w:val="en-US"/>
        </w:rPr>
        <w:t>V</w:t>
      </w:r>
      <w:r>
        <w:rPr>
          <w:i/>
          <w:iCs/>
          <w:spacing w:val="2"/>
          <w:vertAlign w:val="subscript"/>
          <w:lang w:val="en-US"/>
        </w:rPr>
        <w:t>td</w:t>
      </w:r>
      <w:r>
        <w:rPr>
          <w:spacing w:val="2"/>
          <w:lang w:val="en-US"/>
        </w:rPr>
        <w:t>.</w:t>
      </w:r>
    </w:p>
    <w:p>
      <w:pPr>
        <w:pStyle w:val="Normal"/>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lang w:val="en-US"/>
        </w:rPr>
      </w:pPr>
      <w:r>
        <w:rPr>
          <w:lang w:val="en-US"/>
        </w:rPr>
        <w:tab/>
        <w:t xml:space="preserve">The purpose of the NA62 experiment, a detailed description of which is given in [1,2,3,4], is to register about 100 events of </w:t>
      </w:r>
      <w:r>
        <w:rPr>
          <w:spacing w:val="1"/>
          <w:w w:val="120"/>
          <w:sz w:val="22"/>
          <w:szCs w:val="24"/>
          <w:lang w:val="en-US"/>
        </w:rPr>
        <w:t>K</w:t>
      </w:r>
      <w:r>
        <w:rPr>
          <w:spacing w:val="1"/>
          <w:w w:val="120"/>
          <w:sz w:val="22"/>
          <w:szCs w:val="24"/>
          <w:vertAlign w:val="superscript"/>
          <w:lang w:val="en-US"/>
        </w:rPr>
        <w:t>+</w:t>
      </w:r>
      <w:r>
        <w:rPr>
          <w:rFonts w:cs="Symbol" w:ascii="Symbol" w:hAnsi="Symbol"/>
          <w:spacing w:val="1"/>
          <w:w w:val="120"/>
          <w:sz w:val="22"/>
          <w:szCs w:val="24"/>
          <w:lang w:val="en-US"/>
        </w:rPr>
        <w:t></w:t>
      </w:r>
      <w:r>
        <w:rPr>
          <w:spacing w:val="1"/>
          <w:w w:val="120"/>
          <w:sz w:val="22"/>
          <w:szCs w:val="24"/>
          <w:vertAlign w:val="superscript"/>
          <w:lang w:val="en-US"/>
        </w:rPr>
        <w:t>+</w:t>
      </w:r>
      <w:r>
        <w:rPr>
          <w:rFonts w:cs="Symbol" w:ascii="Symbol" w:hAnsi="Symbol"/>
          <w:spacing w:val="1"/>
          <w:w w:val="120"/>
          <w:sz w:val="22"/>
          <w:szCs w:val="24"/>
          <w:lang w:val="en-US"/>
        </w:rPr>
        <w:t></w:t>
      </w:r>
      <w:r>
        <w:rPr>
          <w:rFonts w:cs="Symbol" w:ascii="Symbol" w:hAnsi="Symbol"/>
          <w:spacing w:val="2"/>
          <w:w w:val="120"/>
          <w:sz w:val="22"/>
          <w:szCs w:val="24"/>
          <w:lang w:val="en-US"/>
        </w:rPr>
        <w:t></w:t>
      </w:r>
      <w:r>
        <w:rPr>
          <w:rFonts w:cs="Symbol" w:ascii="Symbol" w:hAnsi="Symbol"/>
          <w:i/>
          <w:spacing w:val="2"/>
          <w:w w:val="120"/>
          <w:sz w:val="22"/>
          <w:szCs w:val="24"/>
          <w:lang w:val="en-US"/>
        </w:rPr>
        <w:t></w:t>
      </w:r>
      <w:r>
        <w:rPr>
          <w:lang w:val="en-US"/>
        </w:rPr>
        <w:t>decay</w:t>
      </w:r>
      <w:r>
        <w:rPr>
          <w:rFonts w:cs="Calibri"/>
          <w:lang w:val="en-US"/>
        </w:rPr>
        <w:t xml:space="preserve"> and to keep the total systematic uncertainty small.</w:t>
      </w:r>
      <w:r>
        <w:rPr>
          <w:lang w:val="en-US"/>
        </w:rPr>
        <w:t xml:space="preserve"> </w:t>
      </w:r>
      <w:r>
        <w:rPr>
          <w:rFonts w:cs="Calibri"/>
          <w:lang w:val="en-US"/>
        </w:rPr>
        <w:t>To this purpose, at least 2</w:t>
      </w:r>
      <w:r>
        <w:rPr>
          <w:rFonts w:eastAsia="Tahoma" w:cs="Liberation Serif" w:ascii="Liberation Serif" w:hAnsi="Liberation Serif"/>
          <w:i/>
          <w:sz w:val="24"/>
          <w:szCs w:val="24"/>
          <w:lang w:val="en-US"/>
        </w:rPr>
        <w:t>×</w:t>
      </w:r>
      <w:r>
        <w:rPr>
          <w:rFonts w:cs="Calibri"/>
          <w:lang w:val="en-US"/>
        </w:rPr>
        <w:t>10</w:t>
      </w:r>
      <w:r>
        <w:rPr>
          <w:rFonts w:cs="Calibri"/>
          <w:vertAlign w:val="superscript"/>
          <w:lang w:val="en-US"/>
        </w:rPr>
        <w:t xml:space="preserve">13 </w:t>
      </w:r>
      <w:r>
        <w:rPr>
          <w:rFonts w:cs="Calibri"/>
          <w:lang w:val="en-US"/>
        </w:rPr>
        <w:t>K</w:t>
      </w:r>
      <w:r>
        <w:rPr>
          <w:rFonts w:cs="Calibri"/>
          <w:vertAlign w:val="superscript"/>
          <w:lang w:val="en-US"/>
        </w:rPr>
        <w:t>+</w:t>
      </w:r>
      <w:r>
        <w:rPr>
          <w:rFonts w:cs="Calibri"/>
          <w:lang w:val="en-US"/>
        </w:rPr>
        <w:t xml:space="preserve"> decays are required, assuming a 10% signal acceptance and the</w:t>
      </w:r>
      <w:r>
        <w:rPr>
          <w:lang w:val="en-US"/>
        </w:rPr>
        <w:t xml:space="preserve"> </w:t>
      </w:r>
      <w:r>
        <w:rPr>
          <w:rFonts w:cs="Calibri"/>
          <w:lang w:val="en-US"/>
        </w:rPr>
        <w:t>branching ratio of 10</w:t>
      </w:r>
      <w:r>
        <w:rPr>
          <w:rFonts w:cs="Calibri"/>
          <w:vertAlign w:val="superscript"/>
          <w:lang w:val="en-US"/>
        </w:rPr>
        <w:t>-10</w:t>
      </w:r>
      <w:r>
        <w:rPr>
          <w:rFonts w:cs="Calibri"/>
          <w:lang w:val="en-US"/>
        </w:rPr>
        <w:t>. Small systematic uncertainty requires a rejection factor for generic kaon decays at the order of 10</w:t>
      </w:r>
      <w:r>
        <w:rPr>
          <w:rFonts w:cs="Calibri"/>
          <w:vertAlign w:val="superscript"/>
          <w:lang w:val="en-US"/>
        </w:rPr>
        <w:t>12</w:t>
      </w:r>
      <w:r>
        <w:rPr>
          <w:rFonts w:cs="Calibri"/>
          <w:lang w:val="en-US"/>
        </w:rPr>
        <w:t xml:space="preserve">, and the possibility to measure </w:t>
      </w:r>
      <w:r>
        <w:rPr>
          <w:lang w:val="en-US"/>
        </w:rPr>
        <w:t xml:space="preserve">registration </w:t>
      </w:r>
      <w:r>
        <w:rPr>
          <w:rFonts w:cs="Calibri"/>
          <w:lang w:val="en-US"/>
        </w:rPr>
        <w:t xml:space="preserve">efficiencies and background suppression factors directly from the data. </w:t>
      </w:r>
      <w:r>
        <w:rPr>
          <w:lang w:val="en-US"/>
        </w:rPr>
        <w:t>The possibility to work in an intense kaon beam, reliability of signal extraction and background suppression are the main criteria of success in preparation and carrying out of the NA62 experiment.</w:t>
      </w:r>
    </w:p>
    <w:p>
      <w:pPr>
        <w:pStyle w:val="Normal"/>
        <w:spacing w:before="0" w:after="120"/>
        <w:ind w:firstLine="567"/>
        <w:jc w:val="both"/>
        <w:rPr>
          <w:lang w:val="en-US"/>
        </w:rPr>
      </w:pPr>
      <w:r>
        <w:rPr>
          <w:lang w:val="en-US"/>
        </w:rPr>
      </w:r>
    </w:p>
    <w:p>
      <w:pPr>
        <w:pStyle w:val="WWNormalWeb"/>
        <w:spacing w:before="100" w:after="120"/>
        <w:jc w:val="both"/>
        <w:rPr>
          <w:b/>
          <w:b/>
          <w:u w:val="single"/>
          <w:lang w:val="en-US"/>
        </w:rPr>
      </w:pPr>
      <w:r>
        <w:rPr>
          <w:b/>
          <w:u w:val="single"/>
          <w:lang w:val="en-US"/>
        </w:rPr>
        <w:t>Physical motivation</w:t>
      </w:r>
    </w:p>
    <w:p>
      <w:pPr>
        <w:pStyle w:val="Normal"/>
        <w:ind w:firstLine="720"/>
        <w:jc w:val="both"/>
        <w:rPr>
          <w:lang w:val="en-US"/>
        </w:rPr>
      </w:pPr>
      <w:r>
        <w:rPr>
          <w:lang w:val="en-US"/>
        </w:rPr>
        <w:t xml:space="preserve">Using the Wolfenstein notation of CKM, the relationship between the parameters </w:t>
      </w:r>
      <w:r>
        <w:rPr/>
        <w:t>ρ</w:t>
      </w:r>
      <w:r>
        <w:rPr>
          <w:lang w:val="en-US"/>
        </w:rPr>
        <w:t xml:space="preserve"> and </w:t>
      </w:r>
      <w:r>
        <w:rPr/>
        <w:t>η</w:t>
      </w:r>
      <w:r>
        <w:rPr>
          <w:lang w:val="en-US"/>
        </w:rPr>
        <w:t xml:space="preserve"> may be represented by the unitarity triangle shown in Figure 1. The “golden decays”</w:t>
      </w:r>
      <w:r>
        <w:rPr>
          <w:sz w:val="24"/>
          <w:lang w:val="en-US"/>
        </w:rPr>
        <w:t xml:space="preserve"> </w:t>
      </w:r>
      <w:r>
        <w:rPr>
          <w:spacing w:val="1"/>
          <w:w w:val="120"/>
          <w:sz w:val="22"/>
          <w:szCs w:val="24"/>
          <w:lang w:val="en-US"/>
        </w:rPr>
        <w:t>K</w:t>
      </w:r>
      <w:r>
        <w:rPr>
          <w:spacing w:val="1"/>
          <w:w w:val="120"/>
          <w:sz w:val="22"/>
          <w:szCs w:val="24"/>
          <w:vertAlign w:val="superscript"/>
          <w:lang w:val="en-US"/>
        </w:rPr>
        <w:t>0</w:t>
      </w:r>
      <w:r>
        <w:rPr>
          <w:rFonts w:cs="Symbol" w:ascii="Symbol" w:hAnsi="Symbol"/>
          <w:spacing w:val="1"/>
          <w:w w:val="120"/>
          <w:sz w:val="22"/>
          <w:szCs w:val="24"/>
          <w:lang w:val="en-US"/>
        </w:rPr>
        <w:t></w:t>
      </w:r>
      <w:r>
        <w:rPr>
          <w:spacing w:val="1"/>
          <w:w w:val="120"/>
          <w:sz w:val="22"/>
          <w:szCs w:val="24"/>
          <w:vertAlign w:val="superscript"/>
          <w:lang w:val="en-US"/>
        </w:rPr>
        <w:t>0</w:t>
      </w:r>
      <w:r>
        <w:rPr>
          <w:rFonts w:cs="Symbol" w:ascii="Symbol" w:hAnsi="Symbol"/>
          <w:spacing w:val="1"/>
          <w:w w:val="120"/>
          <w:sz w:val="22"/>
          <w:szCs w:val="24"/>
          <w:lang w:val="en-US"/>
        </w:rPr>
        <w:t></w:t>
      </w:r>
      <w:r>
        <w:rPr>
          <w:rFonts w:cs="Symbol" w:ascii="Symbol" w:hAnsi="Symbol"/>
          <w:spacing w:val="2"/>
          <w:w w:val="120"/>
          <w:sz w:val="22"/>
          <w:szCs w:val="24"/>
          <w:lang w:val="en-US"/>
        </w:rPr>
        <w:t></w:t>
      </w:r>
      <w:r>
        <w:rPr>
          <w:sz w:val="22"/>
          <w:lang w:val="en-US"/>
        </w:rPr>
        <w:t xml:space="preserve"> </w:t>
      </w:r>
      <w:r>
        <w:rPr>
          <w:lang w:val="en-US"/>
        </w:rPr>
        <w:t>and</w:t>
      </w:r>
      <w:r>
        <w:rPr>
          <w:sz w:val="24"/>
          <w:lang w:val="en-US"/>
        </w:rPr>
        <w:t xml:space="preserve"> </w:t>
      </w:r>
      <w:r>
        <w:rPr>
          <w:spacing w:val="1"/>
          <w:w w:val="120"/>
          <w:sz w:val="22"/>
          <w:szCs w:val="24"/>
          <w:lang w:val="en-US"/>
        </w:rPr>
        <w:t>K</w:t>
      </w:r>
      <w:r>
        <w:rPr>
          <w:spacing w:val="1"/>
          <w:w w:val="120"/>
          <w:sz w:val="22"/>
          <w:szCs w:val="24"/>
          <w:vertAlign w:val="superscript"/>
          <w:lang w:val="en-US"/>
        </w:rPr>
        <w:t>+</w:t>
      </w:r>
      <w:r>
        <w:rPr>
          <w:rFonts w:cs="Symbol" w:ascii="Symbol" w:hAnsi="Symbol"/>
          <w:spacing w:val="1"/>
          <w:w w:val="120"/>
          <w:sz w:val="22"/>
          <w:szCs w:val="24"/>
          <w:lang w:val="en-US"/>
        </w:rPr>
        <w:t></w:t>
      </w:r>
      <w:r>
        <w:rPr>
          <w:spacing w:val="1"/>
          <w:w w:val="120"/>
          <w:sz w:val="22"/>
          <w:szCs w:val="24"/>
          <w:vertAlign w:val="superscript"/>
          <w:lang w:val="en-US"/>
        </w:rPr>
        <w:t>+</w:t>
      </w:r>
      <w:r>
        <w:rPr>
          <w:rFonts w:cs="Symbol" w:ascii="Symbol" w:hAnsi="Symbol"/>
          <w:spacing w:val="1"/>
          <w:w w:val="120"/>
          <w:sz w:val="22"/>
          <w:szCs w:val="24"/>
          <w:lang w:val="en-US"/>
        </w:rPr>
        <w:t></w:t>
      </w:r>
      <w:r>
        <w:rPr>
          <w:rFonts w:cs="Symbol" w:ascii="Symbol" w:hAnsi="Symbol"/>
          <w:spacing w:val="2"/>
          <w:w w:val="120"/>
          <w:sz w:val="22"/>
          <w:szCs w:val="24"/>
          <w:lang w:val="en-US"/>
        </w:rPr>
        <w:t></w:t>
      </w:r>
      <w:r>
        <w:rPr>
          <w:lang w:val="en-US"/>
        </w:rPr>
        <w:t xml:space="preserve">give an opportunity to make a very sensitive tests of SM, as their probabilities are directly related to </w:t>
      </w:r>
      <w:r>
        <w:rPr>
          <w:rFonts w:cs="Symbol" w:ascii="Symbol" w:hAnsi="Symbol"/>
        </w:rPr>
        <w:t></w:t>
      </w:r>
      <w:r>
        <w:rPr>
          <w:vertAlign w:val="superscript"/>
          <w:lang w:val="en-US"/>
        </w:rPr>
        <w:t>2</w:t>
      </w:r>
      <w:r>
        <w:rPr>
          <w:lang w:val="en-US"/>
        </w:rPr>
        <w:t xml:space="preserve"> (height of triangle) and (</w:t>
      </w:r>
      <w:r>
        <w:rPr/>
        <w:t>ρ</w:t>
      </w:r>
      <w:r>
        <w:rPr>
          <w:lang w:val="en-US"/>
        </w:rPr>
        <w:t xml:space="preserve"> </w:t>
      </w:r>
      <w:r>
        <w:rPr>
          <w:rFonts w:cs="Symbol" w:ascii="Symbol" w:hAnsi="Symbol"/>
        </w:rPr>
        <w:t></w:t>
      </w:r>
      <w:r>
        <w:rPr>
          <w:lang w:val="en-US"/>
        </w:rPr>
        <w:t>1.4)</w:t>
      </w:r>
      <w:r>
        <w:rPr>
          <w:vertAlign w:val="superscript"/>
          <w:lang w:val="en-US"/>
        </w:rPr>
        <w:t xml:space="preserve">2 </w:t>
      </w:r>
      <w:r>
        <w:rPr>
          <w:lang w:val="en-US"/>
        </w:rPr>
        <w:t xml:space="preserve">+ </w:t>
      </w:r>
      <w:r>
        <w:rPr>
          <w:rFonts w:cs="Symbol" w:ascii="Symbol" w:hAnsi="Symbol"/>
        </w:rPr>
        <w:t></w:t>
      </w:r>
      <w:r>
        <w:rPr>
          <w:vertAlign w:val="superscript"/>
          <w:lang w:val="en-US"/>
        </w:rPr>
        <w:t>2</w:t>
      </w:r>
      <w:r>
        <w:rPr>
          <w:lang w:val="en-US"/>
        </w:rPr>
        <w:t xml:space="preserve">. The SM predictions for these two decay rates have accuracy to 2% and 8% respectively, and if significant deviations from the predictions will be observed, it will undoubtedly be the evidence of the phenomenon beyond the SM. </w:t>
      </w:r>
    </w:p>
    <w:p>
      <w:pPr>
        <w:pStyle w:val="Normal"/>
        <w:ind w:firstLine="720"/>
        <w:jc w:val="both"/>
        <w:rPr>
          <w:lang w:val="en-US"/>
        </w:rPr>
      </w:pPr>
      <w:r>
        <w:rPr>
          <w:lang w:val="en-US"/>
        </w:rPr>
      </w:r>
    </w:p>
    <w:p>
      <w:pPr>
        <w:pStyle w:val="Normal"/>
        <w:ind w:firstLine="720"/>
        <w:jc w:val="both"/>
        <w:rPr>
          <w:lang w:val="en-US"/>
        </w:rPr>
      </w:pPr>
      <w:r>
        <w:rPr>
          <w:lang w:val="en-US"/>
        </w:rPr>
        <w:drawing>
          <wp:anchor behindDoc="0" distT="0" distB="0" distL="18415" distR="0" simplePos="0" locked="0" layoutInCell="1" allowOverlap="1" relativeHeight="31">
            <wp:simplePos x="0" y="0"/>
            <wp:positionH relativeFrom="column">
              <wp:posOffset>1682750</wp:posOffset>
            </wp:positionH>
            <wp:positionV relativeFrom="paragraph">
              <wp:posOffset>49530</wp:posOffset>
            </wp:positionV>
            <wp:extent cx="3130550" cy="1993900"/>
            <wp:effectExtent l="0" t="0" r="0" b="0"/>
            <wp:wrapSquare wrapText="largest"/>
            <wp:docPr id="1"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
                    <pic:cNvPicPr>
                      <a:picLocks noChangeAspect="1" noChangeArrowheads="1"/>
                    </pic:cNvPicPr>
                  </pic:nvPicPr>
                  <pic:blipFill>
                    <a:blip r:embed="rId2"/>
                    <a:stretch>
                      <a:fillRect/>
                    </a:stretch>
                  </pic:blipFill>
                  <pic:spPr bwMode="auto">
                    <a:xfrm>
                      <a:off x="0" y="0"/>
                      <a:ext cx="3130550" cy="1993900"/>
                    </a:xfrm>
                    <a:prstGeom prst="rect">
                      <a:avLst/>
                    </a:prstGeom>
                  </pic:spPr>
                </pic:pic>
              </a:graphicData>
            </a:graphic>
          </wp:anchor>
        </w:drawing>
      </w:r>
    </w:p>
    <w:p>
      <w:pPr>
        <w:pStyle w:val="Normal"/>
        <w:ind w:firstLine="720"/>
        <w:jc w:val="both"/>
        <w:rPr>
          <w:lang w:val="en-US"/>
        </w:rPr>
      </w:pPr>
      <w:r>
        <w:rPr>
          <w:lang w:val="en-US"/>
        </w:rPr>
      </w:r>
    </w:p>
    <w:p>
      <w:pPr>
        <w:pStyle w:val="Normal"/>
        <w:ind w:firstLine="720"/>
        <w:jc w:val="both"/>
        <w:rPr>
          <w:lang w:val="en-US"/>
        </w:rPr>
      </w:pPr>
      <w:r>
        <w:rPr>
          <w:lang w:val="en-US"/>
        </w:rPr>
      </w:r>
    </w:p>
    <w:p>
      <w:pPr>
        <w:pStyle w:val="Normal"/>
        <w:jc w:val="both"/>
        <w:rPr>
          <w:lang w:val="en-US"/>
        </w:rPr>
      </w:pPr>
      <w:r>
        <w:rPr>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rPr>
          <w:i/>
          <w:i/>
          <w:sz w:val="22"/>
          <w:szCs w:val="22"/>
          <w:lang w:val="en-US"/>
        </w:rPr>
      </w:pPr>
      <w:r>
        <w:rPr>
          <w:i/>
          <w:sz w:val="22"/>
          <w:szCs w:val="22"/>
          <w:lang w:val="en-US"/>
        </w:rPr>
      </w:r>
    </w:p>
    <w:p>
      <w:pPr>
        <w:pStyle w:val="Normal"/>
        <w:ind w:firstLine="720"/>
        <w:rPr>
          <w:i/>
          <w:i/>
          <w:iCs/>
          <w:lang w:val="en-US"/>
        </w:rPr>
      </w:pPr>
      <w:r>
        <w:rPr>
          <w:i/>
          <w:szCs w:val="22"/>
          <w:lang w:val="en-US"/>
        </w:rPr>
        <w:t xml:space="preserve">Figure 1. </w:t>
      </w:r>
      <w:r>
        <w:rPr>
          <w:i/>
          <w:iCs/>
          <w:szCs w:val="22"/>
          <w:lang w:val="en-US"/>
        </w:rPr>
        <w:t>The decay</w:t>
      </w:r>
      <w:r>
        <w:rPr>
          <w:i/>
          <w:szCs w:val="22"/>
          <w:lang w:val="en-US" w:eastAsia="ru-RU"/>
        </w:rPr>
        <w:t xml:space="preserve"> </w:t>
      </w:r>
      <w:r>
        <w:rPr>
          <w:spacing w:val="1"/>
          <w:w w:val="120"/>
          <w:szCs w:val="22"/>
          <w:lang w:val="en-US" w:eastAsia="ru-RU"/>
        </w:rPr>
        <w:t>K</w:t>
      </w:r>
      <w:r>
        <w:rPr>
          <w:spacing w:val="1"/>
          <w:w w:val="120"/>
          <w:szCs w:val="22"/>
          <w:vertAlign w:val="superscript"/>
          <w:lang w:val="en-US" w:eastAsia="ru-RU"/>
        </w:rPr>
        <w:t>+</w:t>
      </w:r>
      <w:r>
        <w:rPr>
          <w:rFonts w:cs="Symbol" w:ascii="Symbol" w:hAnsi="Symbol"/>
          <w:spacing w:val="1"/>
          <w:w w:val="120"/>
          <w:szCs w:val="22"/>
          <w:lang w:val="en-US" w:eastAsia="ru-RU"/>
        </w:rPr>
        <w:t></w:t>
      </w:r>
      <w:r>
        <w:rPr>
          <w:spacing w:val="1"/>
          <w:w w:val="120"/>
          <w:szCs w:val="22"/>
          <w:vertAlign w:val="superscript"/>
          <w:lang w:val="en-US" w:eastAsia="ru-RU"/>
        </w:rPr>
        <w:t>+</w:t>
      </w:r>
      <w:r>
        <w:rPr>
          <w:rFonts w:cs="Symbol" w:ascii="Symbol" w:hAnsi="Symbol"/>
          <w:spacing w:val="1"/>
          <w:w w:val="120"/>
          <w:szCs w:val="22"/>
          <w:lang w:val="en-US" w:eastAsia="ru-RU"/>
        </w:rPr>
        <w:t></w:t>
      </w:r>
      <w:r>
        <w:rPr>
          <w:rFonts w:cs="Symbol" w:ascii="Symbol" w:hAnsi="Symbol"/>
          <w:spacing w:val="2"/>
          <w:w w:val="120"/>
          <w:szCs w:val="22"/>
          <w:lang w:val="en-US" w:eastAsia="ru-RU"/>
        </w:rPr>
        <w:t></w:t>
      </w:r>
      <w:r>
        <w:rPr>
          <w:i/>
          <w:szCs w:val="22"/>
          <w:lang w:val="en-US" w:eastAsia="ru-RU"/>
        </w:rPr>
        <w:t xml:space="preserve"> </w:t>
      </w:r>
      <w:r>
        <w:rPr>
          <w:i/>
          <w:iCs/>
          <w:szCs w:val="22"/>
          <w:lang w:val="en-US"/>
        </w:rPr>
        <w:t>is represented by the right segment of the triangle.</w:t>
      </w:r>
    </w:p>
    <w:p>
      <w:pPr>
        <w:pStyle w:val="Normal"/>
        <w:ind w:firstLine="426"/>
        <w:rPr>
          <w:iCs/>
          <w:lang w:val="en-US"/>
        </w:rPr>
      </w:pPr>
      <w:r>
        <w:rPr>
          <w:iCs/>
          <w:lang w:val="en-U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uppressAutoHyphens w:val="false"/>
        <w:ind w:firstLine="567"/>
        <w:jc w:val="both"/>
        <w:rPr/>
      </w:pPr>
      <w:r>
        <w:rPr>
          <w:rFonts w:cs="Calibri"/>
          <w:lang w:val="en-US"/>
        </w:rPr>
        <w:t>The most precise experimental results have been obtained by the E787 and E949 experiments at BNL by studying of the stopped kaon decays [5]:</w:t>
      </w:r>
      <w:r>
        <w:rPr>
          <w:spacing w:val="2"/>
          <w:lang w:val="en-US"/>
        </w:rPr>
        <w:t xml:space="preserve"> B(</w:t>
      </w:r>
      <w:r>
        <w:rPr>
          <w:spacing w:val="1"/>
          <w:w w:val="120"/>
          <w:sz w:val="22"/>
          <w:szCs w:val="24"/>
          <w:lang w:val="en-US" w:eastAsia="ru-RU"/>
        </w:rPr>
        <w:t>K</w:t>
      </w:r>
      <w:r>
        <w:rPr>
          <w:spacing w:val="1"/>
          <w:w w:val="120"/>
          <w:sz w:val="22"/>
          <w:szCs w:val="24"/>
          <w:vertAlign w:val="superscript"/>
          <w:lang w:val="en-US" w:eastAsia="ru-RU"/>
        </w:rPr>
        <w:t>+</w:t>
      </w:r>
      <w:r>
        <w:rPr>
          <w:rFonts w:cs="Symbol" w:ascii="Symbol" w:hAnsi="Symbol"/>
          <w:spacing w:val="1"/>
          <w:w w:val="120"/>
          <w:sz w:val="22"/>
          <w:szCs w:val="24"/>
          <w:lang w:val="en-US" w:eastAsia="ru-RU"/>
        </w:rPr>
        <w:t></w:t>
      </w:r>
      <w:r>
        <w:rPr>
          <w:spacing w:val="1"/>
          <w:w w:val="120"/>
          <w:sz w:val="22"/>
          <w:szCs w:val="24"/>
          <w:vertAlign w:val="superscript"/>
          <w:lang w:val="en-US" w:eastAsia="ru-RU"/>
        </w:rPr>
        <w:t>+</w:t>
      </w:r>
      <w:r>
        <w:rPr>
          <w:rFonts w:cs="Symbol" w:ascii="Symbol" w:hAnsi="Symbol"/>
          <w:spacing w:val="1"/>
          <w:w w:val="120"/>
          <w:sz w:val="22"/>
          <w:szCs w:val="24"/>
          <w:lang w:val="en-US" w:eastAsia="ru-RU"/>
        </w:rPr>
        <w:t></w:t>
      </w:r>
      <w:r>
        <w:rPr>
          <w:rFonts w:cs="Symbol" w:ascii="Symbol" w:hAnsi="Symbol"/>
          <w:spacing w:val="2"/>
          <w:w w:val="120"/>
          <w:sz w:val="22"/>
          <w:szCs w:val="24"/>
          <w:lang w:val="en-US" w:eastAsia="ru-RU"/>
        </w:rPr>
        <w:t></w:t>
      </w:r>
      <w:r>
        <w:rPr>
          <w:spacing w:val="2"/>
          <w:sz w:val="18"/>
          <w:lang w:val="en-US"/>
        </w:rPr>
        <w:t>) = (</w:t>
      </w:r>
      <w:r>
        <w:rPr>
          <w:spacing w:val="2"/>
          <w:lang w:val="en-US"/>
        </w:rPr>
        <w:t>1.73</w:t>
      </w:r>
      <w:r>
        <w:rPr>
          <w:spacing w:val="2"/>
          <w:position w:val="9"/>
          <w:sz w:val="19"/>
          <w:lang w:val="en-US"/>
        </w:rPr>
        <w:t>+1.15</w:t>
      </w:r>
      <w:r>
        <w:rPr>
          <w:spacing w:val="2"/>
          <w:sz w:val="19"/>
          <w:lang w:val="en-US"/>
        </w:rPr>
        <w:t>-1.05</w:t>
      </w:r>
      <w:r>
        <w:rPr>
          <w:rFonts w:eastAsia="Tahoma" w:cs="Liberation Serif" w:ascii="Liberation Serif" w:hAnsi="Liberation Serif"/>
          <w:spacing w:val="2"/>
          <w:lang w:val="en-US"/>
        </w:rPr>
        <w:t>)×</w:t>
      </w:r>
      <w:r>
        <w:rPr>
          <w:spacing w:val="2"/>
          <w:lang w:val="en-US"/>
        </w:rPr>
        <w:t>10</w:t>
      </w:r>
      <w:r>
        <w:rPr>
          <w:spacing w:val="2"/>
          <w:position w:val="9"/>
          <w:sz w:val="19"/>
          <w:lang w:val="en-US"/>
        </w:rPr>
        <w:t>-10</w:t>
      </w:r>
      <w:r>
        <w:rPr>
          <w:rFonts w:cs="Helvetica"/>
          <w:lang w:val="en-US"/>
        </w:rPr>
        <w:t xml:space="preserve">. </w:t>
      </w:r>
      <w:r>
        <w:rPr>
          <w:rFonts w:cs="Calibri"/>
          <w:lang w:val="en-US"/>
        </w:rPr>
        <w:t>Existing gap between the theoretical precision and the large experimental error motivates a strong experimental effort. Significant new constraints can be obtained with a measurement of the rate of this reaction at the level of 10% or better.</w:t>
      </w:r>
    </w:p>
    <w:p>
      <w:pPr>
        <w:pStyle w:val="Normal"/>
        <w:spacing w:before="0" w:after="120"/>
        <w:ind w:firstLine="567"/>
        <w:jc w:val="both"/>
        <w:rPr/>
      </w:pPr>
      <w:r>
        <w:rPr>
          <w:lang w:val="en-US"/>
        </w:rPr>
        <w:t>Large statistics of kaon decays, which is planned to record in the proposed experiment, and the presence of detectors for accurate measurement of the decaying charged kaon kinematics and their decay products make it possible to search for a series of other rare kaon decays and to study their characteristics, including a check of the prediction [6] about the existence of Goldstone fermion superpartners - pseudoscalar sgoldstino P.</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uppressAutoHyphens w:val="false"/>
        <w:jc w:val="both"/>
        <w:rPr/>
      </w:pPr>
      <w:r>
        <w:rPr>
          <w:rFonts w:cs="Calibri"/>
          <w:lang w:val="en-US"/>
        </w:rPr>
        <w:t>Apart from that, a series of precision measurements may be performed for the kaon rare decay modes in order to check the validity of the Chiral perturbation theory (ChPT) that provides a low energy approximation for the strong interactions description. A search for the rare decays, that are forbidden or extremely suppressed in the frameworks of SM opens a possibility to discover a new physics or to set a new limits on the validity of SM and some its extensions. It includes the search for the new light candidates to the dark matter that may be generated in rare kaon decays.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uppressAutoHyphens w:val="false"/>
        <w:jc w:val="both"/>
        <w:rPr/>
      </w:pPr>
      <w:r>
        <w:rPr>
          <w:rFonts w:cs="Calibri"/>
          <w:lang w:val="en-US"/>
        </w:rPr>
        <w:tab/>
      </w:r>
      <w:r>
        <w:rPr>
          <w:lang w:val="en-US"/>
        </w:rPr>
        <w:t>Physical motivation is presented in more details in Chapter 2 of the Proposal of the experiment [1] and in Chapter 3 of the report [4].</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uppressAutoHyphens w:val="false"/>
        <w:jc w:val="both"/>
        <w:rPr>
          <w:rFonts w:cs="Calibri"/>
          <w:lang w:val="en-US"/>
        </w:rPr>
      </w:pPr>
      <w:r>
        <w:rPr>
          <w:rFonts w:cs="Calibri"/>
          <w:lang w:val="en-US"/>
        </w:rPr>
      </w:r>
    </w:p>
    <w:p>
      <w:pPr>
        <w:pStyle w:val="WWNormalWeb"/>
        <w:spacing w:before="100" w:after="120"/>
        <w:jc w:val="both"/>
        <w:rPr>
          <w:spacing w:val="7"/>
          <w:lang w:val="en-US"/>
        </w:rPr>
      </w:pPr>
      <w:r>
        <w:rPr>
          <w:b/>
          <w:u w:val="single"/>
          <w:lang w:val="en-US"/>
        </w:rPr>
        <w:t>The strategy of the experiment</w:t>
      </w:r>
    </w:p>
    <w:p>
      <w:pPr>
        <w:pStyle w:val="Normal"/>
        <w:shd w:val="clear" w:color="auto" w:fill="FFFFFF"/>
        <w:spacing w:before="120" w:after="0"/>
        <w:ind w:right="0" w:firstLine="567"/>
        <w:jc w:val="both"/>
        <w:rPr>
          <w:lang w:val="en-US"/>
        </w:rPr>
      </w:pPr>
      <w:r>
        <w:rPr>
          <w:spacing w:val="7"/>
          <w:lang w:val="en-US"/>
        </w:rPr>
        <w:t xml:space="preserve">The strategy of the NA62 experiment is based on the measurement of the high energy </w:t>
      </w:r>
      <w:r>
        <w:rPr>
          <w:lang w:val="en-US"/>
        </w:rPr>
        <w:t>K</w:t>
      </w:r>
      <w:r>
        <w:rPr>
          <w:vertAlign w:val="superscript"/>
          <w:lang w:val="en-US"/>
        </w:rPr>
        <w:t>+</w:t>
      </w:r>
      <w:r>
        <w:rPr>
          <w:spacing w:val="7"/>
          <w:lang w:val="en-US"/>
        </w:rPr>
        <w:t xml:space="preserve"> decays in flight. In this case, the kaons </w:t>
      </w:r>
      <w:r>
        <w:rPr>
          <w:lang w:val="en-US"/>
        </w:rPr>
        <w:t>production cross section is optimized as a function of the proton energy, and the photons detection is efficient due to their high energies in the laboratory system. The experimental setup is shown in the Figure 2.</w:t>
      </w:r>
    </w:p>
    <w:p>
      <w:pPr>
        <w:pStyle w:val="Normal"/>
        <w:spacing w:lineRule="atLeast" w:line="100" w:before="0" w:after="120"/>
        <w:jc w:val="center"/>
        <w:rPr>
          <w:bCs/>
          <w:i/>
          <w:i/>
          <w:iCs/>
          <w:szCs w:val="22"/>
          <w:lang w:val="en-US"/>
        </w:rPr>
      </w:pPr>
      <w:r>
        <w:rPr/>
        <w:drawing>
          <wp:inline distT="0" distB="0" distL="0" distR="0">
            <wp:extent cx="6089650" cy="2622550"/>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3"/>
                    <a:stretch>
                      <a:fillRect/>
                    </a:stretch>
                  </pic:blipFill>
                  <pic:spPr bwMode="auto">
                    <a:xfrm>
                      <a:off x="0" y="0"/>
                      <a:ext cx="6089650" cy="2622550"/>
                    </a:xfrm>
                    <a:prstGeom prst="rect">
                      <a:avLst/>
                    </a:prstGeom>
                  </pic:spPr>
                </pic:pic>
              </a:graphicData>
            </a:graphic>
          </wp:inline>
        </w:drawing>
      </w:r>
    </w:p>
    <w:p>
      <w:pPr>
        <w:pStyle w:val="Normal"/>
        <w:spacing w:lineRule="atLeast" w:line="100" w:before="0" w:after="240"/>
        <w:jc w:val="center"/>
        <w:rPr>
          <w:spacing w:val="7"/>
          <w:lang w:val="en-US"/>
        </w:rPr>
      </w:pPr>
      <w:r>
        <w:rPr>
          <w:bCs/>
          <w:i/>
          <w:iCs/>
          <w:szCs w:val="22"/>
          <w:lang w:val="en-US"/>
        </w:rPr>
        <w:t>Figure 2. Schematic view of the NA62 experimental setup.</w:t>
      </w:r>
    </w:p>
    <w:p>
      <w:pPr>
        <w:pStyle w:val="Normal"/>
        <w:ind w:firstLine="567"/>
        <w:jc w:val="both"/>
        <w:rPr>
          <w:spacing w:val="7"/>
          <w:lang w:val="en-US"/>
        </w:rPr>
      </w:pPr>
      <w:r>
        <w:rPr>
          <w:spacing w:val="7"/>
          <w:lang w:val="en-US"/>
        </w:rPr>
        <w:t xml:space="preserve">Charged products of the studied </w:t>
      </w:r>
      <w:r>
        <w:rPr>
          <w:lang w:val="en-US"/>
        </w:rPr>
        <w:t>K</w:t>
      </w:r>
      <w:r>
        <w:rPr>
          <w:vertAlign w:val="superscript"/>
          <w:lang w:val="en-US"/>
        </w:rPr>
        <w:t>+</w:t>
      </w:r>
      <w:r>
        <w:rPr>
          <w:spacing w:val="7"/>
          <w:lang w:val="en-US"/>
        </w:rPr>
        <w:t xml:space="preserve"> decay are registered primarily by the straw tracker which allows one to register a single track and to measure the corresponding momentum with a good accuracy. In order to extract the signal, the distribution of the missing mass square for </w:t>
      </w:r>
      <w:r>
        <w:rPr>
          <w:lang w:val="en-US"/>
        </w:rPr>
        <w:t>K</w:t>
      </w:r>
      <w:r>
        <w:rPr>
          <w:vertAlign w:val="superscript"/>
          <w:lang w:val="en-US"/>
        </w:rPr>
        <w:t>+</w:t>
      </w:r>
      <w:r>
        <w:rPr>
          <w:spacing w:val="7"/>
          <w:lang w:val="en-US"/>
        </w:rPr>
        <w:t xml:space="preserve"> and positively charged track is analyzed in assumption that the track is produced by </w:t>
      </w:r>
      <w:r>
        <w:rPr>
          <w:rFonts w:cs="Symbol" w:ascii="Symbol" w:hAnsi="Symbol"/>
          <w:spacing w:val="1"/>
          <w:w w:val="120"/>
        </w:rPr>
        <w:t></w:t>
      </w:r>
      <w:r>
        <w:rPr>
          <w:spacing w:val="1"/>
          <w:w w:val="120"/>
          <w:vertAlign w:val="superscript"/>
          <w:lang w:val="en-US"/>
        </w:rPr>
        <w:t>+</w:t>
      </w:r>
      <w:r>
        <w:rPr>
          <w:spacing w:val="7"/>
          <w:lang w:val="en-US"/>
        </w:rPr>
        <w:t xml:space="preserve">. The missing mass distribution without experimental resolution for the </w:t>
      </w:r>
      <w:r>
        <w:rPr>
          <w:spacing w:val="1"/>
          <w:w w:val="120"/>
          <w:sz w:val="22"/>
          <w:szCs w:val="24"/>
          <w:lang w:val="en-US" w:eastAsia="ru-RU"/>
        </w:rPr>
        <w:t>K</w:t>
      </w:r>
      <w:r>
        <w:rPr>
          <w:spacing w:val="1"/>
          <w:w w:val="120"/>
          <w:sz w:val="22"/>
          <w:szCs w:val="24"/>
          <w:vertAlign w:val="superscript"/>
          <w:lang w:val="en-US" w:eastAsia="ru-RU"/>
        </w:rPr>
        <w:t>+</w:t>
      </w:r>
      <w:r>
        <w:rPr>
          <w:rFonts w:cs="Symbol" w:ascii="Symbol" w:hAnsi="Symbol"/>
          <w:spacing w:val="1"/>
          <w:w w:val="120"/>
          <w:sz w:val="22"/>
          <w:szCs w:val="24"/>
          <w:lang w:val="en-US" w:eastAsia="ru-RU"/>
        </w:rPr>
        <w:t></w:t>
      </w:r>
      <w:r>
        <w:rPr>
          <w:spacing w:val="1"/>
          <w:w w:val="120"/>
          <w:sz w:val="22"/>
          <w:szCs w:val="24"/>
          <w:vertAlign w:val="superscript"/>
          <w:lang w:val="en-US" w:eastAsia="ru-RU"/>
        </w:rPr>
        <w:t>+</w:t>
      </w:r>
      <w:r>
        <w:rPr>
          <w:rFonts w:cs="Symbol" w:ascii="Symbol" w:hAnsi="Symbol"/>
          <w:spacing w:val="1"/>
          <w:w w:val="120"/>
          <w:sz w:val="22"/>
          <w:szCs w:val="24"/>
          <w:lang w:val="en-US" w:eastAsia="ru-RU"/>
        </w:rPr>
        <w:t></w:t>
      </w:r>
      <w:r>
        <w:rPr>
          <w:rFonts w:cs="Symbol" w:ascii="Symbol" w:hAnsi="Symbol"/>
          <w:spacing w:val="2"/>
          <w:w w:val="120"/>
          <w:sz w:val="22"/>
          <w:szCs w:val="24"/>
          <w:lang w:val="en-US" w:eastAsia="ru-RU"/>
        </w:rPr>
        <w:t></w:t>
      </w:r>
      <w:r>
        <w:rPr>
          <w:rFonts w:cs="Symbol" w:ascii="Symbol" w:hAnsi="Symbol"/>
          <w:i/>
          <w:spacing w:val="2"/>
          <w:w w:val="120"/>
          <w:sz w:val="22"/>
          <w:szCs w:val="24"/>
          <w:lang w:val="en-US" w:eastAsia="ru-RU"/>
        </w:rPr>
        <w:t></w:t>
      </w:r>
      <w:r>
        <w:rPr>
          <w:spacing w:val="7"/>
          <w:lang w:val="en-US"/>
        </w:rPr>
        <w:t>decay is shown in the left diagram of the Figure 3 by solid red line. The NA62 signal acceptance areas are chosen taking into account the resolution of the setup (Region I and Region II in the Figure 3). The left diagram shows the distributions of background decays, which can be separated from the signal by means of kinematics, and the right one shows cinematically inseparable background.</w:t>
      </w:r>
    </w:p>
    <w:p>
      <w:pPr>
        <w:pStyle w:val="Normal"/>
        <w:ind w:firstLine="567"/>
        <w:jc w:val="both"/>
        <w:rPr>
          <w:lang w:val="en-US"/>
        </w:rPr>
      </w:pPr>
      <w:r>
        <w:rPr>
          <w:spacing w:val="7"/>
          <w:lang w:val="en-US"/>
        </w:rPr>
        <w:tab/>
        <w:t xml:space="preserve">To suppress the background of the two-particle decays the kinematic cuts and the particle identification (PID) are necessary. Backgrounds </w:t>
      </w:r>
      <w:r>
        <w:rPr>
          <w:spacing w:val="5"/>
          <w:lang w:val="en-US"/>
        </w:rPr>
        <w:t>from K</w:t>
      </w:r>
      <w:r>
        <w:rPr>
          <w:spacing w:val="5"/>
          <w:vertAlign w:val="superscript"/>
          <w:lang w:val="en-US"/>
        </w:rPr>
        <w:t>+</w:t>
      </w:r>
      <w:r>
        <w:rPr>
          <w:i/>
          <w:iCs/>
          <w:spacing w:val="5"/>
          <w:vertAlign w:val="superscript"/>
          <w:lang w:val="en-US"/>
        </w:rPr>
        <w:t xml:space="preserve"> </w:t>
      </w:r>
      <w:r>
        <w:rPr>
          <w:spacing w:val="5"/>
          <w:lang w:val="en-US"/>
        </w:rPr>
        <w:t>three- and four-body decays</w:t>
      </w:r>
      <w:r>
        <w:rPr>
          <w:spacing w:val="7"/>
          <w:lang w:val="en-US"/>
        </w:rPr>
        <w:t xml:space="preserve"> are also considerable, that assumes a detailed analysis of their properties and implementation of specific rejection techniques to each of them.</w:t>
      </w:r>
      <w:r>
        <w:rPr>
          <w:lang w:val="en-US"/>
        </w:rPr>
        <w:t xml:space="preserve"> The </w:t>
      </w:r>
      <w:r>
        <w:rPr>
          <w:i/>
          <w:iCs/>
          <w:lang w:val="en-US"/>
        </w:rPr>
        <w:t>K</w:t>
      </w:r>
      <w:r>
        <w:rPr>
          <w:i/>
          <w:iCs/>
          <w:vertAlign w:val="superscript"/>
          <w:lang w:val="en-US"/>
        </w:rPr>
        <w:t xml:space="preserve">+ </w:t>
      </w:r>
      <w:r>
        <w:rPr>
          <w:lang w:val="en-US"/>
        </w:rPr>
        <w:t xml:space="preserve">decay modes with the largest probabilities are listed in Table 1 with the methods of their suppression. </w:t>
      </w:r>
    </w:p>
    <w:p>
      <w:pPr>
        <w:pStyle w:val="Normal"/>
        <w:ind w:firstLine="567"/>
        <w:jc w:val="both"/>
        <w:rPr>
          <w:lang w:val="en-US"/>
        </w:rPr>
      </w:pPr>
      <w:r>
        <w:rPr>
          <w:lang w:val="en-US"/>
        </w:rPr>
        <w:drawing>
          <wp:anchor behindDoc="0" distT="0" distB="0" distL="133985" distR="114935" simplePos="0" locked="0" layoutInCell="1" allowOverlap="1" relativeHeight="3">
            <wp:simplePos x="0" y="0"/>
            <wp:positionH relativeFrom="column">
              <wp:posOffset>3251200</wp:posOffset>
            </wp:positionH>
            <wp:positionV relativeFrom="paragraph">
              <wp:posOffset>81915</wp:posOffset>
            </wp:positionV>
            <wp:extent cx="2978150" cy="2057400"/>
            <wp:effectExtent l="0" t="0" r="0" b="0"/>
            <wp:wrapSquare wrapText="bothSides"/>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2978150" cy="2057400"/>
                    </a:xfrm>
                    <a:prstGeom prst="rect">
                      <a:avLst/>
                    </a:prstGeom>
                  </pic:spPr>
                </pic:pic>
              </a:graphicData>
            </a:graphic>
          </wp:anchor>
        </w:drawing>
      </w:r>
    </w:p>
    <w:p>
      <w:pPr>
        <w:pStyle w:val="Normal"/>
        <w:rPr>
          <w:lang w:val="en-US"/>
        </w:rPr>
      </w:pPr>
      <w:r>
        <w:rPr/>
        <w:drawing>
          <wp:inline distT="0" distB="0" distL="0" distR="0">
            <wp:extent cx="2979420" cy="2032000"/>
            <wp:effectExtent l="0" t="0" r="0" b="0"/>
            <wp:docPr id="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
                    <pic:cNvPicPr>
                      <a:picLocks noChangeAspect="1" noChangeArrowheads="1"/>
                    </pic:cNvPicPr>
                  </pic:nvPicPr>
                  <pic:blipFill>
                    <a:blip r:embed="rId5"/>
                    <a:stretch>
                      <a:fillRect/>
                    </a:stretch>
                  </pic:blipFill>
                  <pic:spPr bwMode="auto">
                    <a:xfrm>
                      <a:off x="0" y="0"/>
                      <a:ext cx="2979420" cy="2032000"/>
                    </a:xfrm>
                    <a:prstGeom prst="rect">
                      <a:avLst/>
                    </a:prstGeom>
                  </pic:spPr>
                </pic:pic>
              </a:graphicData>
            </a:graphic>
          </wp:inline>
        </w:drawing>
      </w:r>
    </w:p>
    <w:p>
      <w:pPr>
        <w:pStyle w:val="Normal"/>
        <w:jc w:val="both"/>
        <w:rPr>
          <w:lang w:val="en-US"/>
        </w:rPr>
      </w:pPr>
      <w:r>
        <w:rPr>
          <w:lang w:val="en-US"/>
        </w:rPr>
      </w:r>
    </w:p>
    <w:p>
      <w:pPr>
        <w:pStyle w:val="Normal"/>
        <w:spacing w:before="0" w:after="120"/>
        <w:jc w:val="center"/>
        <w:rPr>
          <w:spacing w:val="4"/>
          <w:lang w:val="en-US"/>
        </w:rPr>
      </w:pPr>
      <w:r>
        <w:rPr>
          <w:i/>
          <w:szCs w:val="22"/>
          <w:lang w:val="en-US"/>
        </w:rPr>
        <w:t>Figure. 3. М</w:t>
      </w:r>
      <w:r>
        <w:rPr>
          <w:i/>
          <w:spacing w:val="7"/>
          <w:szCs w:val="22"/>
          <w:lang w:val="en-US"/>
        </w:rPr>
        <w:t xml:space="preserve">issing mass </w:t>
      </w:r>
      <w:r>
        <w:rPr>
          <w:spacing w:val="1"/>
          <w:w w:val="120"/>
          <w:szCs w:val="22"/>
          <w:lang w:val="en-US"/>
        </w:rPr>
        <w:t>m</w:t>
      </w:r>
      <w:r>
        <w:rPr>
          <w:spacing w:val="1"/>
          <w:w w:val="120"/>
          <w:szCs w:val="22"/>
          <w:vertAlign w:val="superscript"/>
          <w:lang w:val="en-US"/>
        </w:rPr>
        <w:t>2</w:t>
      </w:r>
      <w:r>
        <w:rPr>
          <w:spacing w:val="1"/>
          <w:w w:val="120"/>
          <w:szCs w:val="22"/>
          <w:vertAlign w:val="subscript"/>
          <w:lang w:val="en-US"/>
        </w:rPr>
        <w:t>miss</w:t>
      </w:r>
      <w:r>
        <w:rPr>
          <w:spacing w:val="1"/>
          <w:w w:val="120"/>
          <w:szCs w:val="22"/>
          <w:lang w:val="en-US"/>
        </w:rPr>
        <w:t xml:space="preserve"> = (P</w:t>
      </w:r>
      <w:r>
        <w:rPr>
          <w:spacing w:val="1"/>
          <w:w w:val="120"/>
          <w:szCs w:val="22"/>
          <w:vertAlign w:val="subscript"/>
          <w:lang w:val="en-US"/>
        </w:rPr>
        <w:t>K</w:t>
      </w:r>
      <w:r>
        <w:rPr>
          <w:spacing w:val="1"/>
          <w:w w:val="120"/>
          <w:szCs w:val="22"/>
          <w:lang w:val="en-US"/>
        </w:rPr>
        <w:t xml:space="preserve"> – P</w:t>
      </w:r>
      <w:r>
        <w:rPr>
          <w:spacing w:val="1"/>
          <w:w w:val="120"/>
          <w:szCs w:val="22"/>
          <w:vertAlign w:val="subscript"/>
          <w:lang w:val="en-US"/>
        </w:rPr>
        <w:t>track</w:t>
      </w:r>
      <w:r>
        <w:rPr>
          <w:spacing w:val="1"/>
          <w:w w:val="120"/>
          <w:szCs w:val="22"/>
          <w:lang w:val="en-US"/>
        </w:rPr>
        <w:t>)</w:t>
      </w:r>
      <w:r>
        <w:rPr>
          <w:spacing w:val="1"/>
          <w:w w:val="120"/>
          <w:szCs w:val="22"/>
          <w:vertAlign w:val="superscript"/>
          <w:lang w:val="en-US"/>
        </w:rPr>
        <w:t>2</w:t>
      </w:r>
      <w:r>
        <w:rPr>
          <w:i/>
          <w:iCs/>
          <w:szCs w:val="22"/>
          <w:lang w:val="en-US"/>
        </w:rPr>
        <w:t xml:space="preserve"> </w:t>
      </w:r>
      <w:r>
        <w:rPr>
          <w:i/>
          <w:spacing w:val="7"/>
          <w:szCs w:val="22"/>
          <w:lang w:val="en-US"/>
        </w:rPr>
        <w:t>distribution</w:t>
      </w:r>
      <w:r>
        <w:rPr>
          <w:i/>
          <w:iCs/>
          <w:szCs w:val="22"/>
          <w:lang w:val="en-US"/>
        </w:rPr>
        <w:t xml:space="preserve"> for the signal (red line) and background events. </w:t>
      </w:r>
      <w:r>
        <w:rPr>
          <w:i/>
          <w:spacing w:val="7"/>
          <w:szCs w:val="22"/>
          <w:lang w:val="en-US"/>
        </w:rPr>
        <w:t>Background decay modes that may be separated from the signal by kinematics are shown on the left plot, while the inseparable background is on the right plot.</w:t>
      </w:r>
    </w:p>
    <w:p>
      <w:pPr>
        <w:pStyle w:val="Normal"/>
        <w:shd w:val="clear" w:color="auto" w:fill="FFFFFF"/>
        <w:ind w:right="0" w:firstLine="720"/>
        <w:jc w:val="both"/>
        <w:rPr>
          <w:i/>
          <w:i/>
          <w:lang w:val="en-US"/>
        </w:rPr>
      </w:pPr>
      <w:r>
        <w:rPr>
          <w:spacing w:val="4"/>
          <w:lang w:val="en-US"/>
        </w:rPr>
        <w:t xml:space="preserve">There are also </w:t>
      </w:r>
      <w:r>
        <w:rPr>
          <w:spacing w:val="4"/>
          <w:sz w:val="22"/>
          <w:lang w:val="en-US"/>
        </w:rPr>
        <w:t>K</w:t>
      </w:r>
      <w:r>
        <w:rPr>
          <w:spacing w:val="4"/>
          <w:vertAlign w:val="superscript"/>
          <w:lang w:val="en-US"/>
        </w:rPr>
        <w:t>+</w:t>
      </w:r>
      <w:r>
        <w:rPr>
          <w:spacing w:val="4"/>
          <w:lang w:val="en-US"/>
        </w:rPr>
        <w:t xml:space="preserve"> decay modes (with branching ratios &gt; 10</w:t>
      </w:r>
      <w:r>
        <w:rPr>
          <w:spacing w:val="4"/>
          <w:vertAlign w:val="superscript"/>
          <w:lang w:val="en-US"/>
        </w:rPr>
        <w:t>-5</w:t>
      </w:r>
      <w:r>
        <w:rPr>
          <w:spacing w:val="4"/>
          <w:lang w:val="en-US"/>
        </w:rPr>
        <w:t xml:space="preserve">), </w:t>
      </w:r>
      <w:r>
        <w:rPr>
          <w:spacing w:val="7"/>
          <w:lang w:val="en-US"/>
        </w:rPr>
        <w:t>for example,</w:t>
      </w:r>
      <w:r>
        <w:rPr>
          <w:i/>
          <w:iCs/>
          <w:spacing w:val="4"/>
          <w:lang w:val="en-US"/>
        </w:rPr>
        <w:t xml:space="preserve"> </w:t>
      </w:r>
      <w:r>
        <w:rPr>
          <w:spacing w:val="4"/>
          <w:lang w:val="en-US"/>
        </w:rPr>
        <w:t>K</w:t>
      </w:r>
      <w:r>
        <w:rPr>
          <w:spacing w:val="4"/>
          <w:vertAlign w:val="subscript"/>
          <w:lang w:val="en-US"/>
        </w:rPr>
        <w:t>e4</w:t>
      </w:r>
      <w:r>
        <w:rPr>
          <w:i/>
          <w:iCs/>
          <w:spacing w:val="4"/>
          <w:lang w:val="en-US"/>
        </w:rPr>
        <w:t xml:space="preserve"> </w:t>
      </w:r>
      <w:r>
        <w:rPr>
          <w:spacing w:val="4"/>
          <w:lang w:val="en-US"/>
        </w:rPr>
        <w:t>(K</w:t>
      </w:r>
      <w:r>
        <w:rPr>
          <w:spacing w:val="4"/>
          <w:vertAlign w:val="superscript"/>
          <w:lang w:val="en-US"/>
        </w:rPr>
        <w:t>+</w:t>
      </w:r>
      <w:r>
        <w:rPr>
          <w:rFonts w:cs="Symbol" w:ascii="Symbol" w:hAnsi="Symbol"/>
          <w:spacing w:val="1"/>
          <w:w w:val="120"/>
        </w:rPr>
        <w:t></w:t>
      </w:r>
      <w:r>
        <w:rPr>
          <w:spacing w:val="1"/>
          <w:w w:val="120"/>
          <w:vertAlign w:val="superscript"/>
          <w:lang w:val="en-US"/>
        </w:rPr>
        <w:t>+</w:t>
      </w:r>
      <w:r>
        <w:rPr>
          <w:rFonts w:cs="Symbol" w:ascii="Symbol" w:hAnsi="Symbol"/>
          <w:spacing w:val="1"/>
          <w:w w:val="120"/>
        </w:rPr>
        <w:t></w:t>
      </w:r>
      <w:r>
        <w:rPr>
          <w:spacing w:val="1"/>
          <w:w w:val="120"/>
          <w:vertAlign w:val="superscript"/>
          <w:lang w:val="en-US"/>
        </w:rPr>
        <w:t>-</w:t>
      </w:r>
      <w:r>
        <w:rPr>
          <w:spacing w:val="1"/>
          <w:w w:val="120"/>
          <w:lang w:val="en-US"/>
        </w:rPr>
        <w:t>e</w:t>
      </w:r>
      <w:r>
        <w:rPr>
          <w:spacing w:val="1"/>
          <w:w w:val="120"/>
          <w:vertAlign w:val="superscript"/>
          <w:lang w:val="en-US"/>
        </w:rPr>
        <w:t>+</w:t>
      </w:r>
      <w:r>
        <w:rPr>
          <w:rFonts w:cs="Symbol" w:ascii="Symbol" w:hAnsi="Symbol"/>
          <w:spacing w:val="1"/>
          <w:w w:val="120"/>
        </w:rPr>
        <w:t></w:t>
      </w:r>
      <w:r>
        <w:rPr>
          <w:spacing w:val="4"/>
          <w:lang w:val="en-US"/>
        </w:rPr>
        <w:t xml:space="preserve">) </w:t>
      </w:r>
      <w:r>
        <w:rPr>
          <w:spacing w:val="7"/>
          <w:lang w:val="en-US"/>
        </w:rPr>
        <w:t>and K</w:t>
      </w:r>
      <w:r>
        <w:rPr>
          <w:rFonts w:eastAsia="Verdana" w:cs="Symbol" w:ascii="Symbol" w:hAnsi="Symbol"/>
          <w:spacing w:val="7"/>
          <w:sz w:val="32"/>
          <w:vertAlign w:val="subscript"/>
        </w:rPr>
        <w:t></w:t>
      </w:r>
      <w:r>
        <w:rPr>
          <w:spacing w:val="7"/>
          <w:vertAlign w:val="subscript"/>
          <w:lang w:val="en-US"/>
        </w:rPr>
        <w:t>4</w:t>
      </w:r>
      <w:r>
        <w:rPr>
          <w:i/>
          <w:iCs/>
          <w:spacing w:val="7"/>
          <w:lang w:val="en-US"/>
        </w:rPr>
        <w:t>,</w:t>
      </w:r>
      <w:r>
        <w:rPr>
          <w:iCs/>
          <w:spacing w:val="7"/>
          <w:lang w:val="en-US"/>
        </w:rPr>
        <w:t xml:space="preserve"> which</w:t>
      </w:r>
      <w:r>
        <w:rPr>
          <w:i/>
          <w:iCs/>
          <w:spacing w:val="7"/>
          <w:lang w:val="en-US"/>
        </w:rPr>
        <w:t xml:space="preserve"> </w:t>
      </w:r>
      <w:r>
        <w:rPr>
          <w:spacing w:val="7"/>
          <w:lang w:val="en-US"/>
        </w:rPr>
        <w:t>can have a topology similar to the studied decay in cases when both the negatively charged pion and the e</w:t>
      </w:r>
      <w:r>
        <w:rPr>
          <w:spacing w:val="7"/>
          <w:vertAlign w:val="superscript"/>
          <w:lang w:val="en-US"/>
        </w:rPr>
        <w:t>+</w:t>
      </w:r>
      <w:r>
        <w:rPr>
          <w:spacing w:val="7"/>
          <w:lang w:val="en-US"/>
        </w:rPr>
        <w:t>(</w:t>
      </w:r>
      <w:r>
        <w:rPr>
          <w:rFonts w:cs="Symbol" w:ascii="Symbol" w:hAnsi="Symbol"/>
          <w:spacing w:val="1"/>
          <w:w w:val="120"/>
        </w:rPr>
        <w:t></w:t>
      </w:r>
      <w:r>
        <w:rPr>
          <w:spacing w:val="1"/>
          <w:w w:val="120"/>
          <w:vertAlign w:val="superscript"/>
          <w:lang w:val="en-US"/>
        </w:rPr>
        <w:t>+</w:t>
      </w:r>
      <w:r>
        <w:rPr>
          <w:spacing w:val="7"/>
          <w:lang w:val="en-US"/>
        </w:rPr>
        <w:t xml:space="preserve">) escape detection. So </w:t>
      </w:r>
      <w:r>
        <w:rPr>
          <w:spacing w:val="6"/>
          <w:lang w:val="en-US"/>
        </w:rPr>
        <w:t xml:space="preserve">it is mandatory that the </w:t>
      </w:r>
      <w:r>
        <w:rPr>
          <w:rFonts w:cs="Symbol" w:ascii="Symbol" w:hAnsi="Symbol"/>
          <w:spacing w:val="1"/>
          <w:w w:val="120"/>
        </w:rPr>
        <w:t></w:t>
      </w:r>
      <w:r>
        <w:rPr>
          <w:spacing w:val="1"/>
          <w:w w:val="120"/>
          <w:vertAlign w:val="superscript"/>
          <w:lang w:val="en-US"/>
        </w:rPr>
        <w:t>-</w:t>
      </w:r>
      <w:r>
        <w:rPr>
          <w:spacing w:val="6"/>
          <w:lang w:val="en-US"/>
        </w:rPr>
        <w:t xml:space="preserve"> be observed and that the detector therefore be rendered </w:t>
      </w:r>
      <w:r>
        <w:rPr>
          <w:spacing w:val="4"/>
          <w:lang w:val="en-US"/>
        </w:rPr>
        <w:t xml:space="preserve">hermetic with respect to negatively charged particles of momentum &lt; 60 GeV/c. </w:t>
      </w:r>
      <w:r>
        <w:rPr>
          <w:spacing w:val="5"/>
          <w:lang w:val="en-US"/>
        </w:rPr>
        <w:t xml:space="preserve">This is provided by a system with 4 tracking detectors (chambers composed </w:t>
      </w:r>
      <w:r>
        <w:rPr>
          <w:spacing w:val="2"/>
          <w:lang w:val="en-US"/>
        </w:rPr>
        <w:t xml:space="preserve">of straw tubes) forming the active elements of the Magnetic </w:t>
      </w:r>
      <w:r>
        <w:rPr>
          <w:spacing w:val="4"/>
          <w:lang w:val="en-US"/>
        </w:rPr>
        <w:t>Spectrometer [3].</w:t>
      </w:r>
    </w:p>
    <w:p>
      <w:pPr>
        <w:pStyle w:val="WWPlainText"/>
        <w:jc w:val="center"/>
        <w:rPr>
          <w:i/>
          <w:i/>
          <w:lang w:val="en-US"/>
        </w:rPr>
      </w:pPr>
      <w:r>
        <w:rPr>
          <w:i/>
          <w:lang w:val="en-US"/>
        </w:rPr>
      </w:r>
    </w:p>
    <w:p>
      <w:pPr>
        <w:pStyle w:val="WWPlainText"/>
        <w:jc w:val="center"/>
        <w:rPr>
          <w:i/>
          <w:i/>
          <w:iCs/>
          <w:spacing w:val="7"/>
          <w:sz w:val="22"/>
          <w:szCs w:val="22"/>
          <w:lang w:val="en-US"/>
        </w:rPr>
      </w:pPr>
      <w:r>
        <w:rPr>
          <w:i/>
          <w:iCs/>
          <w:spacing w:val="7"/>
          <w:sz w:val="22"/>
          <w:szCs w:val="22"/>
          <w:lang w:val="en-US"/>
        </w:rPr>
      </w:r>
    </w:p>
    <w:p>
      <w:pPr>
        <w:pStyle w:val="WWPlainText"/>
        <w:jc w:val="center"/>
        <w:rPr>
          <w:i/>
          <w:i/>
          <w:iCs/>
          <w:spacing w:val="7"/>
          <w:sz w:val="22"/>
          <w:szCs w:val="22"/>
          <w:lang w:val="en-US"/>
        </w:rPr>
      </w:pPr>
      <w:r>
        <w:rPr>
          <w:i/>
          <w:iCs/>
          <w:spacing w:val="7"/>
          <w:sz w:val="22"/>
          <w:szCs w:val="22"/>
          <w:lang w:val="en-US"/>
        </w:rPr>
      </w:r>
    </w:p>
    <w:p>
      <w:pPr>
        <w:pStyle w:val="WWPlainText"/>
        <w:jc w:val="center"/>
        <w:rPr>
          <w:i/>
          <w:i/>
          <w:iCs/>
          <w:spacing w:val="7"/>
          <w:sz w:val="22"/>
          <w:szCs w:val="22"/>
          <w:lang w:val="en-US"/>
        </w:rPr>
      </w:pPr>
      <w:r>
        <w:rPr>
          <w:i/>
          <w:iCs/>
          <w:spacing w:val="7"/>
          <w:sz w:val="22"/>
          <w:szCs w:val="22"/>
          <w:lang w:val="en-US"/>
        </w:rPr>
      </w:r>
    </w:p>
    <w:p>
      <w:pPr>
        <w:pStyle w:val="WWPlainText"/>
        <w:jc w:val="center"/>
        <w:rPr>
          <w:i/>
          <w:i/>
          <w:iCs/>
          <w:spacing w:val="7"/>
          <w:sz w:val="22"/>
          <w:szCs w:val="22"/>
          <w:lang w:val="en-US"/>
        </w:rPr>
      </w:pPr>
      <w:r>
        <w:rPr>
          <w:i/>
          <w:iCs/>
          <w:spacing w:val="7"/>
          <w:sz w:val="22"/>
          <w:szCs w:val="22"/>
          <w:lang w:val="en-US"/>
        </w:rPr>
      </w:r>
    </w:p>
    <w:p>
      <w:pPr>
        <w:pStyle w:val="WWPlainText"/>
        <w:jc w:val="center"/>
        <w:rPr>
          <w:i/>
          <w:i/>
          <w:iCs/>
          <w:spacing w:val="7"/>
          <w:sz w:val="22"/>
          <w:szCs w:val="22"/>
          <w:lang w:val="en-US"/>
        </w:rPr>
      </w:pPr>
      <w:r>
        <w:rPr>
          <w:i/>
          <w:iCs/>
          <w:spacing w:val="7"/>
          <w:sz w:val="22"/>
          <w:szCs w:val="22"/>
          <w:lang w:val="en-US"/>
        </w:rPr>
      </w:r>
    </w:p>
    <w:p>
      <w:pPr>
        <w:pStyle w:val="WWPlainText"/>
        <w:jc w:val="right"/>
        <w:rPr>
          <w:b/>
          <w:b/>
          <w:sz w:val="18"/>
          <w:lang w:val="en-US"/>
        </w:rPr>
      </w:pPr>
      <w:r>
        <w:rPr>
          <w:i/>
          <w:iCs/>
          <w:spacing w:val="7"/>
          <w:szCs w:val="22"/>
          <w:lang w:val="en-US"/>
        </w:rPr>
        <w:t>Table 1. The most frequent K</w:t>
      </w:r>
      <w:r>
        <w:rPr>
          <w:i/>
          <w:iCs/>
          <w:spacing w:val="7"/>
          <w:szCs w:val="22"/>
          <w:vertAlign w:val="superscript"/>
          <w:lang w:val="en-US"/>
        </w:rPr>
        <w:t>+</w:t>
      </w:r>
      <w:r>
        <w:rPr>
          <w:i/>
          <w:iCs/>
          <w:spacing w:val="7"/>
          <w:szCs w:val="22"/>
          <w:lang w:val="en-US"/>
        </w:rPr>
        <w:t xml:space="preserve"> decay modes.</w:t>
      </w:r>
    </w:p>
    <w:p>
      <w:pPr>
        <w:pStyle w:val="WWPlainText"/>
        <w:jc w:val="both"/>
        <w:rPr>
          <w:b/>
          <w:b/>
          <w:lang w:val="en-US"/>
        </w:rPr>
      </w:pPr>
      <w:r>
        <w:rPr>
          <w:b/>
          <w:sz w:val="18"/>
          <w:lang w:val="en-US"/>
        </w:rPr>
        <w:tab/>
      </w:r>
    </w:p>
    <w:tbl>
      <w:tblPr>
        <w:tblW w:w="8408" w:type="dxa"/>
        <w:jc w:val="center"/>
        <w:tblInd w:w="0" w:type="dxa"/>
        <w:tblBorders>
          <w:top w:val="single" w:sz="4" w:space="0" w:color="000001"/>
          <w:left w:val="single" w:sz="4" w:space="0" w:color="000001"/>
          <w:bottom w:val="single" w:sz="4" w:space="0" w:color="000001"/>
          <w:insideH w:val="single" w:sz="4" w:space="0" w:color="000001"/>
        </w:tblBorders>
        <w:tblCellMar>
          <w:top w:w="0" w:type="dxa"/>
          <w:left w:w="10" w:type="dxa"/>
          <w:bottom w:w="0" w:type="dxa"/>
          <w:right w:w="40" w:type="dxa"/>
        </w:tblCellMar>
        <w:tblLook w:val="0000" w:noVBand="0" w:noHBand="0" w:lastColumn="0" w:firstColumn="0" w:lastRow="0" w:firstRow="0"/>
      </w:tblPr>
      <w:tblGrid>
        <w:gridCol w:w="2006"/>
        <w:gridCol w:w="2409"/>
        <w:gridCol w:w="3993"/>
      </w:tblGrid>
      <w:tr>
        <w:trPr>
          <w:trHeight w:val="394" w:hRule="exact"/>
        </w:trPr>
        <w:tc>
          <w:tcPr>
            <w:tcW w:w="2006"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vAlign w:val="center"/>
          </w:tcPr>
          <w:p>
            <w:pPr>
              <w:pStyle w:val="Normal"/>
              <w:spacing w:lineRule="atLeast" w:line="100"/>
              <w:ind w:left="29" w:hanging="0"/>
              <w:jc w:val="center"/>
              <w:rPr/>
            </w:pPr>
            <w:r>
              <w:rPr>
                <w:b/>
              </w:rPr>
              <w:t>Decay Mode</w:t>
            </w:r>
          </w:p>
        </w:tc>
        <w:tc>
          <w:tcPr>
            <w:tcW w:w="2409"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vAlign w:val="center"/>
          </w:tcPr>
          <w:p>
            <w:pPr>
              <w:pStyle w:val="Normal"/>
              <w:spacing w:lineRule="atLeast" w:line="100"/>
              <w:jc w:val="center"/>
              <w:rPr/>
            </w:pPr>
            <w:r>
              <w:rPr>
                <w:b/>
                <w:spacing w:val="4"/>
              </w:rPr>
              <w:t>Branching</w:t>
            </w:r>
            <w:r>
              <w:rPr>
                <w:b/>
                <w:spacing w:val="4"/>
                <w:lang w:val="en-US"/>
              </w:rPr>
              <w:t xml:space="preserve"> Ratio</w:t>
            </w:r>
          </w:p>
        </w:tc>
        <w:tc>
          <w:tcPr>
            <w:tcW w:w="39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 w:type="dxa"/>
            </w:tcMar>
            <w:vAlign w:val="center"/>
          </w:tcPr>
          <w:p>
            <w:pPr>
              <w:pStyle w:val="Heading1"/>
              <w:tabs>
                <w:tab w:val="left" w:pos="0" w:leader="none"/>
              </w:tabs>
              <w:spacing w:lineRule="atLeast" w:line="100" w:before="28" w:after="28"/>
              <w:jc w:val="center"/>
              <w:rPr/>
            </w:pPr>
            <w:r>
              <w:rPr>
                <w:b/>
                <w:lang w:val="en-US"/>
              </w:rPr>
              <w:t>Background</w:t>
            </w:r>
            <w:r>
              <w:rPr>
                <w:b/>
                <w:lang w:val="en-AU"/>
              </w:rPr>
              <w:t xml:space="preserve"> Rejection </w:t>
            </w:r>
            <w:r>
              <w:rPr>
                <w:b/>
                <w:lang w:val="en-US"/>
              </w:rPr>
              <w:t>method</w:t>
            </w:r>
          </w:p>
        </w:tc>
      </w:tr>
      <w:tr>
        <w:trPr>
          <w:trHeight w:val="394" w:hRule="exact"/>
        </w:trPr>
        <w:tc>
          <w:tcPr>
            <w:tcW w:w="2006"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ind w:left="29" w:hanging="0"/>
              <w:rPr/>
            </w:pPr>
            <w:r>
              <w:rPr>
                <w:spacing w:val="1"/>
                <w:w w:val="120"/>
              </w:rPr>
              <w:t>K</w:t>
            </w:r>
            <w:r>
              <w:rPr>
                <w:spacing w:val="1"/>
                <w:w w:val="120"/>
                <w:vertAlign w:val="superscript"/>
              </w:rPr>
              <w:t>+</w:t>
            </w:r>
            <w:r>
              <w:rPr>
                <w:spacing w:val="1"/>
                <w:w w:val="120"/>
              </w:rPr>
              <w:t xml:space="preserve"> </w:t>
            </w:r>
            <w:r>
              <w:rPr>
                <w:rFonts w:cs="Symbol" w:ascii="Symbol" w:hAnsi="Symbol"/>
                <w:spacing w:val="1"/>
                <w:w w:val="120"/>
              </w:rPr>
              <w:t></w:t>
            </w:r>
            <w:r>
              <w:rPr>
                <w:spacing w:val="1"/>
                <w:w w:val="120"/>
                <w:vertAlign w:val="superscript"/>
              </w:rPr>
              <w:t>+</w:t>
            </w:r>
            <w:r>
              <w:rPr>
                <w:rFonts w:cs="Symbol" w:ascii="Symbol" w:hAnsi="Symbol"/>
                <w:spacing w:val="1"/>
                <w:w w:val="120"/>
              </w:rPr>
              <w:t></w:t>
            </w:r>
            <w:r>
              <w:rPr>
                <w:spacing w:val="1"/>
                <w:w w:val="120"/>
              </w:rPr>
              <w:t xml:space="preserve"> </w:t>
            </w:r>
          </w:p>
        </w:tc>
        <w:tc>
          <w:tcPr>
            <w:tcW w:w="2409"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jc w:val="center"/>
              <w:rPr/>
            </w:pPr>
            <w:r>
              <w:rPr>
                <w:spacing w:val="9"/>
              </w:rPr>
              <w:t>63% (</w:t>
            </w:r>
            <w:r>
              <w:rPr>
                <w:spacing w:val="9"/>
                <w:lang w:val="en-US"/>
              </w:rPr>
              <w:t>called</w:t>
            </w:r>
            <w:r>
              <w:rPr>
                <w:spacing w:val="9"/>
              </w:rPr>
              <w:t xml:space="preserve"> </w:t>
            </w:r>
            <w:r>
              <w:rPr>
                <w:i/>
                <w:iCs/>
                <w:spacing w:val="9"/>
              </w:rPr>
              <w:t>K</w:t>
            </w:r>
            <w:r>
              <w:rPr>
                <w:rFonts w:cs="Symbol" w:ascii="Symbol" w:hAnsi="Symbol"/>
                <w:spacing w:val="0"/>
                <w:vertAlign w:val="subscript"/>
              </w:rPr>
              <w:t></w:t>
            </w:r>
            <w:r>
              <w:rPr>
                <w:spacing w:val="0"/>
                <w:vertAlign w:val="subscript"/>
              </w:rPr>
              <w:t>2</w:t>
            </w:r>
            <w:r>
              <w:rPr>
                <w:i/>
                <w:iCs/>
                <w:spacing w:val="0"/>
                <w:vertAlign w:val="superscript"/>
              </w:rPr>
              <w:t>+</w:t>
            </w:r>
            <w:r>
              <w:rPr>
                <w:i/>
                <w:iCs/>
                <w:spacing w:val="9"/>
              </w:rPr>
              <w:t>)</w:t>
            </w:r>
          </w:p>
        </w:tc>
        <w:tc>
          <w:tcPr>
            <w:tcW w:w="39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 w:type="dxa"/>
            </w:tcMar>
          </w:tcPr>
          <w:p>
            <w:pPr>
              <w:pStyle w:val="Normal"/>
              <w:spacing w:lineRule="atLeast" w:line="100"/>
              <w:rPr/>
            </w:pPr>
            <w:r>
              <w:rPr>
                <w:rFonts w:eastAsia="Symbol" w:cs="Symbol" w:ascii="Symbol" w:hAnsi="Symbol"/>
                <w:spacing w:val="2"/>
              </w:rPr>
              <w:t></w:t>
            </w:r>
            <w:r>
              <w:rPr>
                <w:spacing w:val="2"/>
              </w:rPr>
              <w:t xml:space="preserve"> </w:t>
            </w:r>
            <w:r>
              <w:rPr>
                <w:spacing w:val="2"/>
              </w:rPr>
              <w:t>PID,</w:t>
            </w:r>
            <w:r>
              <w:rPr>
                <w:spacing w:val="2"/>
                <w:lang w:val="en-GB"/>
              </w:rPr>
              <w:t xml:space="preserve"> Two-Body</w:t>
            </w:r>
            <w:r>
              <w:rPr>
                <w:spacing w:val="2"/>
                <w:lang w:val="en-US"/>
              </w:rPr>
              <w:t xml:space="preserve"> Kinematics</w:t>
            </w:r>
          </w:p>
        </w:tc>
      </w:tr>
      <w:tr>
        <w:trPr>
          <w:trHeight w:val="394" w:hRule="exact"/>
        </w:trPr>
        <w:tc>
          <w:tcPr>
            <w:tcW w:w="2006"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ind w:left="29" w:hanging="0"/>
              <w:rPr/>
            </w:pPr>
            <w:r>
              <w:rPr>
                <w:spacing w:val="1"/>
                <w:w w:val="120"/>
              </w:rPr>
              <w:t>K</w:t>
            </w:r>
            <w:r>
              <w:rPr>
                <w:spacing w:val="1"/>
                <w:w w:val="120"/>
                <w:vertAlign w:val="superscript"/>
              </w:rPr>
              <w:t>+</w:t>
            </w:r>
            <w:r>
              <w:rPr>
                <w:spacing w:val="1"/>
                <w:w w:val="120"/>
              </w:rPr>
              <w:t xml:space="preserve"> </w:t>
            </w:r>
            <w:r>
              <w:rPr>
                <w:rFonts w:cs="Symbol" w:ascii="Symbol" w:hAnsi="Symbol"/>
                <w:spacing w:val="1"/>
                <w:w w:val="120"/>
              </w:rPr>
              <w:t></w:t>
            </w:r>
            <w:r>
              <w:rPr>
                <w:spacing w:val="1"/>
                <w:w w:val="120"/>
                <w:vertAlign w:val="superscript"/>
              </w:rPr>
              <w:t>+</w:t>
            </w:r>
            <w:r>
              <w:rPr>
                <w:rFonts w:cs="Symbol" w:ascii="Symbol" w:hAnsi="Symbol"/>
                <w:spacing w:val="1"/>
                <w:w w:val="120"/>
              </w:rPr>
              <w:t></w:t>
            </w:r>
            <w:r>
              <w:rPr>
                <w:spacing w:val="1"/>
                <w:w w:val="120"/>
                <w:vertAlign w:val="superscript"/>
              </w:rPr>
              <w:t>0</w:t>
            </w:r>
          </w:p>
        </w:tc>
        <w:tc>
          <w:tcPr>
            <w:tcW w:w="2409"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jc w:val="center"/>
              <w:rPr/>
            </w:pPr>
            <w:r>
              <w:rPr/>
              <w:t>21%</w:t>
            </w:r>
          </w:p>
        </w:tc>
        <w:tc>
          <w:tcPr>
            <w:tcW w:w="39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 w:type="dxa"/>
            </w:tcMar>
          </w:tcPr>
          <w:p>
            <w:pPr>
              <w:pStyle w:val="Normal"/>
              <w:shd w:val="clear" w:color="auto" w:fill="FFFFFF"/>
              <w:snapToGrid w:val="false"/>
              <w:rPr>
                <w:lang w:val="en-US"/>
              </w:rPr>
            </w:pPr>
            <w:r>
              <w:rPr>
                <w:spacing w:val="4"/>
                <w:lang w:val="en-US"/>
              </w:rPr>
              <w:t>Photon Veto, Two-Body Kinematics</w:t>
            </w:r>
          </w:p>
        </w:tc>
      </w:tr>
      <w:tr>
        <w:trPr>
          <w:trHeight w:val="394" w:hRule="exact"/>
        </w:trPr>
        <w:tc>
          <w:tcPr>
            <w:tcW w:w="2006"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ind w:left="29" w:hanging="0"/>
              <w:rPr/>
            </w:pPr>
            <w:r>
              <w:rPr>
                <w:spacing w:val="1"/>
                <w:w w:val="120"/>
              </w:rPr>
              <w:t>K</w:t>
            </w:r>
            <w:r>
              <w:rPr>
                <w:spacing w:val="1"/>
                <w:w w:val="120"/>
                <w:vertAlign w:val="superscript"/>
              </w:rPr>
              <w:t>+</w:t>
            </w:r>
            <w:r>
              <w:rPr>
                <w:spacing w:val="1"/>
                <w:w w:val="120"/>
              </w:rPr>
              <w:t xml:space="preserve"> </w:t>
            </w:r>
            <w:r>
              <w:rPr>
                <w:rFonts w:cs="Symbol" w:ascii="Symbol" w:hAnsi="Symbol"/>
                <w:spacing w:val="1"/>
                <w:w w:val="120"/>
              </w:rPr>
              <w:t></w:t>
            </w:r>
            <w:r>
              <w:rPr>
                <w:spacing w:val="1"/>
                <w:w w:val="120"/>
                <w:vertAlign w:val="superscript"/>
              </w:rPr>
              <w:t>+</w:t>
            </w:r>
            <w:r>
              <w:rPr>
                <w:rFonts w:cs="Symbol" w:ascii="Symbol" w:hAnsi="Symbol"/>
                <w:spacing w:val="1"/>
                <w:w w:val="120"/>
              </w:rPr>
              <w:t></w:t>
            </w:r>
            <w:r>
              <w:rPr>
                <w:spacing w:val="1"/>
                <w:w w:val="120"/>
                <w:vertAlign w:val="superscript"/>
              </w:rPr>
              <w:t>+</w:t>
            </w:r>
            <w:r>
              <w:rPr>
                <w:rFonts w:cs="Symbol" w:ascii="Symbol" w:hAnsi="Symbol"/>
                <w:spacing w:val="1"/>
                <w:w w:val="120"/>
              </w:rPr>
              <w:t></w:t>
            </w:r>
            <w:r>
              <w:rPr>
                <w:spacing w:val="1"/>
                <w:w w:val="120"/>
                <w:vertAlign w:val="superscript"/>
              </w:rPr>
              <w:t>-</w:t>
            </w:r>
          </w:p>
        </w:tc>
        <w:tc>
          <w:tcPr>
            <w:tcW w:w="2409"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jc w:val="center"/>
              <w:rPr/>
            </w:pPr>
            <w:r>
              <w:rPr/>
              <w:t>6%</w:t>
            </w:r>
          </w:p>
        </w:tc>
        <w:tc>
          <w:tcPr>
            <w:tcW w:w="39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 w:type="dxa"/>
            </w:tcMar>
          </w:tcPr>
          <w:p>
            <w:pPr>
              <w:pStyle w:val="Normal"/>
              <w:shd w:val="clear" w:color="auto" w:fill="FFFFFF"/>
              <w:snapToGrid w:val="false"/>
              <w:rPr/>
            </w:pPr>
            <w:r>
              <w:rPr>
                <w:spacing w:val="4"/>
                <w:lang w:val="en-US"/>
              </w:rPr>
              <w:t>Charged Particle</w:t>
            </w:r>
            <w:r>
              <w:rPr>
                <w:spacing w:val="4"/>
                <w:lang w:val="en-AU"/>
              </w:rPr>
              <w:t xml:space="preserve"> Veto</w:t>
            </w:r>
            <w:r>
              <w:rPr>
                <w:spacing w:val="4"/>
              </w:rPr>
              <w:t>,</w:t>
            </w:r>
            <w:r>
              <w:rPr>
                <w:spacing w:val="4"/>
                <w:lang w:val="en-AU"/>
              </w:rPr>
              <w:t xml:space="preserve"> Kinematics</w:t>
            </w:r>
          </w:p>
        </w:tc>
      </w:tr>
      <w:tr>
        <w:trPr>
          <w:trHeight w:val="394" w:hRule="exact"/>
        </w:trPr>
        <w:tc>
          <w:tcPr>
            <w:tcW w:w="2006"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ind w:left="29" w:hanging="0"/>
              <w:rPr/>
            </w:pPr>
            <w:r>
              <w:rPr>
                <w:spacing w:val="1"/>
                <w:w w:val="120"/>
              </w:rPr>
              <w:t>K</w:t>
            </w:r>
            <w:r>
              <w:rPr>
                <w:spacing w:val="1"/>
                <w:w w:val="120"/>
                <w:vertAlign w:val="superscript"/>
              </w:rPr>
              <w:t>+</w:t>
            </w:r>
            <w:r>
              <w:rPr>
                <w:spacing w:val="1"/>
                <w:w w:val="120"/>
              </w:rPr>
              <w:t xml:space="preserve"> </w:t>
            </w:r>
            <w:r>
              <w:rPr>
                <w:rFonts w:cs="Symbol" w:ascii="Symbol" w:hAnsi="Symbol"/>
                <w:spacing w:val="1"/>
                <w:w w:val="120"/>
              </w:rPr>
              <w:t></w:t>
            </w:r>
            <w:r>
              <w:rPr>
                <w:spacing w:val="1"/>
                <w:w w:val="120"/>
                <w:vertAlign w:val="superscript"/>
              </w:rPr>
              <w:t>+</w:t>
            </w:r>
            <w:r>
              <w:rPr>
                <w:rFonts w:cs="Symbol" w:ascii="Symbol" w:hAnsi="Symbol"/>
                <w:spacing w:val="1"/>
                <w:w w:val="120"/>
              </w:rPr>
              <w:t></w:t>
            </w:r>
            <w:r>
              <w:rPr>
                <w:spacing w:val="1"/>
                <w:w w:val="120"/>
                <w:vertAlign w:val="superscript"/>
              </w:rPr>
              <w:t>0</w:t>
            </w:r>
            <w:r>
              <w:rPr>
                <w:rFonts w:cs="Symbol" w:ascii="Symbol" w:hAnsi="Symbol"/>
                <w:spacing w:val="1"/>
                <w:w w:val="120"/>
              </w:rPr>
              <w:t></w:t>
            </w:r>
            <w:r>
              <w:rPr>
                <w:spacing w:val="1"/>
                <w:w w:val="120"/>
                <w:vertAlign w:val="superscript"/>
              </w:rPr>
              <w:t>0</w:t>
            </w:r>
          </w:p>
        </w:tc>
        <w:tc>
          <w:tcPr>
            <w:tcW w:w="2409"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jc w:val="center"/>
              <w:rPr/>
            </w:pPr>
            <w:r>
              <w:rPr/>
              <w:t>2%</w:t>
            </w:r>
          </w:p>
        </w:tc>
        <w:tc>
          <w:tcPr>
            <w:tcW w:w="39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 w:type="dxa"/>
            </w:tcMar>
          </w:tcPr>
          <w:p>
            <w:pPr>
              <w:pStyle w:val="Normal"/>
              <w:shd w:val="clear" w:color="auto" w:fill="FFFFFF"/>
              <w:snapToGrid w:val="false"/>
              <w:rPr/>
            </w:pPr>
            <w:r>
              <w:rPr>
                <w:spacing w:val="4"/>
                <w:lang w:val="en-ZA"/>
              </w:rPr>
              <w:t>Photon</w:t>
            </w:r>
            <w:r>
              <w:rPr>
                <w:spacing w:val="4"/>
                <w:lang w:val="en-GB"/>
              </w:rPr>
              <w:t xml:space="preserve"> Veto</w:t>
            </w:r>
            <w:r>
              <w:rPr>
                <w:spacing w:val="4"/>
              </w:rPr>
              <w:t>, Kinematics</w:t>
            </w:r>
          </w:p>
        </w:tc>
      </w:tr>
      <w:tr>
        <w:trPr>
          <w:trHeight w:val="394" w:hRule="exact"/>
        </w:trPr>
        <w:tc>
          <w:tcPr>
            <w:tcW w:w="2006"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ind w:left="29" w:hanging="0"/>
              <w:rPr/>
            </w:pPr>
            <w:r>
              <w:rPr>
                <w:spacing w:val="1"/>
                <w:w w:val="120"/>
              </w:rPr>
              <w:t>K</w:t>
            </w:r>
            <w:r>
              <w:rPr>
                <w:spacing w:val="1"/>
                <w:w w:val="120"/>
                <w:vertAlign w:val="superscript"/>
              </w:rPr>
              <w:t>+</w:t>
            </w:r>
            <w:r>
              <w:rPr>
                <w:spacing w:val="1"/>
                <w:w w:val="120"/>
              </w:rPr>
              <w:t xml:space="preserve"> </w:t>
            </w:r>
            <w:r>
              <w:rPr>
                <w:rFonts w:cs="Symbol" w:ascii="Symbol" w:hAnsi="Symbol"/>
                <w:spacing w:val="1"/>
                <w:w w:val="120"/>
              </w:rPr>
              <w:t></w:t>
            </w:r>
            <w:r>
              <w:rPr>
                <w:spacing w:val="1"/>
                <w:w w:val="120"/>
                <w:vertAlign w:val="superscript"/>
              </w:rPr>
              <w:t>0</w:t>
            </w:r>
            <w:r>
              <w:rPr>
                <w:rFonts w:cs="Symbol" w:ascii="Symbol" w:hAnsi="Symbol"/>
                <w:spacing w:val="1"/>
                <w:w w:val="120"/>
              </w:rPr>
              <w:t></w:t>
            </w:r>
            <w:r>
              <w:rPr>
                <w:spacing w:val="1"/>
                <w:w w:val="120"/>
                <w:vertAlign w:val="superscript"/>
              </w:rPr>
              <w:t>+</w:t>
            </w:r>
            <w:r>
              <w:rPr>
                <w:rFonts w:cs="Symbol" w:ascii="Symbol" w:hAnsi="Symbol"/>
                <w:spacing w:val="1"/>
                <w:w w:val="120"/>
              </w:rPr>
              <w:t></w:t>
            </w:r>
          </w:p>
        </w:tc>
        <w:tc>
          <w:tcPr>
            <w:tcW w:w="2409"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jc w:val="center"/>
              <w:rPr/>
            </w:pPr>
            <w:r>
              <w:rPr>
                <w:spacing w:val="0"/>
              </w:rPr>
              <w:t>3% (</w:t>
            </w:r>
            <w:r>
              <w:rPr>
                <w:spacing w:val="9"/>
                <w:lang w:val="en-US"/>
              </w:rPr>
              <w:t>called</w:t>
            </w:r>
            <w:r>
              <w:rPr>
                <w:spacing w:val="9"/>
              </w:rPr>
              <w:t xml:space="preserve"> </w:t>
            </w:r>
            <w:r>
              <w:rPr>
                <w:spacing w:val="0"/>
              </w:rPr>
              <w:t>K</w:t>
            </w:r>
            <w:r>
              <w:rPr>
                <w:rFonts w:cs="Symbol" w:ascii="Symbol" w:hAnsi="Symbol"/>
                <w:spacing w:val="0"/>
                <w:vertAlign w:val="subscript"/>
              </w:rPr>
              <w:t></w:t>
            </w:r>
            <w:r>
              <w:rPr>
                <w:spacing w:val="0"/>
                <w:vertAlign w:val="subscript"/>
              </w:rPr>
              <w:t>3</w:t>
            </w:r>
            <w:r>
              <w:rPr>
                <w:spacing w:val="0"/>
                <w:vertAlign w:val="superscript"/>
              </w:rPr>
              <w:t>+</w:t>
            </w:r>
            <w:r>
              <w:rPr>
                <w:spacing w:val="0"/>
              </w:rPr>
              <w:t>)</w:t>
            </w:r>
          </w:p>
        </w:tc>
        <w:tc>
          <w:tcPr>
            <w:tcW w:w="39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 w:type="dxa"/>
            </w:tcMar>
          </w:tcPr>
          <w:p>
            <w:pPr>
              <w:pStyle w:val="Normal"/>
              <w:shd w:val="clear" w:color="auto" w:fill="FFFFFF"/>
              <w:snapToGrid w:val="false"/>
              <w:rPr/>
            </w:pPr>
            <w:r>
              <w:rPr>
                <w:spacing w:val="5"/>
              </w:rPr>
              <w:t xml:space="preserve">Photon Veto, </w:t>
            </w:r>
            <w:r>
              <w:rPr>
                <w:rFonts w:cs="Symbol" w:ascii="Symbol" w:hAnsi="Symbol"/>
                <w:spacing w:val="5"/>
              </w:rPr>
              <w:t></w:t>
            </w:r>
            <w:r>
              <w:rPr>
                <w:i/>
                <w:iCs/>
                <w:spacing w:val="5"/>
              </w:rPr>
              <w:t xml:space="preserve"> </w:t>
            </w:r>
            <w:r>
              <w:rPr>
                <w:spacing w:val="5"/>
              </w:rPr>
              <w:t>PID</w:t>
            </w:r>
          </w:p>
        </w:tc>
      </w:tr>
      <w:tr>
        <w:trPr>
          <w:trHeight w:val="394" w:hRule="exact"/>
        </w:trPr>
        <w:tc>
          <w:tcPr>
            <w:tcW w:w="2006"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rPr/>
            </w:pPr>
            <w:r>
              <w:rPr>
                <w:spacing w:val="1"/>
                <w:w w:val="120"/>
              </w:rPr>
              <w:t>K</w:t>
            </w:r>
            <w:r>
              <w:rPr>
                <w:spacing w:val="1"/>
                <w:w w:val="120"/>
                <w:vertAlign w:val="superscript"/>
              </w:rPr>
              <w:t>+</w:t>
            </w:r>
            <w:r>
              <w:rPr>
                <w:spacing w:val="1"/>
                <w:w w:val="120"/>
              </w:rPr>
              <w:t xml:space="preserve"> </w:t>
            </w:r>
            <w:r>
              <w:rPr>
                <w:rFonts w:cs="Symbol" w:ascii="Symbol" w:hAnsi="Symbol"/>
                <w:spacing w:val="1"/>
                <w:w w:val="120"/>
              </w:rPr>
              <w:t></w:t>
            </w:r>
            <w:r>
              <w:rPr>
                <w:spacing w:val="1"/>
                <w:w w:val="120"/>
                <w:vertAlign w:val="superscript"/>
              </w:rPr>
              <w:t>0</w:t>
            </w:r>
            <w:r>
              <w:rPr>
                <w:spacing w:val="1"/>
                <w:w w:val="120"/>
              </w:rPr>
              <w:t>e</w:t>
            </w:r>
            <w:r>
              <w:rPr>
                <w:spacing w:val="1"/>
                <w:w w:val="120"/>
                <w:vertAlign w:val="superscript"/>
              </w:rPr>
              <w:t>+</w:t>
            </w:r>
            <w:r>
              <w:rPr>
                <w:rFonts w:cs="Symbol" w:ascii="Symbol" w:hAnsi="Symbol"/>
                <w:spacing w:val="1"/>
                <w:w w:val="120"/>
              </w:rPr>
              <w:t></w:t>
            </w:r>
          </w:p>
        </w:tc>
        <w:tc>
          <w:tcPr>
            <w:tcW w:w="2409" w:type="dxa"/>
            <w:tcBorders>
              <w:top w:val="single" w:sz="4" w:space="0" w:color="000001"/>
              <w:left w:val="single" w:sz="4" w:space="0" w:color="000001"/>
              <w:bottom w:val="single" w:sz="4" w:space="0" w:color="000001"/>
              <w:insideH w:val="single" w:sz="4" w:space="0" w:color="000001"/>
            </w:tcBorders>
            <w:shd w:color="auto" w:fill="FFFFFF" w:val="clear"/>
            <w:tcMar>
              <w:left w:w="10" w:type="dxa"/>
            </w:tcMar>
          </w:tcPr>
          <w:p>
            <w:pPr>
              <w:pStyle w:val="Normal"/>
              <w:shd w:val="clear" w:color="auto" w:fill="FFFFFF"/>
              <w:jc w:val="center"/>
              <w:rPr/>
            </w:pPr>
            <w:r>
              <w:rPr>
                <w:spacing w:val="0"/>
              </w:rPr>
              <w:t>5% (</w:t>
            </w:r>
            <w:r>
              <w:rPr>
                <w:spacing w:val="9"/>
                <w:lang w:val="en-US"/>
              </w:rPr>
              <w:t>called</w:t>
            </w:r>
            <w:r>
              <w:rPr>
                <w:spacing w:val="9"/>
              </w:rPr>
              <w:t xml:space="preserve"> </w:t>
            </w:r>
            <w:r>
              <w:rPr>
                <w:spacing w:val="0"/>
              </w:rPr>
              <w:t>K</w:t>
            </w:r>
            <w:r>
              <w:rPr>
                <w:spacing w:val="0"/>
                <w:vertAlign w:val="subscript"/>
              </w:rPr>
              <w:t>e3</w:t>
            </w:r>
            <w:r>
              <w:rPr>
                <w:spacing w:val="0"/>
                <w:vertAlign w:val="superscript"/>
              </w:rPr>
              <w:t>+</w:t>
            </w:r>
            <w:r>
              <w:rPr>
                <w:spacing w:val="0"/>
              </w:rPr>
              <w:t>)</w:t>
            </w:r>
          </w:p>
        </w:tc>
        <w:tc>
          <w:tcPr>
            <w:tcW w:w="39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 w:type="dxa"/>
            </w:tcMar>
          </w:tcPr>
          <w:p>
            <w:pPr>
              <w:pStyle w:val="Normal"/>
              <w:shd w:val="clear" w:color="auto" w:fill="FFFFFF"/>
              <w:snapToGrid w:val="false"/>
              <w:rPr/>
            </w:pPr>
            <w:r>
              <w:rPr>
                <w:spacing w:val="9"/>
              </w:rPr>
              <w:t xml:space="preserve">Photon veto, </w:t>
            </w:r>
            <w:r>
              <w:rPr>
                <w:i/>
                <w:iCs/>
                <w:spacing w:val="9"/>
              </w:rPr>
              <w:t>E/p</w:t>
            </w:r>
          </w:p>
        </w:tc>
      </w:tr>
    </w:tbl>
    <w:p>
      <w:pPr>
        <w:pStyle w:val="Normal"/>
        <w:shd w:val="clear" w:color="auto" w:fill="FFFFFF"/>
        <w:spacing w:before="120" w:after="0"/>
        <w:ind w:right="0" w:hanging="0"/>
        <w:jc w:val="both"/>
        <w:rPr/>
      </w:pPr>
      <w:r>
        <w:rPr/>
      </w:r>
    </w:p>
    <w:p>
      <w:pPr>
        <w:pStyle w:val="Normal"/>
        <w:shd w:val="clear" w:color="auto" w:fill="FFFFFF"/>
        <w:spacing w:before="120" w:after="0"/>
        <w:ind w:right="0" w:hanging="0"/>
        <w:rPr>
          <w:spacing w:val="4"/>
          <w:lang w:val="en-US"/>
        </w:rPr>
      </w:pPr>
      <w:r>
        <w:rPr>
          <w:b/>
          <w:bCs/>
          <w:spacing w:val="4"/>
          <w:u w:val="single"/>
          <w:lang w:val="en-US"/>
        </w:rPr>
        <w:t>Additional physical goals</w:t>
      </w:r>
    </w:p>
    <w:p>
      <w:pPr>
        <w:pStyle w:val="Normal"/>
        <w:shd w:val="clear" w:color="auto" w:fill="FFFFFF"/>
        <w:spacing w:before="120" w:after="0"/>
        <w:ind w:right="0" w:firstLine="720"/>
        <w:jc w:val="both"/>
        <w:rPr>
          <w:lang w:val="en-US"/>
        </w:rPr>
      </w:pPr>
      <w:r>
        <w:rPr>
          <w:spacing w:val="4"/>
          <w:lang w:val="en-US"/>
        </w:rPr>
        <w:t xml:space="preserve">Apart from the main goal, NA62 collaboration plans to investigate a series of the kaon rare decay modes. JINR group participates in the analysis of the four-lepton decays </w:t>
      </w:r>
      <w:r>
        <w:rPr>
          <w:spacing w:val="1"/>
          <w:w w:val="120"/>
          <w:lang w:val="en-US"/>
        </w:rPr>
        <w:t>K</w:t>
      </w:r>
      <w:r>
        <w:rPr>
          <w:spacing w:val="1"/>
          <w:w w:val="120"/>
          <w:vertAlign w:val="superscript"/>
          <w:lang w:val="en-US"/>
        </w:rPr>
        <w:t>+</w:t>
      </w:r>
      <w:bookmarkStart w:id="23" w:name="__DdeLink__2145_2207224772"/>
      <w:r>
        <w:rPr>
          <w:rFonts w:cs="Symbol" w:ascii="Symbol" w:hAnsi="Symbol"/>
          <w:spacing w:val="1"/>
          <w:w w:val="120"/>
        </w:rPr>
        <w:t></w:t>
      </w:r>
      <w:bookmarkEnd w:id="23"/>
      <w:r>
        <w:rPr>
          <w:rFonts w:eastAsia="Wingdings" w:cs="Liberation Serif" w:ascii="Liberation Serif" w:hAnsi="Liberation Serif"/>
          <w:bCs/>
          <w:spacing w:val="4"/>
          <w:lang w:val="en-US"/>
        </w:rPr>
        <w:t>e</w:t>
      </w:r>
      <w:r>
        <w:rPr>
          <w:rFonts w:eastAsia="Wingdings" w:cs="Wingdings"/>
          <w:bCs/>
          <w:spacing w:val="4"/>
          <w:vertAlign w:val="superscript"/>
          <w:lang w:val="en-US"/>
        </w:rPr>
        <w:t>+</w:t>
      </w:r>
      <w:r>
        <w:rPr>
          <w:rFonts w:eastAsia="Wingdings" w:cs="Symbol" w:ascii="Symbol" w:hAnsi="Symbol"/>
          <w:bCs/>
          <w:spacing w:val="4"/>
          <w:sz w:val="24"/>
          <w:lang w:val="en-US"/>
        </w:rPr>
        <w:t></w:t>
      </w:r>
      <w:r>
        <w:rPr>
          <w:rFonts w:eastAsia="Wingdings" w:cs="Symbol" w:ascii="Symbol" w:hAnsi="Symbol"/>
          <w:bCs/>
          <w:spacing w:val="4"/>
          <w:lang w:val="en-US"/>
        </w:rPr>
        <w:t></w:t>
      </w:r>
      <w:r>
        <w:rPr>
          <w:rFonts w:eastAsia="Wingdings"/>
          <w:bCs/>
          <w:spacing w:val="4"/>
          <w:vertAlign w:val="superscript"/>
          <w:lang w:val="en-US"/>
        </w:rPr>
        <w:t>+</w:t>
      </w:r>
      <w:r>
        <w:rPr>
          <w:rFonts w:eastAsia="Wingdings" w:cs="Symbol" w:ascii="Symbol" w:hAnsi="Symbol"/>
          <w:bCs/>
          <w:spacing w:val="4"/>
          <w:lang w:val="en-US"/>
        </w:rPr>
        <w:t></w:t>
      </w:r>
      <w:r>
        <w:rPr>
          <w:rFonts w:eastAsia="Wingdings"/>
          <w:bCs/>
          <w:spacing w:val="4"/>
          <w:vertAlign w:val="superscript"/>
          <w:lang w:val="en-US"/>
        </w:rPr>
        <w:t>-</w:t>
      </w:r>
      <w:r>
        <w:rPr>
          <w:i/>
          <w:spacing w:val="4"/>
          <w:lang w:val="en-US"/>
        </w:rPr>
        <w:t xml:space="preserve">, </w:t>
      </w:r>
      <w:r>
        <w:rPr>
          <w:spacing w:val="1"/>
          <w:w w:val="120"/>
          <w:lang w:val="en-US"/>
        </w:rPr>
        <w:t>K</w:t>
      </w:r>
      <w:r>
        <w:rPr>
          <w:spacing w:val="1"/>
          <w:w w:val="120"/>
          <w:vertAlign w:val="superscript"/>
          <w:lang w:val="en-US"/>
        </w:rPr>
        <w:t>+</w:t>
      </w:r>
      <w:r>
        <w:rPr>
          <w:rFonts w:cs="Symbol" w:ascii="Symbol" w:hAnsi="Symbol"/>
          <w:spacing w:val="1"/>
          <w:w w:val="120"/>
        </w:rPr>
        <w:t></w:t>
      </w:r>
      <w:r>
        <w:rPr>
          <w:rFonts w:eastAsia="Wingdings" w:cs="Liberation Serif" w:ascii="Liberation Serif" w:hAnsi="Liberation Serif"/>
          <w:bCs/>
          <w:spacing w:val="4"/>
          <w:lang w:val="en-US"/>
        </w:rPr>
        <w:t>e</w:t>
      </w:r>
      <w:r>
        <w:rPr>
          <w:rFonts w:eastAsia="Wingdings" w:cs="Wingdings"/>
          <w:bCs/>
          <w:spacing w:val="4"/>
          <w:vertAlign w:val="superscript"/>
          <w:lang w:val="en-US"/>
        </w:rPr>
        <w:t>+</w:t>
      </w:r>
      <w:r>
        <w:rPr>
          <w:rFonts w:eastAsia="Wingdings" w:cs="Symbol" w:ascii="Symbol" w:hAnsi="Symbol"/>
          <w:bCs/>
          <w:spacing w:val="4"/>
          <w:sz w:val="24"/>
          <w:lang w:val="en-US"/>
        </w:rPr>
        <w:t></w:t>
      </w:r>
      <w:r>
        <w:rPr>
          <w:rFonts w:eastAsia="Wingdings" w:cs="Liberation Serif" w:ascii="Liberation Serif" w:hAnsi="Liberation Serif"/>
          <w:bCs/>
          <w:spacing w:val="4"/>
          <w:lang w:val="en-US"/>
        </w:rPr>
        <w:t>e</w:t>
      </w:r>
      <w:r>
        <w:rPr>
          <w:rFonts w:eastAsia="Wingdings"/>
          <w:bCs/>
          <w:spacing w:val="4"/>
          <w:vertAlign w:val="superscript"/>
          <w:lang w:val="en-US"/>
        </w:rPr>
        <w:t>+</w:t>
      </w:r>
      <w:r>
        <w:rPr>
          <w:rFonts w:eastAsia="Wingdings" w:cs="Liberation Serif" w:ascii="Liberation Serif" w:hAnsi="Liberation Serif"/>
          <w:bCs/>
          <w:spacing w:val="4"/>
          <w:lang w:val="en-US"/>
        </w:rPr>
        <w:t>e</w:t>
      </w:r>
      <w:r>
        <w:rPr>
          <w:rFonts w:eastAsia="Wingdings"/>
          <w:bCs/>
          <w:spacing w:val="4"/>
          <w:vertAlign w:val="superscript"/>
          <w:lang w:val="en-US"/>
        </w:rPr>
        <w:t>-</w:t>
      </w:r>
      <w:r>
        <w:rPr>
          <w:i/>
          <w:spacing w:val="4"/>
          <w:lang w:val="en-US"/>
        </w:rPr>
        <w:t xml:space="preserve">, </w:t>
      </w:r>
      <w:r>
        <w:rPr>
          <w:spacing w:val="1"/>
          <w:w w:val="120"/>
          <w:lang w:val="en-US"/>
        </w:rPr>
        <w:t>K</w:t>
      </w:r>
      <w:r>
        <w:rPr>
          <w:spacing w:val="1"/>
          <w:w w:val="120"/>
          <w:vertAlign w:val="superscript"/>
          <w:lang w:val="en-US"/>
        </w:rPr>
        <w:t>+</w:t>
      </w:r>
      <w:r>
        <w:rPr>
          <w:rFonts w:cs="Symbol" w:ascii="Symbol" w:hAnsi="Symbol"/>
          <w:spacing w:val="1"/>
          <w:w w:val="120"/>
        </w:rPr>
        <w:t></w:t>
      </w:r>
      <w:r>
        <w:rPr>
          <w:rFonts w:eastAsia="Wingdings" w:cs="Symbol" w:ascii="Symbol" w:hAnsi="Symbol"/>
          <w:bCs/>
          <w:spacing w:val="4"/>
          <w:lang w:val="en-US"/>
        </w:rPr>
        <w:t></w:t>
      </w:r>
      <w:r>
        <w:rPr>
          <w:rFonts w:eastAsia="Wingdings" w:cs="Wingdings"/>
          <w:bCs/>
          <w:spacing w:val="4"/>
          <w:vertAlign w:val="superscript"/>
          <w:lang w:val="en-US"/>
        </w:rPr>
        <w:t>+</w:t>
      </w:r>
      <w:r>
        <w:rPr>
          <w:rFonts w:eastAsia="Wingdings" w:cs="Symbol" w:ascii="Symbol" w:hAnsi="Symbol"/>
          <w:bCs/>
          <w:spacing w:val="4"/>
          <w:sz w:val="24"/>
          <w:lang w:val="en-US"/>
        </w:rPr>
        <w:t></w:t>
      </w:r>
      <w:r>
        <w:rPr>
          <w:rFonts w:eastAsia="Wingdings" w:cs="Liberation Serif" w:ascii="Liberation Serif" w:hAnsi="Liberation Serif"/>
          <w:bCs/>
          <w:spacing w:val="4"/>
          <w:lang w:val="en-US"/>
        </w:rPr>
        <w:t>e</w:t>
      </w:r>
      <w:r>
        <w:rPr>
          <w:rFonts w:eastAsia="Wingdings"/>
          <w:bCs/>
          <w:spacing w:val="4"/>
          <w:vertAlign w:val="superscript"/>
          <w:lang w:val="en-US"/>
        </w:rPr>
        <w:t>+</w:t>
      </w:r>
      <w:r>
        <w:rPr>
          <w:rFonts w:eastAsia="Wingdings" w:cs="Liberation Serif" w:ascii="Liberation Serif" w:hAnsi="Liberation Serif"/>
          <w:bCs/>
          <w:spacing w:val="4"/>
          <w:lang w:val="en-US"/>
        </w:rPr>
        <w:t>e</w:t>
      </w:r>
      <w:r>
        <w:rPr>
          <w:rFonts w:eastAsia="Wingdings"/>
          <w:bCs/>
          <w:spacing w:val="4"/>
          <w:vertAlign w:val="superscript"/>
          <w:lang w:val="en-US"/>
        </w:rPr>
        <w:t>-</w:t>
      </w:r>
      <w:r>
        <w:rPr>
          <w:spacing w:val="4"/>
          <w:lang w:val="en-US"/>
        </w:rPr>
        <w:t xml:space="preserve"> and </w:t>
      </w:r>
      <w:r>
        <w:rPr>
          <w:spacing w:val="1"/>
          <w:w w:val="120"/>
          <w:lang w:val="en-US"/>
        </w:rPr>
        <w:t>K</w:t>
      </w:r>
      <w:r>
        <w:rPr>
          <w:spacing w:val="1"/>
          <w:w w:val="120"/>
          <w:vertAlign w:val="superscript"/>
          <w:lang w:val="en-US"/>
        </w:rPr>
        <w:t>+</w:t>
      </w:r>
      <w:r>
        <w:rPr>
          <w:rFonts w:cs="Symbol" w:ascii="Symbol" w:hAnsi="Symbol"/>
          <w:spacing w:val="1"/>
          <w:w w:val="120"/>
        </w:rPr>
        <w:t></w:t>
      </w:r>
      <w:r>
        <w:rPr>
          <w:rFonts w:eastAsia="Wingdings" w:cs="Symbol" w:ascii="Symbol" w:hAnsi="Symbol"/>
          <w:bCs/>
          <w:spacing w:val="4"/>
          <w:lang w:val="en-US"/>
        </w:rPr>
        <w:t></w:t>
      </w:r>
      <w:r>
        <w:rPr>
          <w:rFonts w:eastAsia="Wingdings" w:cs="Wingdings"/>
          <w:bCs/>
          <w:spacing w:val="4"/>
          <w:vertAlign w:val="superscript"/>
          <w:lang w:val="en-US"/>
        </w:rPr>
        <w:t>+</w:t>
      </w:r>
      <w:r>
        <w:rPr>
          <w:rFonts w:eastAsia="Wingdings" w:cs="Symbol" w:ascii="Symbol" w:hAnsi="Symbol"/>
          <w:bCs/>
          <w:spacing w:val="4"/>
          <w:sz w:val="24"/>
          <w:lang w:val="en-US"/>
        </w:rPr>
        <w:t></w:t>
      </w:r>
      <w:r>
        <w:rPr>
          <w:rFonts w:eastAsia="Wingdings" w:cs="Symbol" w:ascii="Symbol" w:hAnsi="Symbol"/>
          <w:bCs/>
          <w:spacing w:val="4"/>
          <w:lang w:val="en-US"/>
        </w:rPr>
        <w:t></w:t>
      </w:r>
      <w:r>
        <w:rPr>
          <w:rFonts w:eastAsia="Wingdings"/>
          <w:bCs/>
          <w:spacing w:val="4"/>
          <w:vertAlign w:val="superscript"/>
          <w:lang w:val="en-US"/>
        </w:rPr>
        <w:t>+</w:t>
      </w:r>
      <w:r>
        <w:rPr>
          <w:rFonts w:eastAsia="Wingdings" w:cs="Symbol" w:ascii="Symbol" w:hAnsi="Symbol"/>
          <w:bCs/>
          <w:spacing w:val="4"/>
          <w:lang w:val="en-US"/>
        </w:rPr>
        <w:t></w:t>
      </w:r>
      <w:r>
        <w:rPr>
          <w:rFonts w:eastAsia="Wingdings"/>
          <w:bCs/>
          <w:spacing w:val="4"/>
          <w:vertAlign w:val="superscript"/>
          <w:lang w:val="en-US"/>
        </w:rPr>
        <w:t>-</w:t>
      </w:r>
      <w:r>
        <w:rPr>
          <w:i/>
          <w:spacing w:val="4"/>
          <w:lang w:val="en-US"/>
        </w:rPr>
        <w:t xml:space="preserve"> </w:t>
      </w:r>
      <w:r>
        <w:rPr>
          <w:spacing w:val="4"/>
          <w:lang w:val="en-US"/>
        </w:rPr>
        <w:t>(not yet observed) with the branching ratios of the order of 10</w:t>
      </w:r>
      <w:r>
        <w:rPr>
          <w:spacing w:val="4"/>
          <w:sz w:val="24"/>
          <w:szCs w:val="24"/>
          <w:vertAlign w:val="superscript"/>
          <w:lang w:val="en-US"/>
        </w:rPr>
        <w:t>-8</w:t>
      </w:r>
      <w:r>
        <w:rPr>
          <w:spacing w:val="4"/>
          <w:sz w:val="24"/>
          <w:szCs w:val="24"/>
          <w:lang w:val="en-US"/>
        </w:rPr>
        <w:t>.</w:t>
      </w:r>
      <w:r>
        <w:rPr>
          <w:spacing w:val="4"/>
          <w:sz w:val="24"/>
          <w:lang w:val="en-US"/>
        </w:rPr>
        <w:t xml:space="preserve"> </w:t>
      </w:r>
      <w:r>
        <w:rPr>
          <w:spacing w:val="4"/>
          <w:szCs w:val="24"/>
          <w:lang w:val="en-US"/>
        </w:rPr>
        <w:t xml:space="preserve">Their precision measurement will improve our knowledge of the ChPT parameters and will check its validity. The search for the forbidden modes </w:t>
      </w:r>
      <w:r>
        <w:rPr>
          <w:spacing w:val="1"/>
          <w:w w:val="120"/>
          <w:szCs w:val="24"/>
          <w:lang w:val="en-US"/>
        </w:rPr>
        <w:t>K</w:t>
      </w:r>
      <w:r>
        <w:rPr>
          <w:spacing w:val="1"/>
          <w:w w:val="120"/>
          <w:szCs w:val="24"/>
          <w:vertAlign w:val="superscript"/>
          <w:lang w:val="en-US"/>
        </w:rPr>
        <w:t>+</w:t>
      </w:r>
      <w:r>
        <w:rPr>
          <w:rFonts w:cs="Symbol" w:ascii="Symbol" w:hAnsi="Symbol"/>
          <w:spacing w:val="1"/>
          <w:w w:val="120"/>
          <w:szCs w:val="24"/>
        </w:rPr>
        <w:t></w:t>
      </w:r>
      <w:r>
        <w:rPr>
          <w:rFonts w:eastAsia="Wingdings" w:cs="Liberation Serif" w:ascii="Liberation Serif" w:hAnsi="Liberation Serif"/>
          <w:bCs/>
          <w:spacing w:val="4"/>
          <w:szCs w:val="24"/>
          <w:lang w:val="en-US"/>
        </w:rPr>
        <w:t>e</w:t>
      </w:r>
      <w:r>
        <w:rPr>
          <w:rFonts w:eastAsia="Wingdings" w:cs="Wingdings"/>
          <w:bCs/>
          <w:spacing w:val="4"/>
          <w:szCs w:val="24"/>
          <w:vertAlign w:val="superscript"/>
          <w:lang w:val="en-US"/>
        </w:rPr>
        <w:t>-</w:t>
      </w:r>
      <w:r>
        <w:rPr>
          <w:rFonts w:eastAsia="Wingdings" w:cs="Symbol" w:ascii="Symbol" w:hAnsi="Symbol"/>
          <w:bCs/>
          <w:spacing w:val="4"/>
          <w:szCs w:val="24"/>
          <w:lang w:val="en-US"/>
        </w:rPr>
        <w:t></w:t>
      </w:r>
      <w:r>
        <w:rPr>
          <w:rFonts w:eastAsia="Wingdings"/>
          <w:bCs/>
          <w:spacing w:val="4"/>
          <w:szCs w:val="24"/>
          <w:vertAlign w:val="superscript"/>
          <w:lang w:val="en-US"/>
        </w:rPr>
        <w:t>+</w:t>
      </w:r>
      <w:r>
        <w:rPr>
          <w:rFonts w:eastAsia="Wingdings" w:cs="Symbol" w:ascii="Symbol" w:hAnsi="Symbol"/>
          <w:bCs/>
          <w:spacing w:val="4"/>
          <w:szCs w:val="24"/>
          <w:lang w:val="en-US"/>
        </w:rPr>
        <w:t></w:t>
      </w:r>
      <w:r>
        <w:rPr>
          <w:rFonts w:eastAsia="Wingdings"/>
          <w:bCs/>
          <w:spacing w:val="4"/>
          <w:szCs w:val="24"/>
          <w:vertAlign w:val="superscript"/>
          <w:lang w:val="en-US"/>
        </w:rPr>
        <w:t>+</w:t>
      </w:r>
      <w:r>
        <w:rPr>
          <w:i/>
          <w:spacing w:val="4"/>
          <w:szCs w:val="24"/>
          <w:lang w:val="en-US"/>
        </w:rPr>
        <w:t xml:space="preserve">, </w:t>
      </w:r>
      <w:r>
        <w:rPr>
          <w:spacing w:val="1"/>
          <w:w w:val="120"/>
          <w:szCs w:val="24"/>
          <w:lang w:val="en-US"/>
        </w:rPr>
        <w:t>K</w:t>
      </w:r>
      <w:r>
        <w:rPr>
          <w:spacing w:val="1"/>
          <w:w w:val="120"/>
          <w:szCs w:val="24"/>
          <w:vertAlign w:val="superscript"/>
          <w:lang w:val="en-US"/>
        </w:rPr>
        <w:t>+</w:t>
      </w:r>
      <w:r>
        <w:rPr>
          <w:rFonts w:cs="Symbol" w:ascii="Symbol" w:hAnsi="Symbol"/>
          <w:spacing w:val="1"/>
          <w:w w:val="120"/>
          <w:szCs w:val="24"/>
        </w:rPr>
        <w:t></w:t>
      </w:r>
      <w:r>
        <w:rPr>
          <w:rFonts w:eastAsia="Wingdings" w:cs="Symbol" w:ascii="Symbol" w:hAnsi="Symbol"/>
          <w:bCs/>
          <w:spacing w:val="4"/>
          <w:szCs w:val="24"/>
          <w:lang w:val="en-US"/>
        </w:rPr>
        <w:t></w:t>
      </w:r>
      <w:r>
        <w:rPr>
          <w:rFonts w:eastAsia="Wingdings" w:cs="Wingdings"/>
          <w:bCs/>
          <w:spacing w:val="4"/>
          <w:szCs w:val="24"/>
          <w:vertAlign w:val="superscript"/>
          <w:lang w:val="en-US"/>
        </w:rPr>
        <w:t>-</w:t>
      </w:r>
      <w:r>
        <w:rPr>
          <w:rFonts w:eastAsia="Wingdings" w:cs="Symbol" w:ascii="Symbol" w:hAnsi="Symbol"/>
          <w:bCs/>
          <w:spacing w:val="4"/>
          <w:szCs w:val="24"/>
          <w:lang w:val="en-US"/>
        </w:rPr>
        <w:t></w:t>
      </w:r>
      <w:r>
        <w:rPr>
          <w:rFonts w:eastAsia="Wingdings" w:cs="Liberation Serif" w:ascii="Liberation Serif" w:hAnsi="Liberation Serif"/>
          <w:bCs/>
          <w:spacing w:val="4"/>
          <w:szCs w:val="24"/>
          <w:lang w:val="en-US"/>
        </w:rPr>
        <w:t>e</w:t>
      </w:r>
      <w:r>
        <w:rPr>
          <w:rFonts w:eastAsia="Wingdings"/>
          <w:bCs/>
          <w:spacing w:val="4"/>
          <w:szCs w:val="24"/>
          <w:vertAlign w:val="superscript"/>
          <w:lang w:val="en-US"/>
        </w:rPr>
        <w:t>+</w:t>
      </w:r>
      <w:r>
        <w:rPr>
          <w:rFonts w:eastAsia="Wingdings" w:cs="Liberation Serif" w:ascii="Liberation Serif" w:hAnsi="Liberation Serif"/>
          <w:bCs/>
          <w:spacing w:val="4"/>
          <w:szCs w:val="24"/>
          <w:lang w:val="en-US"/>
        </w:rPr>
        <w:t>e</w:t>
      </w:r>
      <w:r>
        <w:rPr>
          <w:rFonts w:eastAsia="Wingdings"/>
          <w:bCs/>
          <w:spacing w:val="4"/>
          <w:szCs w:val="24"/>
          <w:vertAlign w:val="superscript"/>
          <w:lang w:val="en-US"/>
        </w:rPr>
        <w:t xml:space="preserve">+ </w:t>
      </w:r>
      <w:r>
        <w:rPr>
          <w:rFonts w:eastAsia="Wingdings"/>
          <w:bCs/>
          <w:spacing w:val="4"/>
          <w:szCs w:val="24"/>
          <w:lang w:val="en-US"/>
        </w:rPr>
        <w:t>is also foreseen in order to check the limits of SM.</w:t>
      </w:r>
    </w:p>
    <w:p>
      <w:pPr>
        <w:pStyle w:val="Normal"/>
        <w:ind w:firstLine="720"/>
        <w:jc w:val="both"/>
        <w:rPr/>
      </w:pPr>
      <w:r>
        <w:rPr>
          <w:lang w:val="en-US"/>
        </w:rPr>
        <w:t xml:space="preserve">As it is mentioned above, large statistics of kaon decays in the proposed experiment and the presence of detectors for precise measurement of incoming charged kaon and its decay products kinematics provide us with a possibility to check the prediction [6] about the existence of Goldstone fermion superpartners — pseudoscalar sgoldstino </w:t>
      </w:r>
      <w:r>
        <w:rPr>
          <w:i/>
          <w:lang w:val="en-US"/>
        </w:rPr>
        <w:t>P</w:t>
      </w:r>
      <w:r>
        <w:rPr>
          <w:lang w:val="en-US"/>
        </w:rPr>
        <w:t xml:space="preserve"> (see Figure 4, left part). The </w:t>
      </w:r>
      <w:r>
        <w:rPr>
          <w:bCs/>
          <w:lang w:val="en-US"/>
        </w:rPr>
        <w:t xml:space="preserve">HyperCP experiment [7] has registered 3 decays </w:t>
      </w:r>
      <w:r>
        <w:rPr>
          <w:rFonts w:cs="Symbol" w:ascii="Symbol" w:hAnsi="Symbol"/>
          <w:bCs/>
        </w:rPr>
        <w:t></w:t>
      </w:r>
      <w:r>
        <w:rPr>
          <w:rFonts w:cs="Symbol" w:ascii="Symbol" w:hAnsi="Symbol"/>
          <w:bCs/>
          <w:spacing w:val="1"/>
          <w:w w:val="120"/>
        </w:rPr>
        <w:t></w:t>
      </w:r>
      <w:r>
        <w:rPr>
          <w:rFonts w:eastAsia="Wingdings" w:cs="Wingdings"/>
          <w:bCs/>
          <w:lang w:val="en-US"/>
        </w:rPr>
        <w:t xml:space="preserve"> </w:t>
      </w:r>
      <w:r>
        <w:rPr>
          <w:rFonts w:eastAsia="Wingdings" w:cs="Symbol" w:ascii="Symbol" w:hAnsi="Symbol"/>
          <w:bCs/>
          <w:lang w:val="en-US"/>
        </w:rPr>
        <w:t></w:t>
      </w:r>
      <w:r>
        <w:rPr>
          <w:rFonts w:eastAsia="Wingdings" w:cs="Symbol" w:ascii="Symbol" w:hAnsi="Symbol"/>
          <w:bCs/>
        </w:rPr>
        <w:t></w:t>
      </w:r>
      <w:r>
        <w:rPr>
          <w:rFonts w:eastAsia="Wingdings"/>
          <w:bCs/>
          <w:vertAlign w:val="superscript"/>
          <w:lang w:val="en-US"/>
        </w:rPr>
        <w:t>+</w:t>
      </w:r>
      <w:r>
        <w:rPr>
          <w:rFonts w:eastAsia="Wingdings" w:cs="Symbol" w:ascii="Symbol" w:hAnsi="Symbol"/>
          <w:bCs/>
        </w:rPr>
        <w:t></w:t>
      </w:r>
      <w:r>
        <w:rPr>
          <w:rFonts w:eastAsia="Wingdings"/>
          <w:bCs/>
          <w:vertAlign w:val="superscript"/>
          <w:lang w:val="en-US"/>
        </w:rPr>
        <w:t>-</w:t>
      </w:r>
      <w:r>
        <w:rPr>
          <w:rFonts w:eastAsia="Wingdings"/>
          <w:bCs/>
          <w:i/>
          <w:iCs/>
          <w:vertAlign w:val="superscript"/>
          <w:lang w:val="en-US"/>
        </w:rPr>
        <w:t xml:space="preserve"> </w:t>
      </w:r>
      <w:r>
        <w:rPr>
          <w:rFonts w:eastAsia="Wingdings"/>
          <w:bCs/>
          <w:lang w:val="en-US"/>
        </w:rPr>
        <w:t>where the mass of P</w:t>
      </w:r>
      <w:r>
        <w:rPr>
          <w:rFonts w:eastAsia="Wingdings" w:cs="Symbol" w:ascii="Symbol" w:hAnsi="Symbol"/>
          <w:bCs/>
          <w:spacing w:val="1"/>
          <w:w w:val="120"/>
          <w:lang w:val="en-US"/>
        </w:rPr>
        <w:t></w:t>
      </w:r>
      <w:r>
        <w:rPr>
          <w:rFonts w:eastAsia="Wingdings"/>
          <w:bCs/>
          <w:lang w:val="en-US"/>
        </w:rPr>
        <w:t xml:space="preserve"> </w:t>
      </w:r>
      <w:r>
        <w:rPr>
          <w:rFonts w:eastAsia="Wingdings" w:cs="Symbol" w:ascii="Symbol" w:hAnsi="Symbol"/>
          <w:bCs/>
        </w:rPr>
        <w:t></w:t>
      </w:r>
      <w:r>
        <w:rPr>
          <w:rFonts w:eastAsia="Wingdings"/>
          <w:bCs/>
          <w:vertAlign w:val="superscript"/>
          <w:lang w:val="en-US"/>
        </w:rPr>
        <w:t>+</w:t>
      </w:r>
      <w:r>
        <w:rPr>
          <w:rFonts w:eastAsia="Wingdings" w:cs="Symbol" w:ascii="Symbol" w:hAnsi="Symbol"/>
          <w:bCs/>
        </w:rPr>
        <w:t></w:t>
      </w:r>
      <w:r>
        <w:rPr>
          <w:rFonts w:eastAsia="Wingdings"/>
          <w:bCs/>
          <w:vertAlign w:val="superscript"/>
          <w:lang w:val="en-US"/>
        </w:rPr>
        <w:t>-</w:t>
      </w:r>
      <w:r>
        <w:rPr>
          <w:rFonts w:eastAsia="Wingdings"/>
          <w:bCs/>
          <w:lang w:val="en-US"/>
        </w:rPr>
        <w:t xml:space="preserve">, if it exists, is 214.3 MeV. Taking into account, that the doubled muon rest mass is 211.3 MeV, muons have to be generated almost in rest in the kaon system (full decay free energy in such a case is 4.83 MeV). So both charged pion and muons could move along the beam axis and avoid the detector sensitive areas in the NA48/2 experiment. But in the NA62 experiment the precise measurement of incoming </w:t>
      </w:r>
      <w:r>
        <w:rPr>
          <w:rFonts w:eastAsia="Wingdings"/>
          <w:bCs/>
          <w:i/>
          <w:iCs/>
          <w:lang w:val="en-US"/>
        </w:rPr>
        <w:t>K</w:t>
      </w:r>
      <w:r>
        <w:rPr>
          <w:rFonts w:eastAsia="Wingdings"/>
          <w:bCs/>
          <w:i/>
          <w:iCs/>
          <w:vertAlign w:val="superscript"/>
          <w:lang w:val="en-US"/>
        </w:rPr>
        <w:t xml:space="preserve">+ </w:t>
      </w:r>
      <w:r>
        <w:rPr>
          <w:rFonts w:eastAsia="Wingdings"/>
          <w:bCs/>
          <w:lang w:val="en-US"/>
        </w:rPr>
        <w:t xml:space="preserve">parameters provides a possibility to reconstruct the complete event kinematics without </w:t>
      </w:r>
      <w:r>
        <w:rPr>
          <w:rFonts w:eastAsia="Wingdings" w:cs="Symbol" w:ascii="Symbol" w:hAnsi="Symbol"/>
          <w:bCs/>
        </w:rPr>
        <w:t></w:t>
      </w:r>
      <w:r>
        <w:rPr>
          <w:rFonts w:eastAsia="Wingdings"/>
          <w:bCs/>
          <w:vertAlign w:val="superscript"/>
          <w:lang w:val="en-US"/>
        </w:rPr>
        <w:t>+</w:t>
      </w:r>
      <w:r>
        <w:rPr>
          <w:rFonts w:eastAsia="Wingdings"/>
          <w:bCs/>
          <w:i/>
          <w:iCs/>
          <w:vertAlign w:val="superscript"/>
          <w:lang w:val="en-US"/>
        </w:rPr>
        <w:t xml:space="preserve"> </w:t>
      </w:r>
      <w:r>
        <w:rPr>
          <w:rFonts w:eastAsia="Wingdings"/>
          <w:bCs/>
          <w:lang w:val="en-US"/>
        </w:rPr>
        <w:t>registering for the decay P</w:t>
      </w:r>
      <w:r>
        <w:rPr>
          <w:rFonts w:eastAsia="Wingdings" w:cs="Symbol" w:ascii="Symbol" w:hAnsi="Symbol"/>
          <w:bCs/>
          <w:spacing w:val="1"/>
          <w:w w:val="120"/>
          <w:lang w:val="en-US"/>
        </w:rPr>
        <w:t></w:t>
      </w:r>
      <w:r>
        <w:rPr>
          <w:rFonts w:eastAsia="Wingdings" w:cs="Wingdings"/>
          <w:bCs/>
          <w:lang w:val="en-US"/>
        </w:rPr>
        <w:t xml:space="preserve"> </w:t>
      </w:r>
      <w:r>
        <w:rPr>
          <w:rFonts w:eastAsia="Wingdings" w:cs="Symbol" w:ascii="Symbol" w:hAnsi="Symbol"/>
          <w:bCs/>
        </w:rPr>
        <w:t></w:t>
      </w:r>
      <w:r>
        <w:rPr>
          <w:rFonts w:eastAsia="Wingdings"/>
          <w:bCs/>
          <w:lang w:val="en-US"/>
        </w:rPr>
        <w:t>. Moreover, for the case of decay P</w:t>
      </w:r>
      <w:r>
        <w:rPr>
          <w:rFonts w:eastAsia="Wingdings" w:cs="Symbol" w:ascii="Symbol" w:hAnsi="Symbol"/>
          <w:bCs/>
          <w:spacing w:val="1"/>
          <w:w w:val="120"/>
          <w:lang w:val="en-US"/>
        </w:rPr>
        <w:t></w:t>
      </w:r>
      <w:r>
        <w:rPr>
          <w:rFonts w:eastAsia="Wingdings"/>
          <w:bCs/>
          <w:lang w:val="en-US"/>
        </w:rPr>
        <w:t xml:space="preserve"> </w:t>
      </w:r>
      <w:r>
        <w:rPr>
          <w:rFonts w:eastAsia="Wingdings" w:cs="Symbol" w:ascii="Symbol" w:hAnsi="Symbol"/>
          <w:bCs/>
        </w:rPr>
        <w:t></w:t>
      </w:r>
      <w:r>
        <w:rPr>
          <w:rFonts w:eastAsia="Wingdings"/>
          <w:bCs/>
          <w:vertAlign w:val="superscript"/>
          <w:lang w:val="en-US"/>
        </w:rPr>
        <w:t>+</w:t>
      </w:r>
      <w:r>
        <w:rPr>
          <w:rFonts w:eastAsia="Wingdings" w:cs="Symbol" w:ascii="Symbol" w:hAnsi="Symbol"/>
          <w:bCs/>
        </w:rPr>
        <w:t></w:t>
      </w:r>
      <w:r>
        <w:rPr>
          <w:rFonts w:eastAsia="Wingdings"/>
          <w:bCs/>
          <w:vertAlign w:val="superscript"/>
          <w:lang w:val="en-US"/>
        </w:rPr>
        <w:t>-</w:t>
      </w:r>
      <w:r>
        <w:rPr>
          <w:rFonts w:eastAsia="Wingdings"/>
          <w:bCs/>
          <w:lang w:val="en-US"/>
        </w:rPr>
        <w:t xml:space="preserve"> and with one lost track it is still possible to use the tracker information about two another tracks downstream the magnet (their momenta will be &lt; 20 GeV, so they will not follow the charged beam after magnet) and the RICH data. </w:t>
      </w:r>
    </w:p>
    <w:p>
      <w:pPr>
        <w:pStyle w:val="Normal"/>
        <w:ind w:firstLine="567"/>
        <w:jc w:val="both"/>
        <w:rPr>
          <w:rFonts w:eastAsia="Wingdings"/>
          <w:bCs/>
          <w:lang w:val="en-US"/>
        </w:rPr>
      </w:pPr>
      <w:r>
        <w:rPr>
          <w:rFonts w:eastAsia="Wingdings"/>
          <w:bCs/>
          <w:lang w:val="en-US"/>
        </w:rPr>
        <w:t>It is planned to register ~100 events of decay with branching ratio ~10</w:t>
      </w:r>
      <w:r>
        <w:rPr>
          <w:rFonts w:eastAsia="Wingdings"/>
          <w:bCs/>
          <w:vertAlign w:val="superscript"/>
          <w:lang w:val="en-US"/>
        </w:rPr>
        <w:t xml:space="preserve">-10 </w:t>
      </w:r>
      <w:r>
        <w:rPr>
          <w:rFonts w:eastAsia="Wingdings"/>
          <w:bCs/>
          <w:lang w:val="en-US"/>
        </w:rPr>
        <w:t xml:space="preserve">and with an acceptance of about 10% in the NA62 experiment. This means that it will be possible to register about 50 of </w:t>
      </w:r>
      <w:r>
        <w:rPr>
          <w:rFonts w:eastAsia="Wingdings" w:cs="Symbol" w:ascii="Symbol" w:hAnsi="Symbol"/>
          <w:bCs/>
        </w:rPr>
        <w:t></w:t>
      </w:r>
      <w:r>
        <w:rPr>
          <w:rFonts w:eastAsia="Wingdings"/>
          <w:bCs/>
          <w:vertAlign w:val="superscript"/>
          <w:lang w:val="en-US"/>
        </w:rPr>
        <w:t>+</w:t>
      </w:r>
      <w:r>
        <w:rPr>
          <w:rFonts w:eastAsia="Wingdings" w:cs="Symbol" w:ascii="Symbol" w:hAnsi="Symbol"/>
          <w:bCs/>
        </w:rPr>
        <w:t></w:t>
      </w:r>
      <w:r>
        <w:rPr>
          <w:rFonts w:eastAsia="Wingdings"/>
          <w:bCs/>
          <w:vertAlign w:val="superscript"/>
          <w:lang w:val="en-US"/>
        </w:rPr>
        <w:t>0</w:t>
      </w:r>
      <w:r>
        <w:rPr>
          <w:rFonts w:eastAsia="Wingdings"/>
          <w:bCs/>
          <w:lang w:val="en-US"/>
        </w:rPr>
        <w:t>P</w:t>
      </w:r>
      <w:r>
        <w:rPr>
          <w:rFonts w:eastAsia="Wingdings"/>
          <w:bCs/>
          <w:i/>
          <w:iCs/>
          <w:lang w:val="en-US"/>
        </w:rPr>
        <w:t xml:space="preserve"> </w:t>
      </w:r>
      <w:r>
        <w:rPr>
          <w:rFonts w:eastAsia="Wingdings"/>
          <w:bCs/>
          <w:lang w:val="en-US"/>
        </w:rPr>
        <w:t xml:space="preserve">decays, similar to </w:t>
      </w:r>
      <w:r>
        <w:rPr>
          <w:rFonts w:eastAsia="Wingdings" w:cs="Symbol" w:ascii="Symbol" w:hAnsi="Symbol"/>
          <w:bCs/>
        </w:rPr>
        <w:t></w:t>
      </w:r>
      <w:r>
        <w:rPr>
          <w:rFonts w:eastAsia="Wingdings"/>
          <w:bCs/>
          <w:vertAlign w:val="superscript"/>
          <w:lang w:val="en-US"/>
        </w:rPr>
        <w:t>+</w:t>
      </w:r>
      <w:r>
        <w:rPr>
          <w:rFonts w:eastAsia="Wingdings" w:cs="Symbol" w:ascii="Symbol" w:hAnsi="Symbol"/>
          <w:bCs/>
        </w:rPr>
        <w:t></w:t>
      </w:r>
      <w:r>
        <w:rPr>
          <w:rFonts w:eastAsia="Wingdings"/>
          <w:bCs/>
          <w:vertAlign w:val="superscript"/>
          <w:lang w:val="en-US"/>
        </w:rPr>
        <w:t>0</w:t>
      </w:r>
      <w:r>
        <w:rPr>
          <w:rFonts w:eastAsia="Wingdings" w:cs="Symbol" w:ascii="Symbol" w:hAnsi="Symbol"/>
          <w:bCs/>
        </w:rPr>
        <w:t></w:t>
      </w:r>
      <w:r>
        <w:rPr>
          <w:rFonts w:eastAsia="Wingdings"/>
          <w:bCs/>
          <w:vertAlign w:val="superscript"/>
          <w:lang w:val="en-US"/>
        </w:rPr>
        <w:t>0</w:t>
      </w:r>
      <w:r>
        <w:rPr>
          <w:rFonts w:eastAsia="Wingdings"/>
          <w:bCs/>
          <w:i/>
          <w:iCs/>
          <w:vertAlign w:val="superscript"/>
          <w:lang w:val="en-US"/>
        </w:rPr>
        <w:t xml:space="preserve"> </w:t>
      </w:r>
      <w:r>
        <w:rPr>
          <w:rFonts w:eastAsia="Wingdings"/>
          <w:bCs/>
          <w:lang w:val="en-US"/>
        </w:rPr>
        <w:t xml:space="preserve"> (acceptance 5%), even with a trigger, downscaled by a factor of 100 for the upper limit of branching ratio near 10</w:t>
      </w:r>
      <w:r>
        <w:rPr>
          <w:rFonts w:eastAsia="Wingdings"/>
          <w:bCs/>
          <w:vertAlign w:val="superscript"/>
          <w:lang w:val="en-US"/>
        </w:rPr>
        <w:t>-8</w:t>
      </w:r>
      <w:r>
        <w:rPr>
          <w:rFonts w:eastAsia="Wingdings"/>
          <w:bCs/>
          <w:lang w:val="en-US"/>
        </w:rPr>
        <w:t>, that is three orders of magnitude lower, than the limit from ISTRA experiment [8] (see Figure 4, right part).</w:t>
      </w:r>
    </w:p>
    <w:p>
      <w:pPr>
        <w:pStyle w:val="Normal"/>
        <w:ind w:firstLine="567"/>
        <w:jc w:val="both"/>
        <w:rPr>
          <w:rFonts w:eastAsia="Wingdings"/>
          <w:bCs/>
          <w:lang w:val="en-US"/>
        </w:rPr>
      </w:pPr>
      <w:r>
        <w:rPr>
          <w:rFonts w:eastAsia="Wingdings"/>
          <w:bCs/>
          <w:lang w:val="en-US"/>
        </w:rPr>
      </w:r>
    </w:p>
    <w:p>
      <w:pPr>
        <w:pStyle w:val="Normal"/>
        <w:ind w:firstLine="567"/>
        <w:jc w:val="both"/>
        <w:rPr>
          <w:rFonts w:eastAsia="Wingdings"/>
          <w:bCs/>
          <w:color w:val="FF0000"/>
          <w:spacing w:val="4"/>
          <w:lang w:val="en-US" w:eastAsia="ru-RU"/>
        </w:rPr>
      </w:pPr>
      <w:r>
        <w:rPr>
          <w:rFonts w:eastAsia="Wingdings"/>
          <w:bCs/>
          <w:color w:val="FF0000"/>
          <w:spacing w:val="4"/>
          <w:lang w:val="en-US" w:eastAsia="ru-RU"/>
        </w:rPr>
        <w:drawing>
          <wp:anchor behindDoc="0" distT="0" distB="0" distL="133985" distR="117475" simplePos="0" locked="0" layoutInCell="1" allowOverlap="1" relativeHeight="2">
            <wp:simplePos x="0" y="0"/>
            <wp:positionH relativeFrom="column">
              <wp:posOffset>3742055</wp:posOffset>
            </wp:positionH>
            <wp:positionV relativeFrom="paragraph">
              <wp:posOffset>23495</wp:posOffset>
            </wp:positionV>
            <wp:extent cx="1788160" cy="2025015"/>
            <wp:effectExtent l="0" t="0" r="0" b="0"/>
            <wp:wrapSquare wrapText="bothSides"/>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6"/>
                    <a:stretch>
                      <a:fillRect/>
                    </a:stretch>
                  </pic:blipFill>
                  <pic:spPr bwMode="auto">
                    <a:xfrm>
                      <a:off x="0" y="0"/>
                      <a:ext cx="1788160" cy="2025015"/>
                    </a:xfrm>
                    <a:prstGeom prst="rect">
                      <a:avLst/>
                    </a:prstGeom>
                  </pic:spPr>
                </pic:pic>
              </a:graphicData>
            </a:graphic>
          </wp:anchor>
        </w:drawing>
      </w:r>
    </w:p>
    <w:p>
      <w:pPr>
        <w:pStyle w:val="Normal"/>
        <w:jc w:val="both"/>
        <w:rPr>
          <w:rFonts w:eastAsia="Wingdings"/>
          <w:bCs/>
          <w:color w:val="FF0000"/>
          <w:spacing w:val="4"/>
          <w:lang w:val="en-US" w:eastAsia="ru-RU"/>
        </w:rPr>
      </w:pPr>
      <w:r>
        <w:rPr>
          <w:rFonts w:eastAsia="Wingdings"/>
          <w:bCs/>
          <w:color w:val="FF0000"/>
          <w:spacing w:val="4"/>
          <w:lang w:val="en-US" w:eastAsia="ru-RU"/>
        </w:rPr>
      </w:r>
    </w:p>
    <w:p>
      <w:pPr>
        <w:pStyle w:val="Normal"/>
        <w:ind w:firstLine="1134"/>
        <w:jc w:val="both"/>
        <w:rPr>
          <w:rFonts w:eastAsia="Wingdings"/>
          <w:color w:val="FF0000"/>
        </w:rPr>
      </w:pPr>
      <w:r>
        <w:rPr/>
        <w:drawing>
          <wp:inline distT="0" distB="0" distL="0" distR="0">
            <wp:extent cx="2146300" cy="1466850"/>
            <wp:effectExtent l="0" t="0" r="0" b="0"/>
            <wp:docPr id="6"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pic:cNvPicPr>
                      <a:picLocks noChangeAspect="1" noChangeArrowheads="1"/>
                    </pic:cNvPicPr>
                  </pic:nvPicPr>
                  <pic:blipFill>
                    <a:blip r:embed="rId7"/>
                    <a:stretch>
                      <a:fillRect/>
                    </a:stretch>
                  </pic:blipFill>
                  <pic:spPr bwMode="auto">
                    <a:xfrm>
                      <a:off x="0" y="0"/>
                      <a:ext cx="2146300" cy="1466850"/>
                    </a:xfrm>
                    <a:prstGeom prst="rect">
                      <a:avLst/>
                    </a:prstGeom>
                  </pic:spPr>
                </pic:pic>
              </a:graphicData>
            </a:graphic>
          </wp:inline>
        </w:drawing>
      </w:r>
    </w:p>
    <w:p>
      <w:pPr>
        <w:pStyle w:val="Normal"/>
        <w:jc w:val="both"/>
        <w:rPr>
          <w:rFonts w:eastAsia="Wingdings"/>
          <w:color w:val="FF0000"/>
        </w:rPr>
      </w:pPr>
      <w:r>
        <w:rPr>
          <w:rFonts w:eastAsia="Wingdings"/>
          <w:color w:val="FF0000"/>
        </w:rPr>
      </w:r>
    </w:p>
    <w:p>
      <w:pPr>
        <w:pStyle w:val="Normal"/>
        <w:rPr>
          <w:rFonts w:eastAsia="Wingdings"/>
          <w:i/>
          <w:i/>
          <w:color w:val="FF0000"/>
          <w:sz w:val="22"/>
          <w:szCs w:val="22"/>
          <w:lang w:val="en-US"/>
        </w:rPr>
      </w:pPr>
      <w:r>
        <w:rPr>
          <w:rFonts w:eastAsia="Wingdings"/>
          <w:i/>
          <w:color w:val="FF0000"/>
          <w:sz w:val="22"/>
          <w:szCs w:val="22"/>
          <w:lang w:val="en-US"/>
        </w:rPr>
      </w:r>
    </w:p>
    <w:p>
      <w:pPr>
        <w:pStyle w:val="Normal"/>
        <w:ind w:left="567" w:hanging="0"/>
        <w:jc w:val="center"/>
        <w:rPr>
          <w:rFonts w:eastAsia="Wingdings"/>
          <w:i/>
          <w:i/>
          <w:color w:val="FF0000"/>
          <w:sz w:val="22"/>
          <w:szCs w:val="22"/>
          <w:lang w:val="en-US"/>
        </w:rPr>
      </w:pPr>
      <w:r>
        <w:rPr>
          <w:rFonts w:eastAsia="Wingdings"/>
          <w:i/>
          <w:color w:val="FF0000"/>
          <w:sz w:val="22"/>
          <w:szCs w:val="22"/>
          <w:lang w:val="en-US"/>
        </w:rPr>
      </w:r>
    </w:p>
    <w:p>
      <w:pPr>
        <w:pStyle w:val="Normal"/>
        <w:jc w:val="center"/>
        <w:rPr>
          <w:rFonts w:eastAsia="Wingdings"/>
          <w:i/>
          <w:i/>
          <w:sz w:val="24"/>
          <w:szCs w:val="24"/>
          <w:lang w:val="en-US"/>
        </w:rPr>
      </w:pPr>
      <w:r>
        <w:rPr>
          <w:rFonts w:eastAsia="Wingdings"/>
          <w:i/>
          <w:szCs w:val="22"/>
          <w:lang w:val="en-US"/>
        </w:rPr>
        <w:t xml:space="preserve">Figure 4. A diagram of supersimmetric Goldstone fermion partners production (left) and </w:t>
        <w:br/>
        <w:t xml:space="preserve">the upper limit of sgoldstino branching ratio from ISTRA experiment </w:t>
      </w:r>
      <w:r>
        <w:rPr>
          <w:rFonts w:eastAsia="Wingdings"/>
          <w:bCs/>
          <w:i/>
          <w:szCs w:val="22"/>
          <w:lang w:val="en-US"/>
        </w:rPr>
        <w:t xml:space="preserve"> [7]</w:t>
      </w:r>
      <w:r>
        <w:rPr>
          <w:rFonts w:eastAsia="Wingdings"/>
          <w:i/>
          <w:szCs w:val="22"/>
          <w:lang w:val="en-US"/>
        </w:rPr>
        <w:t xml:space="preserve"> (right).</w:t>
      </w:r>
    </w:p>
    <w:p>
      <w:pPr>
        <w:pStyle w:val="Normal"/>
        <w:ind w:left="567" w:hanging="0"/>
        <w:jc w:val="both"/>
        <w:rPr>
          <w:rFonts w:eastAsia="Wingdings"/>
          <w:i/>
          <w:i/>
          <w:sz w:val="24"/>
          <w:szCs w:val="24"/>
          <w:lang w:val="en-US"/>
        </w:rPr>
      </w:pPr>
      <w:r>
        <w:rPr>
          <w:rFonts w:eastAsia="Wingdings"/>
          <w:i/>
          <w:sz w:val="24"/>
          <w:szCs w:val="24"/>
          <w:lang w:val="en-US"/>
        </w:rPr>
      </w:r>
    </w:p>
    <w:p>
      <w:pPr>
        <w:pStyle w:val="Normal"/>
        <w:ind w:firstLine="567"/>
        <w:jc w:val="both"/>
        <w:rPr>
          <w:rFonts w:eastAsia="Wingdings"/>
          <w:lang w:val="en-US"/>
        </w:rPr>
      </w:pPr>
      <w:r>
        <w:rPr>
          <w:rFonts w:eastAsia="Wingdings"/>
          <w:lang w:val="en-GB"/>
        </w:rPr>
        <w:t>A search for heavy neutral lepton (HNL) production in</w:t>
      </w:r>
      <w:bookmarkStart w:id="24" w:name="MathJax-Span-20"/>
      <w:bookmarkEnd w:id="24"/>
      <w:r>
        <w:rPr>
          <w:rFonts w:eastAsia="Wingdings"/>
          <w:lang w:val="en-GB"/>
        </w:rPr>
        <w:t xml:space="preserve"> charged kaon decays is also foreseen on the basis of NA62 data.  Non-zero masses and mixing of the Standard Model (SM) neutrinos are now well established. </w:t>
      </w:r>
      <w:r>
        <w:rPr>
          <w:lang w:val="en-GB"/>
        </w:rPr>
        <w:t xml:space="preserve">However many SM extensions have been proposed, involving massive «sterile» neutrinos, also called heavy neutral leptons, which mix with the ordinary light «active» neutrinos. For example, the Neutrino Minimal Standard Model [9] postulates three HNLs, explaining </w:t>
      </w:r>
      <w:r>
        <w:rPr>
          <w:rFonts w:eastAsia="Wingdings"/>
          <w:lang w:val="en-GB"/>
        </w:rPr>
        <w:t xml:space="preserve">dark matter and baryon asymmetry of the universe. The idea of the search for HNL in NA62 is based on the missing mass distributions for </w:t>
      </w:r>
      <w:r>
        <w:rPr>
          <w:rFonts w:eastAsia="Wingdings"/>
          <w:spacing w:val="1"/>
          <w:w w:val="120"/>
          <w:szCs w:val="24"/>
          <w:lang w:val="en-US"/>
        </w:rPr>
        <w:t>K</w:t>
      </w:r>
      <w:r>
        <w:rPr>
          <w:rFonts w:eastAsia="Wingdings"/>
          <w:spacing w:val="1"/>
          <w:w w:val="120"/>
          <w:szCs w:val="24"/>
          <w:vertAlign w:val="superscript"/>
          <w:lang w:val="en-US"/>
        </w:rPr>
        <w:t>+</w:t>
      </w:r>
      <w:r>
        <w:rPr>
          <w:rFonts w:cs="Symbol" w:ascii="Symbol" w:hAnsi="Symbol"/>
          <w:spacing w:val="1"/>
          <w:w w:val="120"/>
        </w:rPr>
        <w:t></w:t>
      </w:r>
      <w:r>
        <w:rPr>
          <w:rFonts w:eastAsia="Wingdings" w:cs="Liberation Serif" w:ascii="Liberation Serif" w:hAnsi="Liberation Serif"/>
          <w:bCs/>
          <w:spacing w:val="4"/>
          <w:lang w:val="en-GB"/>
        </w:rPr>
        <w:t>e</w:t>
      </w:r>
      <w:r>
        <w:rPr>
          <w:rFonts w:eastAsia="Wingdings"/>
          <w:bCs/>
          <w:spacing w:val="4"/>
          <w:vertAlign w:val="superscript"/>
          <w:lang w:val="en-GB"/>
        </w:rPr>
        <w:t>+</w:t>
      </w:r>
      <w:r>
        <w:rPr>
          <w:rFonts w:eastAsia="Wingdings"/>
          <w:spacing w:val="4"/>
          <w:lang w:val="en-GB"/>
        </w:rPr>
        <w:t xml:space="preserve"> and </w:t>
      </w:r>
      <w:r>
        <w:rPr>
          <w:rFonts w:eastAsia="Wingdings"/>
          <w:spacing w:val="1"/>
          <w:w w:val="120"/>
          <w:szCs w:val="24"/>
          <w:lang w:val="en-US"/>
        </w:rPr>
        <w:t>K</w:t>
      </w:r>
      <w:r>
        <w:rPr>
          <w:rFonts w:eastAsia="Wingdings"/>
          <w:spacing w:val="1"/>
          <w:w w:val="120"/>
          <w:szCs w:val="24"/>
          <w:vertAlign w:val="superscript"/>
          <w:lang w:val="en-US"/>
        </w:rPr>
        <w:t>+</w:t>
      </w:r>
      <w:r>
        <w:rPr>
          <w:rFonts w:cs="Symbol" w:ascii="Symbol" w:hAnsi="Symbol"/>
          <w:spacing w:val="1"/>
          <w:w w:val="120"/>
        </w:rPr>
        <w:t></w:t>
      </w:r>
      <w:r>
        <w:rPr>
          <w:rFonts w:eastAsia="Wingdings" w:cs="Symbol" w:ascii="Symbol" w:hAnsi="Symbol"/>
          <w:bCs/>
          <w:spacing w:val="4"/>
          <w:lang w:val="en-GB"/>
        </w:rPr>
        <w:t></w:t>
      </w:r>
      <w:r>
        <w:rPr>
          <w:rFonts w:eastAsia="Wingdings"/>
          <w:bCs/>
          <w:spacing w:val="4"/>
          <w:vertAlign w:val="superscript"/>
          <w:lang w:val="en-GB"/>
        </w:rPr>
        <w:t xml:space="preserve">+ </w:t>
      </w:r>
      <w:r>
        <w:rPr>
          <w:rFonts w:eastAsia="Wingdings"/>
          <w:lang w:val="en-GB"/>
        </w:rPr>
        <w:t>topologies with the measured kaon and lepton momenta. Heavy neutral lepton production should be visible as the peak on the missing mass distribution at the apriory unknown nonzero value of the mass.</w:t>
      </w:r>
    </w:p>
    <w:p>
      <w:pPr>
        <w:pStyle w:val="Normal"/>
        <w:ind w:firstLine="567"/>
        <w:jc w:val="both"/>
        <w:rPr>
          <w:rFonts w:eastAsia="Wingdings"/>
          <w:lang w:val="en-US"/>
        </w:rPr>
      </w:pPr>
      <w:r>
        <w:rPr>
          <w:rFonts w:eastAsia="Wingdings"/>
          <w:lang w:val="en-US"/>
        </w:rPr>
      </w:r>
    </w:p>
    <w:p>
      <w:pPr>
        <w:pStyle w:val="Heading2"/>
        <w:ind w:left="0" w:hanging="0"/>
        <w:rPr>
          <w:rFonts w:eastAsia="Wingdings"/>
          <w:b/>
          <w:b/>
          <w:u w:val="single"/>
          <w:lang w:val="en-US"/>
        </w:rPr>
      </w:pPr>
      <w:r>
        <w:rPr>
          <w:rFonts w:eastAsia="Wingdings"/>
          <w:b/>
          <w:u w:val="single"/>
          <w:lang w:val="en-US"/>
        </w:rPr>
        <w:t>Main characteristics of the experimental setup</w:t>
      </w:r>
    </w:p>
    <w:p>
      <w:pPr>
        <w:pStyle w:val="Normal"/>
        <w:tabs>
          <w:tab w:val="left" w:pos="0" w:leader="none"/>
        </w:tabs>
        <w:spacing w:lineRule="atLeast" w:line="100"/>
        <w:rPr>
          <w:rFonts w:eastAsia="Wingdings"/>
          <w:b/>
          <w:b/>
          <w:u w:val="single"/>
          <w:lang w:val="en-US"/>
        </w:rPr>
      </w:pPr>
      <w:r>
        <w:rPr>
          <w:rFonts w:eastAsia="Wingdings"/>
          <w:b/>
          <w:u w:val="single"/>
          <w:lang w:val="en-US"/>
        </w:rPr>
      </w:r>
    </w:p>
    <w:p>
      <w:pPr>
        <w:pStyle w:val="WWPlainText"/>
        <w:spacing w:before="0" w:after="120"/>
        <w:ind w:firstLine="540"/>
        <w:jc w:val="both"/>
        <w:rPr>
          <w:rFonts w:eastAsia="Wingdings" w:cs="Calibri"/>
          <w:bCs/>
          <w:lang w:val="en-US"/>
        </w:rPr>
      </w:pPr>
      <w:r>
        <w:rPr>
          <w:rFonts w:eastAsia="Wingdings"/>
          <w:bCs/>
          <w:lang w:val="en-GB"/>
        </w:rPr>
        <w:t>The above tasks define the NA62 experimental setup design (see Figure 2). The main design idea was the redundant measurement of particle characteristics. It is required to control non-Gaussian tails for the precise measurement of event kinematics. NA62 experimental setup includes the following detector systems:</w:t>
      </w:r>
    </w:p>
    <w:p>
      <w:pPr>
        <w:pStyle w:val="Normal"/>
        <w:widowControl w:val="false"/>
        <w:numPr>
          <w:ilvl w:val="0"/>
          <w:numId w:val="1"/>
        </w:numPr>
        <w:spacing w:before="0" w:after="120"/>
        <w:jc w:val="both"/>
        <w:rPr>
          <w:rFonts w:eastAsia="Wingdings" w:cs="Calibri"/>
          <w:lang w:val="en-US"/>
        </w:rPr>
      </w:pPr>
      <w:r>
        <w:rPr>
          <w:rFonts w:eastAsia="Wingdings" w:cs="Calibri"/>
          <w:bCs/>
          <w:lang w:val="en-US"/>
        </w:rPr>
        <w:t>The</w:t>
      </w:r>
      <w:r>
        <w:rPr>
          <w:rFonts w:eastAsia="Wingdings" w:cs="Calibri"/>
          <w:b/>
          <w:bCs/>
          <w:lang w:val="en-US"/>
        </w:rPr>
        <w:t xml:space="preserve"> CEDAR </w:t>
      </w:r>
      <w:r>
        <w:rPr>
          <w:rFonts w:eastAsia="Wingdings" w:cs="Calibri"/>
          <w:lang w:val="en-US"/>
        </w:rPr>
        <w:t xml:space="preserve">identifies the </w:t>
      </w:r>
      <w:r>
        <w:rPr>
          <w:rFonts w:eastAsia="Wingdings" w:cs="Calibri"/>
          <w:i/>
          <w:lang w:val="en-US"/>
        </w:rPr>
        <w:t>K</w:t>
      </w:r>
      <w:r>
        <w:rPr>
          <w:rFonts w:eastAsia="Wingdings" w:cs="Calibri"/>
          <w:i/>
          <w:vertAlign w:val="superscript"/>
          <w:lang w:val="en-US"/>
        </w:rPr>
        <w:t>+</w:t>
      </w:r>
      <w:r>
        <w:rPr>
          <w:rFonts w:eastAsia="Wingdings" w:cs="Calibri"/>
          <w:vertAlign w:val="superscript"/>
          <w:lang w:val="en-US"/>
        </w:rPr>
        <w:t xml:space="preserve"> </w:t>
      </w:r>
      <w:r>
        <w:rPr>
          <w:rFonts w:eastAsia="Wingdings" w:cs="Calibri"/>
          <w:lang w:val="en-US"/>
        </w:rPr>
        <w:t>component in the beam with respect to the other beam particles by employing an upgraded differential Čerenkov (CEDAR) counter.</w:t>
      </w:r>
    </w:p>
    <w:p>
      <w:pPr>
        <w:pStyle w:val="Normal"/>
        <w:widowControl w:val="false"/>
        <w:numPr>
          <w:ilvl w:val="0"/>
          <w:numId w:val="1"/>
        </w:numPr>
        <w:spacing w:before="0" w:after="120"/>
        <w:jc w:val="both"/>
        <w:rPr>
          <w:rFonts w:eastAsia="Wingdings" w:cs="Calibri"/>
          <w:lang w:val="en-US"/>
        </w:rPr>
      </w:pPr>
      <w:r>
        <w:rPr>
          <w:rFonts w:eastAsia="Wingdings" w:cs="Calibri"/>
          <w:lang w:val="en-US"/>
        </w:rPr>
        <w:t xml:space="preserve">The Gigatracker </w:t>
      </w:r>
      <w:r>
        <w:rPr>
          <w:rFonts w:eastAsia="Wingdings" w:cs="Calibri"/>
          <w:b/>
          <w:bCs/>
          <w:lang w:val="en-US"/>
        </w:rPr>
        <w:t>(GTK)</w:t>
      </w:r>
      <w:r>
        <w:rPr>
          <w:rFonts w:eastAsia="Wingdings" w:cs="Calibri"/>
          <w:lang w:val="en-US"/>
        </w:rPr>
        <w:t xml:space="preserve"> consists of three Si micro-pixel stations measuring time, direction and momentum of the beam particles before entering the decay region. </w:t>
      </w:r>
    </w:p>
    <w:p>
      <w:pPr>
        <w:pStyle w:val="Normal"/>
        <w:widowControl w:val="false"/>
        <w:numPr>
          <w:ilvl w:val="0"/>
          <w:numId w:val="1"/>
        </w:numPr>
        <w:spacing w:before="0" w:after="120"/>
        <w:jc w:val="both"/>
        <w:rPr>
          <w:rFonts w:eastAsia="Wingdings" w:cs="Calibri"/>
          <w:lang w:val="en-US"/>
        </w:rPr>
      </w:pPr>
      <w:r>
        <w:rPr>
          <w:rFonts w:eastAsia="Wingdings" w:cs="Calibri"/>
          <w:lang w:val="en-US"/>
        </w:rPr>
        <w:t>The</w:t>
      </w:r>
      <w:r>
        <w:rPr>
          <w:rFonts w:eastAsia="Wingdings" w:cs="Calibri"/>
          <w:b/>
          <w:bCs/>
          <w:lang w:val="en-US"/>
        </w:rPr>
        <w:t xml:space="preserve"> STRAW tracker </w:t>
      </w:r>
      <w:r>
        <w:rPr>
          <w:rFonts w:eastAsia="Wingdings" w:cs="Calibri"/>
          <w:bCs/>
          <w:lang w:val="en-US"/>
        </w:rPr>
        <w:t>consists of 4 straw chambers.</w:t>
      </w:r>
      <w:r>
        <w:rPr>
          <w:rFonts w:eastAsia="Wingdings" w:cs="Calibri"/>
          <w:b/>
          <w:bCs/>
          <w:lang w:val="en-US"/>
        </w:rPr>
        <w:t xml:space="preserve"> </w:t>
      </w:r>
      <w:r>
        <w:rPr>
          <w:rFonts w:eastAsia="Wingdings" w:cs="Calibri"/>
          <w:lang w:val="en-US"/>
        </w:rPr>
        <w:t>It</w:t>
      </w:r>
      <w:r>
        <w:rPr>
          <w:rFonts w:eastAsia="Wingdings" w:cs="Calibri"/>
          <w:b/>
          <w:bCs/>
          <w:lang w:val="en-US"/>
        </w:rPr>
        <w:t xml:space="preserve"> </w:t>
      </w:r>
      <w:r>
        <w:rPr>
          <w:rFonts w:eastAsia="Wingdings" w:cs="Calibri"/>
          <w:lang w:val="en-US"/>
        </w:rPr>
        <w:t xml:space="preserve">measures the coordinates and momentum of secondary charged particles originating from the decay region. In order to  minimize multiple scattering the chambers are built of ultra-light material and are installed inside the vacuum tank. The four Straw chambers are arranged around a large aperture dipole magnet (MNP33, black at the scheme), providing a vertical B-field of 0.36 T. </w:t>
      </w:r>
    </w:p>
    <w:p>
      <w:pPr>
        <w:pStyle w:val="Normal"/>
        <w:widowControl w:val="false"/>
        <w:numPr>
          <w:ilvl w:val="0"/>
          <w:numId w:val="1"/>
        </w:numPr>
        <w:spacing w:before="0" w:after="120"/>
        <w:jc w:val="both"/>
        <w:rPr>
          <w:rFonts w:eastAsia="Wingdings" w:cs="Calibri"/>
          <w:lang w:val="en-US"/>
        </w:rPr>
      </w:pPr>
      <w:r>
        <w:rPr>
          <w:rFonts w:eastAsia="Wingdings" w:cs="Calibri"/>
          <w:lang w:val="en-US"/>
        </w:rPr>
        <w:t xml:space="preserve">The </w:t>
      </w:r>
      <w:r>
        <w:rPr>
          <w:rFonts w:eastAsia="Wingdings" w:cs="Calibri"/>
          <w:b/>
          <w:bCs/>
          <w:lang w:val="en-US"/>
        </w:rPr>
        <w:t xml:space="preserve">RICH detector  </w:t>
      </w:r>
      <w:r>
        <w:rPr>
          <w:rFonts w:eastAsia="Wingdings" w:cs="Calibri"/>
          <w:lang w:val="en-US"/>
        </w:rPr>
        <w:t>consists of 17m long radiator filled with Neon gas at 1 atm. allowing the separation of pions and muons between 15 and 35 GeV/c.</w:t>
      </w:r>
    </w:p>
    <w:p>
      <w:pPr>
        <w:pStyle w:val="Normal"/>
        <w:widowControl w:val="false"/>
        <w:numPr>
          <w:ilvl w:val="0"/>
          <w:numId w:val="1"/>
        </w:numPr>
        <w:spacing w:before="0" w:after="120"/>
        <w:jc w:val="both"/>
        <w:rPr>
          <w:rFonts w:eastAsia="Wingdings" w:cs="Calibri"/>
          <w:lang w:val="en-US"/>
        </w:rPr>
      </w:pPr>
      <w:r>
        <w:rPr>
          <w:rFonts w:eastAsia="Wingdings" w:cs="Calibri"/>
          <w:lang w:val="en-US"/>
        </w:rPr>
        <w:t xml:space="preserve">A system of Photon-Veto detectors  provides hermetic coverage of the decay region from zero to large (~50 mrad) angles. </w:t>
      </w:r>
      <w:r>
        <w:rPr>
          <w:rFonts w:eastAsia="Wingdings" w:cs="Calibri"/>
        </w:rPr>
        <w:t xml:space="preserve">This is assured by: </w:t>
      </w:r>
    </w:p>
    <w:p>
      <w:pPr>
        <w:pStyle w:val="Normal"/>
        <w:numPr>
          <w:ilvl w:val="1"/>
          <w:numId w:val="2"/>
        </w:numPr>
        <w:tabs>
          <w:tab w:val="left" w:pos="720" w:leader="none"/>
        </w:tabs>
        <w:spacing w:lineRule="atLeast" w:line="100"/>
        <w:ind w:left="709" w:firstLine="142"/>
        <w:jc w:val="both"/>
        <w:rPr>
          <w:rFonts w:eastAsia="Wingdings" w:cs="Calibri"/>
          <w:lang w:val="en-US"/>
        </w:rPr>
      </w:pPr>
      <w:r>
        <w:rPr>
          <w:rFonts w:eastAsia="Wingdings" w:cs="Calibri"/>
          <w:lang w:val="en-US"/>
        </w:rPr>
        <w:t>the existing high-resolution Liquid Krypton electromagnetic calorimeter (</w:t>
      </w:r>
      <w:r>
        <w:rPr>
          <w:rFonts w:eastAsia="Wingdings" w:cs="Calibri"/>
          <w:b/>
          <w:bCs/>
          <w:lang w:val="en-US"/>
        </w:rPr>
        <w:t>LKr</w:t>
      </w:r>
      <w:r>
        <w:rPr>
          <w:rFonts w:eastAsia="Wingdings" w:cs="Calibri"/>
          <w:lang w:val="en-US"/>
        </w:rPr>
        <w:t>),</w:t>
      </w:r>
    </w:p>
    <w:p>
      <w:pPr>
        <w:pStyle w:val="Normal"/>
        <w:numPr>
          <w:ilvl w:val="1"/>
          <w:numId w:val="2"/>
        </w:numPr>
        <w:tabs>
          <w:tab w:val="left" w:pos="720" w:leader="none"/>
        </w:tabs>
        <w:spacing w:lineRule="atLeast" w:line="100"/>
        <w:ind w:left="709" w:firstLine="142"/>
        <w:jc w:val="both"/>
        <w:rPr>
          <w:rFonts w:eastAsia="Wingdings" w:cs="Calibri"/>
          <w:lang w:val="en-US"/>
        </w:rPr>
      </w:pPr>
      <w:r>
        <w:rPr>
          <w:rFonts w:eastAsia="Wingdings" w:cs="Calibri"/>
          <w:lang w:val="en-US"/>
        </w:rPr>
        <w:t>the Intermediate Ring (</w:t>
      </w:r>
      <w:r>
        <w:rPr>
          <w:rFonts w:eastAsia="Wingdings" w:cs="Calibri"/>
          <w:b/>
          <w:bCs/>
          <w:lang w:val="en-US"/>
        </w:rPr>
        <w:t>IRC</w:t>
      </w:r>
      <w:r>
        <w:rPr>
          <w:rFonts w:eastAsia="Wingdings" w:cs="Calibri"/>
          <w:lang w:val="en-US"/>
        </w:rPr>
        <w:t>) and Small-Angle (</w:t>
      </w:r>
      <w:r>
        <w:rPr>
          <w:rFonts w:eastAsia="Wingdings" w:cs="Calibri"/>
          <w:b/>
          <w:bCs/>
          <w:lang w:val="en-US"/>
        </w:rPr>
        <w:t>SAC</w:t>
      </w:r>
      <w:r>
        <w:rPr>
          <w:rFonts w:eastAsia="Wingdings" w:cs="Calibri"/>
          <w:lang w:val="en-US"/>
        </w:rPr>
        <w:t>) Calorimeters and,</w:t>
      </w:r>
    </w:p>
    <w:p>
      <w:pPr>
        <w:pStyle w:val="Normal"/>
        <w:numPr>
          <w:ilvl w:val="1"/>
          <w:numId w:val="2"/>
        </w:numPr>
        <w:tabs>
          <w:tab w:val="left" w:pos="720" w:leader="none"/>
        </w:tabs>
        <w:spacing w:lineRule="atLeast" w:line="100"/>
        <w:ind w:left="709" w:firstLine="142"/>
        <w:jc w:val="both"/>
        <w:rPr>
          <w:rFonts w:eastAsia="Wingdings" w:cs="Calibri"/>
          <w:lang w:val="en-US"/>
        </w:rPr>
      </w:pPr>
      <w:r>
        <w:rPr>
          <w:rFonts w:eastAsia="Wingdings" w:cs="Calibri"/>
          <w:lang w:val="en-US"/>
        </w:rPr>
        <w:t>a series of 12 annular photon-veto (</w:t>
      </w:r>
      <w:r>
        <w:rPr>
          <w:rFonts w:eastAsia="Wingdings" w:cs="Calibri"/>
          <w:b/>
          <w:lang w:val="en-US"/>
        </w:rPr>
        <w:t>LAV</w:t>
      </w:r>
      <w:r>
        <w:rPr>
          <w:rFonts w:eastAsia="Wingdings" w:cs="Calibri"/>
          <w:lang w:val="en-US"/>
        </w:rPr>
        <w:t xml:space="preserve"> or </w:t>
      </w:r>
      <w:r>
        <w:rPr>
          <w:rFonts w:eastAsia="Wingdings" w:cs="Calibri"/>
          <w:b/>
          <w:lang w:val="en-US"/>
        </w:rPr>
        <w:t>Veto</w:t>
      </w:r>
      <w:r>
        <w:rPr>
          <w:rFonts w:eastAsia="Wingdings" w:cs="Calibri"/>
          <w:lang w:val="en-US"/>
        </w:rPr>
        <w:t>) detectors for large angles.</w:t>
      </w:r>
    </w:p>
    <w:p>
      <w:pPr>
        <w:pStyle w:val="Normal"/>
        <w:tabs>
          <w:tab w:val="left" w:pos="720" w:leader="none"/>
        </w:tabs>
        <w:spacing w:lineRule="atLeast" w:line="100"/>
        <w:ind w:left="851" w:hanging="0"/>
        <w:jc w:val="both"/>
        <w:rPr>
          <w:rFonts w:eastAsia="Wingdings" w:cs="Calibri"/>
          <w:lang w:val="en-US"/>
        </w:rPr>
      </w:pPr>
      <w:r>
        <w:rPr>
          <w:rFonts w:eastAsia="Wingdings" w:cs="Calibri"/>
          <w:lang w:val="en-US"/>
        </w:rPr>
      </w:r>
    </w:p>
    <w:p>
      <w:pPr>
        <w:pStyle w:val="Normal"/>
        <w:widowControl w:val="false"/>
        <w:numPr>
          <w:ilvl w:val="1"/>
          <w:numId w:val="4"/>
        </w:numPr>
        <w:spacing w:before="0" w:after="120"/>
        <w:ind w:left="709" w:hanging="283"/>
        <w:jc w:val="both"/>
        <w:rPr>
          <w:rFonts w:eastAsia="Wingdings" w:cs="Calibri"/>
          <w:color w:val="000000"/>
          <w:lang w:val="en-US"/>
        </w:rPr>
      </w:pPr>
      <w:r>
        <w:rPr>
          <w:rFonts w:eastAsia="Wingdings" w:cs="Calibri"/>
          <w:lang w:val="en-US"/>
        </w:rPr>
        <w:t>The Muon-Veto detectors (</w:t>
      </w:r>
      <w:r>
        <w:rPr>
          <w:rFonts w:eastAsia="Wingdings" w:cs="Calibri"/>
          <w:b/>
          <w:bCs/>
          <w:lang w:val="en-US"/>
        </w:rPr>
        <w:t>MUV</w:t>
      </w:r>
      <w:r>
        <w:rPr>
          <w:rFonts w:eastAsia="Wingdings" w:cs="Calibri"/>
          <w:lang w:val="en-US"/>
        </w:rPr>
        <w:t>) are composed of the two-part hadron calorimeter followed by the additional layer of iron and the transversally segmented hodoscope. This system supplements and provides redundancy with respect to the RICH in the detection and rejection of muons.</w:t>
      </w:r>
    </w:p>
    <w:p>
      <w:pPr>
        <w:pStyle w:val="Normal"/>
        <w:widowControl w:val="false"/>
        <w:spacing w:before="0" w:after="120"/>
        <w:ind w:firstLine="426"/>
        <w:jc w:val="both"/>
        <w:rPr>
          <w:rFonts w:eastAsia="Wingdings" w:cs="Calibri"/>
          <w:color w:val="000000"/>
          <w:lang w:val="en-US"/>
        </w:rPr>
      </w:pPr>
      <w:r>
        <w:rPr>
          <w:rFonts w:eastAsia="Wingdings" w:cs="Calibri"/>
          <w:color w:val="000000"/>
          <w:lang w:val="en-US"/>
        </w:rPr>
        <w:t>These detectors are complemented by “guard-ring” counters (</w:t>
      </w:r>
      <w:r>
        <w:rPr>
          <w:rFonts w:eastAsia="Wingdings" w:cs="Calibri"/>
          <w:b/>
          <w:bCs/>
          <w:color w:val="000000"/>
          <w:lang w:val="en-US"/>
        </w:rPr>
        <w:t>CHANTI</w:t>
      </w:r>
      <w:r>
        <w:rPr>
          <w:rFonts w:eastAsia="Wingdings" w:cs="Calibri"/>
          <w:color w:val="000000"/>
          <w:lang w:val="en-US"/>
        </w:rPr>
        <w:t>) surrounding the last GTK station, and the charged-particle hodoscope (</w:t>
      </w:r>
      <w:r>
        <w:rPr>
          <w:rFonts w:eastAsia="Wingdings" w:cs="Calibri"/>
          <w:b/>
          <w:bCs/>
          <w:color w:val="000000"/>
          <w:lang w:val="en-US"/>
        </w:rPr>
        <w:t>CHOD</w:t>
      </w:r>
      <w:r>
        <w:rPr>
          <w:rFonts w:eastAsia="Wingdings" w:cs="Calibri"/>
          <w:color w:val="000000"/>
          <w:lang w:val="en-US"/>
        </w:rPr>
        <w:t xml:space="preserve">), covering the acceptance and located between the RICH and the LKr. </w:t>
      </w:r>
    </w:p>
    <w:p>
      <w:pPr>
        <w:pStyle w:val="Normal"/>
        <w:widowControl w:val="false"/>
        <w:spacing w:before="0" w:after="120"/>
        <w:ind w:firstLine="426"/>
        <w:jc w:val="both"/>
        <w:rPr>
          <w:rFonts w:eastAsia="Wingdings"/>
          <w:bCs/>
          <w:lang w:val="en-US"/>
        </w:rPr>
      </w:pPr>
      <w:r>
        <w:rPr>
          <w:rFonts w:eastAsia="Wingdings" w:cs="Calibri"/>
          <w:color w:val="000000"/>
          <w:lang w:val="en-US"/>
        </w:rPr>
        <w:t xml:space="preserve">All these detectors are operated and inter-connected with a high-performance </w:t>
      </w:r>
      <w:r>
        <w:rPr>
          <w:rFonts w:eastAsia="Wingdings" w:cs="Calibri"/>
          <w:b/>
          <w:bCs/>
          <w:color w:val="000000"/>
          <w:lang w:val="en-US"/>
        </w:rPr>
        <w:t xml:space="preserve">trigger </w:t>
      </w:r>
      <w:r>
        <w:rPr>
          <w:rFonts w:eastAsia="Wingdings" w:cs="Calibri"/>
          <w:color w:val="000000"/>
          <w:lang w:val="en-US"/>
        </w:rPr>
        <w:t xml:space="preserve">and </w:t>
      </w:r>
      <w:r>
        <w:rPr>
          <w:rFonts w:eastAsia="Wingdings" w:cs="Calibri"/>
          <w:b/>
          <w:bCs/>
          <w:color w:val="000000"/>
          <w:lang w:val="en-US"/>
        </w:rPr>
        <w:t xml:space="preserve">data-acquisition </w:t>
      </w:r>
      <w:r>
        <w:rPr>
          <w:rFonts w:eastAsia="Wingdings" w:cs="Calibri"/>
          <w:color w:val="000000"/>
          <w:lang w:val="en-US"/>
        </w:rPr>
        <w:t>(</w:t>
      </w:r>
      <w:r>
        <w:rPr>
          <w:rFonts w:eastAsia="Wingdings" w:cs="Calibri"/>
          <w:b/>
          <w:bCs/>
          <w:color w:val="000000"/>
          <w:lang w:val="en-US"/>
        </w:rPr>
        <w:t>TDAQ</w:t>
      </w:r>
      <w:r>
        <w:rPr>
          <w:rFonts w:eastAsia="Wingdings" w:cs="Calibri"/>
          <w:color w:val="000000"/>
          <w:lang w:val="en-US"/>
        </w:rPr>
        <w:t xml:space="preserve">) system. </w:t>
      </w:r>
      <w:r>
        <w:rPr>
          <w:rFonts w:eastAsia="Wingdings"/>
          <w:bCs/>
          <w:lang w:val="en-US"/>
        </w:rPr>
        <w:t>The main detectors are described in details in [1,3].</w:t>
      </w:r>
    </w:p>
    <w:p>
      <w:pPr>
        <w:pStyle w:val="WWPlainText"/>
        <w:ind w:firstLine="426"/>
        <w:jc w:val="both"/>
        <w:rPr>
          <w:rFonts w:eastAsia="Wingdings"/>
          <w:bCs/>
          <w:lang w:val="en-US"/>
        </w:rPr>
      </w:pPr>
      <w:r>
        <w:rPr>
          <w:rFonts w:eastAsia="Wingdings"/>
          <w:bCs/>
          <w:lang w:val="en-US"/>
        </w:rPr>
        <w:t xml:space="preserve">The usage of a high intensity unseparated </w:t>
      </w:r>
      <w:r>
        <w:rPr>
          <w:rFonts w:eastAsia="Wingdings"/>
          <w:bCs/>
          <w:i/>
          <w:lang w:val="en-US"/>
        </w:rPr>
        <w:t>K</w:t>
      </w:r>
      <w:r>
        <w:rPr>
          <w:rFonts w:eastAsia="Wingdings"/>
          <w:bCs/>
          <w:i/>
          <w:vertAlign w:val="superscript"/>
          <w:lang w:val="en-US"/>
        </w:rPr>
        <w:t>+</w:t>
      </w:r>
      <w:r>
        <w:rPr>
          <w:rFonts w:eastAsia="Wingdings"/>
          <w:bCs/>
          <w:lang w:val="en-US"/>
        </w:rPr>
        <w:t xml:space="preserve"> beam required several challenging solutions that have been done during the setup design and construction: </w:t>
      </w:r>
    </w:p>
    <w:p>
      <w:pPr>
        <w:pStyle w:val="WWPlainText"/>
        <w:numPr>
          <w:ilvl w:val="0"/>
          <w:numId w:val="3"/>
        </w:numPr>
        <w:tabs>
          <w:tab w:val="left" w:pos="2634" w:leader="none"/>
        </w:tabs>
        <w:jc w:val="both"/>
        <w:rPr>
          <w:rFonts w:eastAsia="Wingdings"/>
          <w:bCs/>
          <w:lang w:val="en-US"/>
        </w:rPr>
      </w:pPr>
      <w:r>
        <w:rPr>
          <w:rFonts w:eastAsia="Wingdings"/>
          <w:bCs/>
          <w:lang w:val="en-US"/>
        </w:rPr>
        <w:t>the detector is able to perform charged particle tracking at 1 GHz total rate, ~60 MHz/cm</w:t>
      </w:r>
      <w:r>
        <w:rPr>
          <w:rFonts w:eastAsia="Wingdings"/>
          <w:bCs/>
          <w:vertAlign w:val="superscript"/>
          <w:lang w:val="en-US"/>
        </w:rPr>
        <w:t>2</w:t>
      </w:r>
      <w:r>
        <w:rPr>
          <w:rFonts w:eastAsia="Wingdings"/>
          <w:bCs/>
          <w:lang w:val="en-US"/>
        </w:rPr>
        <w:t xml:space="preserve"> with a minimal material and excellent time resolution for the kaon momentum measurement;</w:t>
      </w:r>
    </w:p>
    <w:p>
      <w:pPr>
        <w:pStyle w:val="WWPlainText"/>
        <w:numPr>
          <w:ilvl w:val="0"/>
          <w:numId w:val="3"/>
        </w:numPr>
        <w:tabs>
          <w:tab w:val="left" w:pos="2634" w:leader="none"/>
        </w:tabs>
        <w:jc w:val="both"/>
        <w:rPr>
          <w:rFonts w:eastAsia="Wingdings"/>
          <w:bCs/>
          <w:lang w:val="en-US"/>
        </w:rPr>
      </w:pPr>
      <w:r>
        <w:rPr>
          <w:rFonts w:eastAsia="Wingdings"/>
          <w:bCs/>
          <w:lang w:val="en-US"/>
        </w:rPr>
        <w:t>the differential Cerenkov counter for the positive kaons identification (CEDAR) is built;</w:t>
      </w:r>
    </w:p>
    <w:p>
      <w:pPr>
        <w:pStyle w:val="WWPlainText"/>
        <w:numPr>
          <w:ilvl w:val="0"/>
          <w:numId w:val="3"/>
        </w:numPr>
        <w:tabs>
          <w:tab w:val="left" w:pos="2634" w:leader="none"/>
        </w:tabs>
        <w:jc w:val="both"/>
        <w:rPr>
          <w:rFonts w:ascii="Symbol" w:hAnsi="Symbol" w:eastAsia="Symbol" w:cs="Symbol"/>
          <w:bCs/>
          <w:lang w:val="en-US"/>
        </w:rPr>
      </w:pPr>
      <w:r>
        <w:rPr>
          <w:rFonts w:eastAsia="Wingdings"/>
          <w:bCs/>
          <w:lang w:val="en-US"/>
        </w:rPr>
        <w:t xml:space="preserve">hermetic photon vetoes are constructed, they are divided in three angular regions and use three different detection techniques for </w:t>
      </w:r>
      <w:r>
        <w:rPr>
          <w:rFonts w:eastAsia="Wingdings" w:cs="Symbol" w:ascii="Symbol" w:hAnsi="Symbol"/>
          <w:bCs/>
        </w:rPr>
        <w:t></w:t>
      </w:r>
      <w:r>
        <w:rPr>
          <w:rFonts w:eastAsia="Wingdings"/>
          <w:bCs/>
          <w:lang w:val="en-US"/>
        </w:rPr>
        <w:t>-rejection;</w:t>
      </w:r>
    </w:p>
    <w:p>
      <w:pPr>
        <w:pStyle w:val="WWPlainText"/>
        <w:numPr>
          <w:ilvl w:val="0"/>
          <w:numId w:val="3"/>
        </w:numPr>
        <w:tabs>
          <w:tab w:val="left" w:pos="2634" w:leader="none"/>
        </w:tabs>
        <w:jc w:val="both"/>
        <w:rPr>
          <w:rFonts w:eastAsia="Wingdings"/>
          <w:bCs/>
          <w:lang w:val="en-US"/>
        </w:rPr>
      </w:pPr>
      <w:r>
        <w:rPr>
          <w:rFonts w:eastAsia="Symbol" w:cs="Symbol" w:ascii="Symbol" w:hAnsi="Symbol"/>
          <w:bCs/>
        </w:rPr>
        <w:t></w:t>
      </w:r>
      <w:r>
        <w:rPr>
          <w:rFonts w:eastAsia="Wingdings"/>
          <w:bCs/>
          <w:lang w:val="en-US"/>
        </w:rPr>
        <w:t>/</w:t>
      </w:r>
      <w:r>
        <w:rPr>
          <w:rFonts w:eastAsia="Wingdings" w:cs="Symbol" w:ascii="Symbol" w:hAnsi="Symbol"/>
          <w:bCs/>
        </w:rPr>
        <w:t></w:t>
      </w:r>
      <w:r>
        <w:rPr>
          <w:rFonts w:eastAsia="Wingdings" w:cs="Symbol" w:ascii="Symbol" w:hAnsi="Symbol"/>
          <w:bCs/>
          <w:i/>
          <w:iCs/>
        </w:rPr>
        <w:t></w:t>
      </w:r>
      <w:r>
        <w:rPr>
          <w:rFonts w:eastAsia="Wingdings"/>
          <w:bCs/>
          <w:lang w:val="en-US"/>
        </w:rPr>
        <w:t xml:space="preserve">separation is performed by the RICH counter for </w:t>
      </w:r>
      <w:r>
        <w:rPr>
          <w:rFonts w:eastAsia="Wingdings" w:cs="Symbol" w:ascii="Symbol" w:hAnsi="Symbol"/>
          <w:bCs/>
        </w:rPr>
        <w:t></w:t>
      </w:r>
      <w:r>
        <w:rPr>
          <w:rFonts w:eastAsia="Wingdings" w:cs="Symbol" w:ascii="Symbol" w:hAnsi="Symbol"/>
          <w:bCs/>
          <w:i/>
          <w:iCs/>
        </w:rPr>
        <w:t></w:t>
      </w:r>
      <w:r>
        <w:rPr>
          <w:rFonts w:eastAsia="Wingdings"/>
          <w:bCs/>
          <w:lang w:val="en-US"/>
        </w:rPr>
        <w:t>rejection and for track kinematics reconstruction;</w:t>
      </w:r>
    </w:p>
    <w:p>
      <w:pPr>
        <w:pStyle w:val="WWPlainText"/>
        <w:numPr>
          <w:ilvl w:val="0"/>
          <w:numId w:val="3"/>
        </w:numPr>
        <w:tabs>
          <w:tab w:val="left" w:pos="2634" w:leader="none"/>
        </w:tabs>
        <w:jc w:val="both"/>
        <w:rPr>
          <w:rFonts w:eastAsia="Wingdings"/>
          <w:bCs/>
          <w:lang w:val="en-US"/>
        </w:rPr>
      </w:pPr>
      <w:r>
        <w:rPr>
          <w:rFonts w:eastAsia="Wingdings"/>
          <w:bCs/>
          <w:lang w:val="en-US"/>
        </w:rPr>
        <w:t>and finally, the magnetic spectrometer for momentum measurement of kaon decay charged products together with RICH provides a redundancy in missing mass reconstruction to suppress a possible non-gaussian tails.</w:t>
      </w:r>
    </w:p>
    <w:p>
      <w:pPr>
        <w:pStyle w:val="WWPlainText"/>
        <w:tabs>
          <w:tab w:val="left" w:pos="2634" w:leader="none"/>
        </w:tabs>
        <w:ind w:left="720" w:hanging="0"/>
        <w:jc w:val="both"/>
        <w:rPr>
          <w:rFonts w:eastAsia="Wingdings"/>
          <w:bCs/>
          <w:lang w:val="en-US"/>
        </w:rPr>
      </w:pPr>
      <w:r>
        <w:rPr>
          <w:rFonts w:eastAsia="Wingdings"/>
          <w:bCs/>
          <w:lang w:val="en-US"/>
        </w:rPr>
      </w:r>
    </w:p>
    <w:p>
      <w:pPr>
        <w:pStyle w:val="Normal"/>
        <w:spacing w:lineRule="atLeast" w:line="100" w:before="0" w:after="120"/>
        <w:ind w:firstLine="426"/>
        <w:jc w:val="both"/>
        <w:rPr>
          <w:rFonts w:eastAsia="Wingdings"/>
          <w:lang w:val="en-US"/>
        </w:rPr>
      </w:pPr>
      <w:r>
        <w:rPr>
          <w:rFonts w:eastAsia="Wingdings"/>
          <w:lang w:val="en-US"/>
        </w:rPr>
        <w:t>The NA62 experimental setup has been constructed and tested during the autumn 2014 run with CERN SPS beams. Experts from JINR and CERN have provided the construction and installation of the track spectrometer detectors designed and built during the two NA62 project stages completed in JINR earlier (in 2010-2012 and in 2013-2015).</w:t>
      </w:r>
    </w:p>
    <w:p>
      <w:pPr>
        <w:pStyle w:val="Normal"/>
        <w:jc w:val="both"/>
        <w:rPr>
          <w:rFonts w:eastAsia="Wingdings"/>
          <w:lang w:val="en-US"/>
        </w:rPr>
      </w:pPr>
      <w:r>
        <w:rPr>
          <w:rFonts w:eastAsia="Wingdings"/>
          <w:lang w:val="en-US"/>
        </w:rPr>
      </w:r>
    </w:p>
    <w:p>
      <w:pPr>
        <w:pStyle w:val="Normal"/>
        <w:spacing w:lineRule="atLeast" w:line="100" w:before="0" w:after="120"/>
        <w:rPr>
          <w:rFonts w:eastAsia="Wingdings"/>
          <w:lang w:val="en-US"/>
        </w:rPr>
      </w:pPr>
      <w:r>
        <w:rPr>
          <w:rFonts w:eastAsia="Wingdings"/>
          <w:b/>
          <w:bCs/>
          <w:u w:val="single"/>
          <w:lang w:val="en-US"/>
        </w:rPr>
        <w:t>Construction of the magnetic spectrometer modules based on straw tubes</w:t>
      </w:r>
    </w:p>
    <w:p>
      <w:pPr>
        <w:pStyle w:val="Normal"/>
        <w:ind w:firstLine="567"/>
        <w:jc w:val="both"/>
        <w:rPr>
          <w:rFonts w:eastAsia="Wingdings"/>
          <w:lang w:val="en-US"/>
        </w:rPr>
      </w:pPr>
      <w:r>
        <w:rPr>
          <w:rFonts w:eastAsia="Wingdings"/>
          <w:lang w:val="en-US"/>
        </w:rPr>
        <w:t xml:space="preserve">A spectrometer configuration based on the straw tracker has been adopted for the detection and measurement of charged decay products upstream the RICH counter. To minimize the multiple scattering of the outgoing decay products the spectrometer detectors are installed in vacuum. The straw tracker is designed without internal frames and flanges. It is important to diminish the background arising from the beam halo. The straw tracker consists of 4 chambers based on straw tubes and positioned upstream and downstream the MNP33 spectrometer magnet. </w:t>
      </w:r>
    </w:p>
    <w:p>
      <w:pPr>
        <w:pStyle w:val="Normal"/>
        <w:spacing w:before="240" w:after="120"/>
        <w:ind w:firstLine="567"/>
        <w:jc w:val="both"/>
        <w:rPr>
          <w:rFonts w:cs="Calibri"/>
          <w:lang w:val="en-US"/>
        </w:rPr>
      </w:pPr>
      <w:r>
        <w:rPr>
          <w:rFonts w:eastAsia="Wingdings"/>
          <w:lang w:val="en-US"/>
        </w:rPr>
        <w:t xml:space="preserve">Each chamber consists of four coordinate views - X, Y, U, V. </w:t>
      </w:r>
      <w:r>
        <w:rPr>
          <w:rFonts w:eastAsia="Arial Unicode MS"/>
          <w:lang w:val="en-US"/>
        </w:rPr>
        <w:t xml:space="preserve">Desirable momentum and angle precision for secondary particles is estimated to be </w:t>
      </w:r>
      <w:r>
        <w:rPr>
          <w:rFonts w:cs="Symbol" w:ascii="Symbol" w:hAnsi="Symbol"/>
        </w:rPr>
        <w:t></w:t>
      </w:r>
      <w:r>
        <w:rPr>
          <w:rFonts w:eastAsia="Arial Unicode MS"/>
          <w:lang w:val="en-US"/>
        </w:rPr>
        <w:t>p/p</w:t>
      </w:r>
      <w:r>
        <w:rPr>
          <w:rFonts w:eastAsia="Arial Unicode MS" w:cs="Symbol" w:ascii="Symbol" w:hAnsi="Symbol"/>
        </w:rPr>
        <w:t></w:t>
      </w:r>
      <w:r>
        <w:rPr>
          <w:rFonts w:eastAsia="Arial Unicode MS"/>
          <w:lang w:val="en-US"/>
        </w:rPr>
        <w:t xml:space="preserve"> 1% and </w:t>
      </w:r>
      <w:r>
        <w:rPr>
          <w:rFonts w:cs="Symbol" w:ascii="Symbol" w:hAnsi="Symbol"/>
        </w:rPr>
        <w:t></w:t>
      </w:r>
      <w:r>
        <w:rPr>
          <w:rFonts w:cs="Symbol" w:ascii="Symbol" w:hAnsi="Symbol"/>
          <w:sz w:val="32"/>
          <w:vertAlign w:val="subscript"/>
        </w:rPr>
        <w:t></w:t>
      </w:r>
      <w:r>
        <w:rPr>
          <w:rFonts w:eastAsia="Arial Unicode MS"/>
          <w:vertAlign w:val="subscript"/>
          <w:lang w:val="en-US"/>
        </w:rPr>
        <w:t>K</w:t>
      </w:r>
      <w:r>
        <w:rPr>
          <w:rFonts w:eastAsia="Arial Unicode MS"/>
          <w:i/>
          <w:iCs/>
          <w:vertAlign w:val="subscript"/>
          <w:lang w:val="en-US"/>
        </w:rPr>
        <w:t xml:space="preserve"> </w:t>
      </w:r>
      <w:r>
        <w:rPr>
          <w:rFonts w:eastAsia="Arial Unicode MS" w:cs="Symbol" w:ascii="Symbol" w:hAnsi="Symbol"/>
        </w:rPr>
        <w:t></w:t>
      </w:r>
      <w:r>
        <w:rPr>
          <w:rFonts w:eastAsia="Arial Unicode MS" w:cs="Symbol" w:ascii="Symbol" w:hAnsi="Symbol"/>
          <w:lang w:val="en-US"/>
        </w:rPr>
        <w:t></w:t>
      </w:r>
      <w:r>
        <w:rPr>
          <w:rFonts w:eastAsia="Arial Unicode MS"/>
          <w:lang w:val="en-US"/>
        </w:rPr>
        <w:t xml:space="preserve">50 – 60) </w:t>
      </w:r>
      <w:r>
        <w:rPr>
          <w:rFonts w:cs="Symbol" w:ascii="Symbol" w:hAnsi="Symbol"/>
          <w:iCs/>
        </w:rPr>
        <w:t></w:t>
      </w:r>
      <w:r>
        <w:rPr>
          <w:rFonts w:eastAsia="Arial Unicode MS"/>
          <w:lang w:val="en-US"/>
        </w:rPr>
        <w:t xml:space="preserve">rad. These requirements are achieved by means of minimum matter along the particle trajectory and the spatial resolution of the tracker about ~80 </w:t>
      </w:r>
      <w:r>
        <w:rPr>
          <w:rFonts w:cs="Symbol" w:ascii="Symbol" w:hAnsi="Symbol"/>
          <w:iCs/>
        </w:rPr>
        <w:t></w:t>
      </w:r>
      <w:r>
        <w:rPr>
          <w:rFonts w:eastAsia="Arial Unicode MS"/>
          <w:lang w:val="en-US"/>
        </w:rPr>
        <w:t xml:space="preserve">m for a space point. </w:t>
      </w:r>
    </w:p>
    <w:p>
      <w:pPr>
        <w:pStyle w:val="Normal"/>
        <w:widowControl w:val="false"/>
        <w:ind w:firstLine="426"/>
        <w:jc w:val="both"/>
        <w:rPr>
          <w:rFonts w:eastAsia="Arial Unicode MS" w:cs="Calibri"/>
          <w:color w:val="000000"/>
          <w:lang w:val="en-US"/>
        </w:rPr>
      </w:pPr>
      <w:r>
        <w:rPr>
          <w:rFonts w:cs="Calibri"/>
          <w:lang w:val="en-US"/>
        </w:rPr>
        <w:t xml:space="preserve">The main element of the detector is an ultra-light straw tube ~2.4 m long (2.1 m of effective length) and 9.8 mm in diameter. The tubes are manufactured from 36 </w:t>
      </w:r>
      <w:r>
        <w:rPr>
          <w:lang w:val="en-US"/>
        </w:rPr>
        <w:t>µ</w:t>
      </w:r>
      <w:r>
        <w:rPr>
          <w:rFonts w:cs="Calibri"/>
          <w:lang w:val="en-US"/>
        </w:rPr>
        <w:t xml:space="preserve">m thin polyethylene terephthalate (PET) foils, coated inside the tube with two thin metal layers (0.05 </w:t>
      </w:r>
      <w:r>
        <w:rPr>
          <w:rFonts w:cs="Symbol" w:ascii="Symbol" w:hAnsi="Symbol"/>
        </w:rPr>
        <w:t></w:t>
      </w:r>
      <w:r>
        <w:rPr>
          <w:rFonts w:cs="Calibri"/>
          <w:lang w:val="en-US"/>
        </w:rPr>
        <w:t xml:space="preserve">m of Cu and 0.02 </w:t>
      </w:r>
      <w:r>
        <w:rPr>
          <w:rFonts w:cs="Symbol" w:ascii="Symbol" w:hAnsi="Symbol"/>
        </w:rPr>
        <w:t></w:t>
      </w:r>
      <w:r>
        <w:rPr>
          <w:rFonts w:cs="Calibri"/>
          <w:lang w:val="en-US"/>
        </w:rPr>
        <w:t xml:space="preserve">m of Au) in order to provide electrical conductivity on the cathode and to suppress the straw tube gas diffusion. The anode wire (Ø=30 mm) is made of gold-plated tungsten. </w:t>
      </w:r>
    </w:p>
    <w:p>
      <w:pPr>
        <w:pStyle w:val="Normal"/>
        <w:spacing w:lineRule="atLeast" w:line="100" w:before="60" w:after="120"/>
        <w:ind w:firstLine="425"/>
        <w:jc w:val="both"/>
        <w:rPr>
          <w:bCs/>
          <w:lang w:val="en-US"/>
        </w:rPr>
      </w:pPr>
      <w:r>
        <w:rPr>
          <w:rFonts w:eastAsia="Arial Unicode MS" w:cs="Calibri"/>
          <w:color w:val="000000"/>
          <w:lang w:val="en-US"/>
        </w:rPr>
        <w:t xml:space="preserve">Studies performed with three straw prototypes allowed us to estimate the achievable characteristics of the constructed detectors with different gas mixtures and various read-out electronics, radiation resistance of straw tubes, as well as to design the optimal scheme of straw positioning inside the mechanical framework that allows to achieve a high efficiency of tracks registration by the spectrometer detectors. These works are described in details in the report on the  2010 - 2012 stage of the NA62 project. </w:t>
      </w:r>
    </w:p>
    <w:p>
      <w:pPr>
        <w:pStyle w:val="Normal"/>
        <w:spacing w:lineRule="atLeast" w:line="20" w:before="0" w:after="120"/>
        <w:ind w:firstLine="720"/>
        <w:jc w:val="both"/>
        <w:rPr>
          <w:bCs/>
          <w:lang w:val="en-US"/>
        </w:rPr>
      </w:pPr>
      <w:r>
        <w:rPr>
          <w:bCs/>
          <w:lang w:val="en-US"/>
        </w:rPr>
        <w:t>After the installation of straw chambers into the NA62 experimental setup in 2014 (see. Fig. 5) their actual position has been measured with respect to the beam axis with an accuracy of 0.3 mm. Vacuum tests of straw detectors have been conducted in real experimental conditions - the level of the gas leak was in the normal range. All the necessary cables and gas communications for the chambers have been laid. The gas supply system with a protection from the effects of a possible straw damage in a setup vacuum volume has been mounted as well. 4 MPOD modules with high-voltage and low-voltage power supplies have been installed for powered straw tracker (see. Fig.6, left). JINR staff members have developed a user-friendly management interface of these modules (Fig.6, right). Integration of these 4 modules into the common "NA62 slow control” system of the NA62 experiment were carried out as well.</w:t>
      </w:r>
    </w:p>
    <w:p>
      <w:pPr>
        <w:pStyle w:val="Normal"/>
        <w:spacing w:lineRule="atLeast" w:line="20" w:before="0" w:after="120"/>
        <w:jc w:val="center"/>
        <w:rPr>
          <w:bCs/>
          <w:lang w:val="en-US"/>
        </w:rPr>
      </w:pPr>
      <w:r>
        <w:rPr>
          <w:bCs/>
          <w:lang w:val="en-US"/>
        </w:rPr>
      </w:r>
    </w:p>
    <w:p>
      <w:pPr>
        <w:pStyle w:val="Normal"/>
        <w:spacing w:lineRule="atLeast" w:line="20" w:before="0" w:after="120"/>
        <w:ind w:firstLine="720"/>
        <w:rPr>
          <w:bCs/>
          <w:i/>
          <w:i/>
          <w:szCs w:val="22"/>
          <w:lang w:val="en-US"/>
        </w:rPr>
      </w:pPr>
      <w:r>
        <w:rPr/>
        <w:drawing>
          <wp:inline distT="0" distB="0" distL="0" distR="0">
            <wp:extent cx="1936750" cy="2393950"/>
            <wp:effectExtent l="0" t="0" r="0" b="0"/>
            <wp:docPr id="7"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
                    <pic:cNvPicPr>
                      <a:picLocks noChangeAspect="1" noChangeArrowheads="1"/>
                    </pic:cNvPicPr>
                  </pic:nvPicPr>
                  <pic:blipFill>
                    <a:blip r:embed="rId8"/>
                    <a:stretch>
                      <a:fillRect/>
                    </a:stretch>
                  </pic:blipFill>
                  <pic:spPr bwMode="auto">
                    <a:xfrm>
                      <a:off x="0" y="0"/>
                      <a:ext cx="1936750" cy="2393950"/>
                    </a:xfrm>
                    <a:prstGeom prst="rect">
                      <a:avLst/>
                    </a:prstGeom>
                  </pic:spPr>
                </pic:pic>
              </a:graphicData>
            </a:graphic>
          </wp:inline>
        </w:drawing>
      </w:r>
      <w:r>
        <w:rPr/>
        <w:tab/>
      </w:r>
      <w:r>
        <w:rPr/>
        <w:drawing>
          <wp:inline distT="0" distB="0" distL="0" distR="0">
            <wp:extent cx="2362200" cy="2368550"/>
            <wp:effectExtent l="0" t="0" r="0" b="0"/>
            <wp:docPr id="8"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
                    <pic:cNvPicPr>
                      <a:picLocks noChangeAspect="1" noChangeArrowheads="1"/>
                    </pic:cNvPicPr>
                  </pic:nvPicPr>
                  <pic:blipFill>
                    <a:blip r:embed="rId9"/>
                    <a:srcRect l="23362" t="0" r="19426" b="0"/>
                    <a:stretch>
                      <a:fillRect/>
                    </a:stretch>
                  </pic:blipFill>
                  <pic:spPr bwMode="auto">
                    <a:xfrm>
                      <a:off x="0" y="0"/>
                      <a:ext cx="2362200" cy="2368550"/>
                    </a:xfrm>
                    <a:prstGeom prst="rect">
                      <a:avLst/>
                    </a:prstGeom>
                  </pic:spPr>
                </pic:pic>
              </a:graphicData>
            </a:graphic>
          </wp:inline>
        </w:drawing>
      </w:r>
    </w:p>
    <w:p>
      <w:pPr>
        <w:pStyle w:val="Normal"/>
        <w:jc w:val="center"/>
        <w:rPr>
          <w:bCs/>
          <w:i/>
          <w:i/>
          <w:sz w:val="18"/>
          <w:lang w:val="en-US"/>
        </w:rPr>
      </w:pPr>
      <w:r>
        <w:rPr>
          <w:bCs/>
          <w:i/>
          <w:szCs w:val="22"/>
          <w:lang w:val="en-US"/>
        </w:rPr>
        <w:t>Figure 5. Straw chamber assembled of 2 modules (left) and its installation into the NA62 experimental setup (right).</w:t>
      </w:r>
    </w:p>
    <w:p>
      <w:pPr>
        <w:pStyle w:val="Normal"/>
        <w:spacing w:lineRule="atLeast" w:line="20" w:before="0" w:after="120"/>
        <w:ind w:firstLine="567"/>
        <w:jc w:val="both"/>
        <w:rPr>
          <w:bCs/>
          <w:i/>
          <w:i/>
          <w:sz w:val="18"/>
          <w:lang w:val="en-US"/>
        </w:rPr>
      </w:pPr>
      <w:r>
        <w:rPr>
          <w:bCs/>
          <w:i/>
          <w:sz w:val="18"/>
          <w:lang w:val="en-US"/>
        </w:rPr>
      </w:r>
    </w:p>
    <w:p>
      <w:pPr>
        <w:pStyle w:val="Normal"/>
        <w:spacing w:lineRule="atLeast" w:line="20" w:before="0" w:after="120"/>
        <w:jc w:val="center"/>
        <w:rPr>
          <w:bCs/>
          <w:i/>
          <w:i/>
          <w:szCs w:val="22"/>
          <w:lang w:val="en-US"/>
        </w:rPr>
      </w:pPr>
      <w:r>
        <w:rPr/>
        <w:drawing>
          <wp:inline distT="0" distB="0" distL="0" distR="0">
            <wp:extent cx="1409700" cy="2114550"/>
            <wp:effectExtent l="0" t="0" r="0" b="0"/>
            <wp:docPr id="9"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
                    <pic:cNvPicPr>
                      <a:picLocks noChangeAspect="1" noChangeArrowheads="1"/>
                    </pic:cNvPicPr>
                  </pic:nvPicPr>
                  <pic:blipFill>
                    <a:blip r:embed="rId10"/>
                    <a:stretch>
                      <a:fillRect/>
                    </a:stretch>
                  </pic:blipFill>
                  <pic:spPr bwMode="auto">
                    <a:xfrm>
                      <a:off x="0" y="0"/>
                      <a:ext cx="1409700" cy="2114550"/>
                    </a:xfrm>
                    <a:prstGeom prst="rect">
                      <a:avLst/>
                    </a:prstGeom>
                  </pic:spPr>
                </pic:pic>
              </a:graphicData>
            </a:graphic>
          </wp:inline>
        </w:drawing>
      </w:r>
      <w:r>
        <w:rPr>
          <w:lang w:val="en-US"/>
        </w:rPr>
        <w:tab/>
      </w:r>
      <w:r>
        <w:rPr>
          <w:lang w:val="en-US"/>
        </w:rPr>
        <w:drawing>
          <wp:inline distT="0" distB="0" distL="0" distR="0">
            <wp:extent cx="3644900" cy="2120900"/>
            <wp:effectExtent l="0" t="0" r="0" b="0"/>
            <wp:docPr id="10"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
                    <pic:cNvPicPr>
                      <a:picLocks noChangeAspect="1" noChangeArrowheads="1"/>
                    </pic:cNvPicPr>
                  </pic:nvPicPr>
                  <pic:blipFill>
                    <a:blip r:embed="rId11"/>
                    <a:stretch>
                      <a:fillRect/>
                    </a:stretch>
                  </pic:blipFill>
                  <pic:spPr bwMode="auto">
                    <a:xfrm>
                      <a:off x="0" y="0"/>
                      <a:ext cx="3644900" cy="2120900"/>
                    </a:xfrm>
                    <a:prstGeom prst="rect">
                      <a:avLst/>
                    </a:prstGeom>
                  </pic:spPr>
                </pic:pic>
              </a:graphicData>
            </a:graphic>
          </wp:inline>
        </w:drawing>
      </w:r>
    </w:p>
    <w:p>
      <w:pPr>
        <w:pStyle w:val="Normal"/>
        <w:spacing w:lineRule="atLeast" w:line="20" w:before="0" w:after="120"/>
        <w:jc w:val="center"/>
        <w:rPr>
          <w:bCs/>
          <w:color w:val="FF3333"/>
          <w:sz w:val="18"/>
          <w:lang w:val="en-US"/>
        </w:rPr>
      </w:pPr>
      <w:r>
        <w:rPr>
          <w:bCs/>
          <w:i/>
          <w:szCs w:val="22"/>
          <w:lang w:val="en-US"/>
        </w:rPr>
        <w:t>Figure 6. MPOD module with high- and low-voltage power supplies for one straw chamber (left) and user interface control panel (right).</w:t>
      </w:r>
    </w:p>
    <w:p>
      <w:pPr>
        <w:pStyle w:val="Normal"/>
        <w:spacing w:lineRule="atLeast" w:line="20" w:before="0" w:after="120"/>
        <w:ind w:firstLine="720"/>
        <w:jc w:val="center"/>
        <w:rPr>
          <w:bCs/>
          <w:color w:val="FF3333"/>
          <w:sz w:val="18"/>
          <w:lang w:val="en-US"/>
        </w:rPr>
      </w:pPr>
      <w:r>
        <w:rPr>
          <w:bCs/>
          <w:color w:val="FF3333"/>
          <w:sz w:val="18"/>
          <w:lang w:val="en-US"/>
        </w:rPr>
      </w:r>
    </w:p>
    <w:p>
      <w:pPr>
        <w:pStyle w:val="Normal"/>
        <w:spacing w:lineRule="atLeast" w:line="20" w:before="0" w:after="120"/>
        <w:jc w:val="both"/>
        <w:rPr/>
      </w:pPr>
      <w:r>
        <w:rPr>
          <w:bCs/>
          <w:lang w:val="en-US"/>
        </w:rPr>
        <w:tab/>
        <w:t>A shape of the experimental leading edge time distribution in a straw tube has been compared with the simulation one. A good agreement of these spectra (see. Fig. 7) allowed one to use at the first stage the simulated relation between the drift time and the coordinate of a particle in a straw. Time shifts of the track hit T</w:t>
      </w:r>
      <w:r>
        <w:rPr>
          <w:bCs/>
          <w:vertAlign w:val="subscript"/>
        </w:rPr>
        <w:t>0</w:t>
      </w:r>
      <w:r>
        <w:rPr>
          <w:bCs/>
          <w:lang w:val="en-US"/>
        </w:rPr>
        <w:t xml:space="preserve"> for each straw are adjusted with respect to the reference time given by the charged particles hodoscope CHOD of the NA62 set-up.</w:t>
      </w:r>
    </w:p>
    <w:p>
      <w:pPr>
        <w:pStyle w:val="Normal"/>
        <w:spacing w:lineRule="atLeast" w:line="20" w:before="0" w:after="120"/>
        <w:jc w:val="center"/>
        <w:rPr>
          <w:bCs/>
          <w:i/>
          <w:i/>
          <w:szCs w:val="22"/>
          <w:lang w:val="en-US"/>
        </w:rPr>
      </w:pPr>
      <w:r>
        <w:rPr/>
        <w:drawing>
          <wp:inline distT="0" distB="0" distL="0" distR="0">
            <wp:extent cx="2495550" cy="2260600"/>
            <wp:effectExtent l="0" t="0" r="0" b="0"/>
            <wp:docPr id="11"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
                    <pic:cNvPicPr>
                      <a:picLocks noChangeAspect="1" noChangeArrowheads="1"/>
                    </pic:cNvPicPr>
                  </pic:nvPicPr>
                  <pic:blipFill>
                    <a:blip r:embed="rId12"/>
                    <a:stretch>
                      <a:fillRect/>
                    </a:stretch>
                  </pic:blipFill>
                  <pic:spPr bwMode="auto">
                    <a:xfrm>
                      <a:off x="0" y="0"/>
                      <a:ext cx="2495550" cy="2260600"/>
                    </a:xfrm>
                    <a:prstGeom prst="rect">
                      <a:avLst/>
                    </a:prstGeom>
                  </pic:spPr>
                </pic:pic>
              </a:graphicData>
            </a:graphic>
          </wp:inline>
        </w:drawing>
      </w:r>
    </w:p>
    <w:p>
      <w:pPr>
        <w:pStyle w:val="Normal"/>
        <w:spacing w:lineRule="atLeast" w:line="20" w:before="0" w:after="120"/>
        <w:jc w:val="center"/>
        <w:rPr>
          <w:b/>
          <w:b/>
          <w:bCs/>
          <w:i/>
          <w:i/>
          <w:sz w:val="18"/>
          <w:szCs w:val="22"/>
          <w:u w:val="single"/>
          <w:lang w:val="en-US"/>
        </w:rPr>
      </w:pPr>
      <w:r>
        <w:rPr>
          <w:bCs/>
          <w:i/>
          <w:szCs w:val="22"/>
          <w:lang w:val="en-US"/>
        </w:rPr>
        <w:t xml:space="preserve">Figure 7. The typical shape of the leading drift time distribution in the straw tube: </w:t>
        <w:br/>
        <w:t>points – the simulation results, solid line - the experimental data.</w:t>
      </w:r>
    </w:p>
    <w:p>
      <w:pPr>
        <w:pStyle w:val="Normal"/>
        <w:spacing w:lineRule="atLeast" w:line="20"/>
        <w:jc w:val="both"/>
        <w:rPr>
          <w:b/>
          <w:b/>
          <w:bCs/>
          <w:i/>
          <w:i/>
          <w:sz w:val="18"/>
          <w:szCs w:val="22"/>
          <w:u w:val="single"/>
          <w:lang w:val="en-US"/>
        </w:rPr>
      </w:pPr>
      <w:r>
        <w:rPr>
          <w:b/>
          <w:bCs/>
          <w:i/>
          <w:sz w:val="18"/>
          <w:szCs w:val="22"/>
          <w:u w:val="single"/>
          <w:lang w:val="en-US"/>
        </w:rPr>
      </w:r>
    </w:p>
    <w:p>
      <w:pPr>
        <w:pStyle w:val="Normal"/>
        <w:spacing w:lineRule="atLeast" w:line="100" w:before="0" w:after="240"/>
        <w:rPr>
          <w:lang w:val="en-US"/>
        </w:rPr>
      </w:pPr>
      <w:r>
        <w:rPr>
          <w:b/>
          <w:bCs/>
          <w:u w:val="single"/>
          <w:lang w:val="en-US"/>
        </w:rPr>
        <w:t>The main results of the preparation and carrying out of the 2016 - 2017 runs</w:t>
      </w:r>
    </w:p>
    <w:p>
      <w:pPr>
        <w:pStyle w:val="Normal"/>
        <w:spacing w:lineRule="atLeast" w:line="20"/>
        <w:jc w:val="both"/>
        <w:rPr>
          <w:rFonts w:eastAsia="Tahoma"/>
          <w:lang w:val="en-US"/>
        </w:rPr>
      </w:pPr>
      <w:r>
        <w:rPr>
          <w:lang w:val="en-US"/>
        </w:rPr>
        <w:tab/>
        <w:t>During the physics NA62 run in 2016 a stable data taking was performed at the intensity of 13</w:t>
      </w:r>
      <w:r>
        <w:rPr>
          <w:rFonts w:eastAsia="Tahoma" w:cs="Liberation Serif" w:ascii="Liberation Serif" w:hAnsi="Liberation Serif"/>
          <w:lang w:val="en-US"/>
        </w:rPr>
        <w:t>×</w:t>
      </w:r>
      <w:r>
        <w:rPr>
          <w:lang w:val="en-US"/>
        </w:rPr>
        <w:t>10</w:t>
      </w:r>
      <w:r>
        <w:rPr>
          <w:vertAlign w:val="superscript"/>
          <w:lang w:val="en-US"/>
        </w:rPr>
        <w:t>11</w:t>
      </w:r>
      <w:r>
        <w:rPr>
          <w:lang w:val="en-US"/>
        </w:rPr>
        <w:t xml:space="preserve"> protons per pulse on the target used for the kaon flux generation (40% of nominal intensity). The intensity was limited by the beam time structure (including 50 Hz variations) that was leading to the increased maximum values of the beam intensity during the burst, that were much higher than it was expected. As a result, the backend electronics of some detectors (including the Spectrometer electronics) was not able to process the data during the peaks of intensity. Nevertheless, about 4</w:t>
      </w:r>
      <w:r>
        <w:rPr>
          <w:rFonts w:eastAsia="Tahoma" w:cs="Liberation Serif" w:ascii="Liberation Serif" w:hAnsi="Liberation Serif"/>
          <w:lang w:val="en-US"/>
        </w:rPr>
        <w:t>×</w:t>
      </w:r>
      <w:r>
        <w:rPr>
          <w:lang w:val="en-US"/>
        </w:rPr>
        <w:t>10</w:t>
      </w:r>
      <w:r>
        <w:rPr>
          <w:vertAlign w:val="superscript"/>
          <w:lang w:val="en-US"/>
        </w:rPr>
        <w:t>11</w:t>
      </w:r>
      <w:r>
        <w:rPr>
          <w:position w:val="1"/>
          <w:sz w:val="10"/>
          <w:lang w:val="en-US"/>
        </w:rPr>
        <w:t xml:space="preserve"> </w:t>
      </w:r>
      <w:r>
        <w:rPr>
          <w:lang w:val="en-US"/>
        </w:rPr>
        <w:t xml:space="preserve">kaon decays have been collected with a special mixture of trigger conditions useful for the </w:t>
      </w:r>
      <w:r>
        <w:rPr>
          <w:rFonts w:cs="Symbol" w:ascii="Symbol" w:hAnsi="Symbol"/>
          <w:bCs/>
          <w:i/>
          <w:spacing w:val="4"/>
          <w:lang w:val="en-US"/>
        </w:rPr>
        <w:t></w:t>
      </w:r>
      <w:r>
        <w:rPr>
          <w:bCs/>
          <w:spacing w:val="4"/>
          <w:sz w:val="18"/>
          <w:vertAlign w:val="superscript"/>
          <w:lang w:val="en-US"/>
        </w:rPr>
        <w:t></w:t>
      </w:r>
      <w:r>
        <w:rPr>
          <w:bCs/>
          <w:spacing w:val="4"/>
          <w:sz w:val="24"/>
          <w:vertAlign w:val="superscript"/>
          <w:lang w:val="en-US"/>
        </w:rPr>
        <w:t></w:t>
      </w:r>
      <w:r>
        <w:rPr>
          <w:rFonts w:cs="Symbol" w:ascii="Symbol" w:hAnsi="Symbol"/>
          <w:spacing w:val="1"/>
          <w:w w:val="120"/>
        </w:rPr>
        <w:t></w:t>
      </w:r>
      <w:r>
        <w:rPr>
          <w:rFonts w:eastAsia="Symbol" w:cs="Symbol" w:ascii="Symbol" w:hAnsi="Symbol"/>
          <w:i/>
          <w:lang w:val="en-US"/>
        </w:rPr>
        <w:t></w:t>
      </w:r>
      <w:r>
        <w:rPr>
          <w:rFonts w:eastAsia="Tahoma" w:cs="Symbol" w:ascii="Symbol" w:hAnsi="Symbol"/>
          <w:i/>
          <w:lang w:val="en-US"/>
        </w:rPr>
        <w:t></w:t>
      </w:r>
      <w:r>
        <w:rPr>
          <w:rFonts w:eastAsia="Wingdings"/>
          <w:bCs/>
          <w:i/>
          <w:spacing w:val="4"/>
          <w:szCs w:val="24"/>
          <w:vertAlign w:val="superscript"/>
          <w:lang w:val="en-US"/>
        </w:rPr>
        <w:t>+</w:t>
      </w:r>
      <w:r>
        <w:rPr>
          <w:rFonts w:eastAsia="Tahoma" w:cs="Symbol" w:ascii="Symbol" w:hAnsi="Symbol"/>
          <w:i/>
          <w:lang w:val="en-US"/>
        </w:rPr>
        <w:t></w:t>
      </w:r>
      <w:r>
        <w:rPr>
          <w:rFonts w:eastAsia="Tahoma" w:cs="Symbol" w:ascii="Symbol" w:hAnsi="Symbol"/>
          <w:lang w:val="en-US"/>
        </w:rPr>
        <w:t></w:t>
      </w:r>
      <w:r>
        <w:rPr>
          <w:rFonts w:eastAsia="Tahoma"/>
          <w:lang w:val="en-US"/>
        </w:rPr>
        <w:t>mode analysis.</w:t>
      </w:r>
    </w:p>
    <w:p>
      <w:pPr>
        <w:pStyle w:val="Normal"/>
        <w:spacing w:lineRule="atLeast" w:line="20"/>
        <w:jc w:val="both"/>
        <w:rPr>
          <w:rFonts w:eastAsia="Tahoma"/>
          <w:lang w:val="en-US"/>
        </w:rPr>
      </w:pPr>
      <w:r>
        <w:rPr>
          <w:rFonts w:eastAsia="Tahoma"/>
          <w:lang w:val="en-US"/>
        </w:rPr>
        <w:tab/>
        <w:t>Due to the firmware development, for the NA62 run in 2017 the data taking was possible at 60% of nominal intensity, that seems to be a maximum of the given time structure of the beam. During this run nearly   3</w:t>
      </w:r>
      <w:r>
        <w:rPr>
          <w:rFonts w:eastAsia="Tahoma" w:cs="Liberation Serif" w:ascii="Liberation Serif" w:hAnsi="Liberation Serif"/>
          <w:lang w:val="en-US"/>
        </w:rPr>
        <w:t>×</w:t>
      </w:r>
      <w:r>
        <w:rPr>
          <w:rFonts w:eastAsia="Tahoma"/>
          <w:lang w:val="en-US"/>
        </w:rPr>
        <w:t>10</w:t>
      </w:r>
      <w:r>
        <w:rPr>
          <w:rFonts w:eastAsia="Tahoma"/>
          <w:vertAlign w:val="superscript"/>
          <w:lang w:val="en-US"/>
        </w:rPr>
        <w:t>12</w:t>
      </w:r>
      <w:r>
        <w:rPr>
          <w:rFonts w:eastAsia="Tahoma"/>
          <w:position w:val="1"/>
          <w:sz w:val="10"/>
          <w:lang w:val="en-US"/>
        </w:rPr>
        <w:t xml:space="preserve"> </w:t>
      </w:r>
      <w:r>
        <w:rPr>
          <w:rFonts w:eastAsia="Tahoma"/>
          <w:lang w:val="en-US"/>
        </w:rPr>
        <w:t xml:space="preserve">kaon decays have been recorded. </w:t>
      </w:r>
    </w:p>
    <w:p>
      <w:pPr>
        <w:pStyle w:val="Normal"/>
        <w:spacing w:lineRule="atLeast" w:line="20"/>
        <w:jc w:val="both"/>
        <w:rPr/>
      </w:pPr>
      <w:r>
        <w:rPr>
          <w:rFonts w:eastAsia="Tahoma"/>
          <w:lang w:val="en-US"/>
        </w:rPr>
        <w:tab/>
        <w:t>The similar run conditions are expected for the run of 2018. The total expected statistics to be collected in 2016-2018 will correspond to 10 – 15 signal events for the SM predicted branching ratio. So there is a preliminary plan to perform the data taking also after the long shutdown scheduled for 2019-2020 in order to complete the</w:t>
      </w:r>
      <w:r>
        <w:rPr>
          <w:rFonts w:eastAsia="Tahoma" w:cs="Symbol" w:ascii="Symbol" w:hAnsi="Symbol"/>
          <w:lang w:val="en-US"/>
        </w:rPr>
        <w:t></w:t>
      </w:r>
      <w:r>
        <w:rPr>
          <w:rFonts w:cs="Symbol" w:ascii="Symbol" w:hAnsi="Symbol"/>
          <w:bCs/>
          <w:i/>
          <w:spacing w:val="4"/>
          <w:lang w:val="en-US"/>
        </w:rPr>
        <w:t></w:t>
      </w:r>
      <w:r>
        <w:rPr>
          <w:bCs/>
          <w:spacing w:val="4"/>
          <w:sz w:val="18"/>
          <w:vertAlign w:val="superscript"/>
          <w:lang w:val="en-US"/>
        </w:rPr>
        <w:t></w:t>
      </w:r>
      <w:r>
        <w:rPr>
          <w:bCs/>
          <w:spacing w:val="4"/>
          <w:sz w:val="24"/>
          <w:vertAlign w:val="superscript"/>
          <w:lang w:val="en-US"/>
        </w:rPr>
        <w:t></w:t>
      </w:r>
      <w:r>
        <w:rPr>
          <w:rFonts w:cs="Symbol" w:ascii="Symbol" w:hAnsi="Symbol"/>
          <w:spacing w:val="1"/>
          <w:w w:val="120"/>
        </w:rPr>
        <w:t></w:t>
      </w:r>
      <w:r>
        <w:rPr>
          <w:rFonts w:eastAsia="Symbol" w:cs="Symbol" w:ascii="Symbol" w:hAnsi="Symbol"/>
          <w:lang w:val="en-US"/>
        </w:rPr>
        <w:t></w:t>
      </w:r>
      <w:r>
        <w:rPr>
          <w:rFonts w:eastAsia="Tahoma" w:cs="Symbol" w:ascii="Symbol" w:hAnsi="Symbol"/>
          <w:i/>
          <w:lang w:val="en-US"/>
        </w:rPr>
        <w:t></w:t>
      </w:r>
      <w:r>
        <w:rPr>
          <w:rFonts w:eastAsia="Wingdings"/>
          <w:bCs/>
          <w:i/>
          <w:spacing w:val="4"/>
          <w:szCs w:val="24"/>
          <w:vertAlign w:val="superscript"/>
          <w:lang w:val="en-US"/>
        </w:rPr>
        <w:t>+</w:t>
      </w:r>
      <w:r>
        <w:rPr>
          <w:rFonts w:eastAsia="Tahoma" w:cs="Symbol" w:ascii="Symbol" w:hAnsi="Symbol"/>
          <w:i/>
          <w:lang w:val="en-US"/>
        </w:rPr>
        <w:t></w:t>
      </w:r>
      <w:r>
        <w:rPr>
          <w:rFonts w:eastAsia="Tahoma" w:cs="Symbol" w:ascii="Symbol" w:hAnsi="Symbol"/>
          <w:lang w:val="en-US"/>
        </w:rPr>
        <w:t></w:t>
      </w:r>
      <w:r>
        <w:rPr>
          <w:rFonts w:eastAsia="Tahoma"/>
          <w:lang w:val="en-US"/>
        </w:rPr>
        <w:t>measurement with the statistics initially foreseen by the experiment Proposal.</w:t>
      </w:r>
    </w:p>
    <w:p>
      <w:pPr>
        <w:pStyle w:val="Normal"/>
        <w:spacing w:lineRule="atLeast" w:line="20"/>
        <w:jc w:val="both"/>
        <w:rPr>
          <w:lang w:val="en-US"/>
        </w:rPr>
      </w:pPr>
      <w:r>
        <w:rPr>
          <w:rFonts w:eastAsia="Tahoma"/>
          <w:lang w:val="en-US"/>
        </w:rPr>
        <w:tab/>
        <w:t>The intermediate results of the main mode analysis are based on the 5% of the 2016 run statistics. The blind analysis strategy is adopted, so the data used for the selection cuts optimization will not participate in the final signal measurement – that is why only a very small part of collected data may be considered at the present stage of the analysis.</w:t>
      </w:r>
    </w:p>
    <w:p>
      <w:pPr>
        <w:pStyle w:val="Normal"/>
        <w:spacing w:lineRule="atLeast" w:line="20" w:before="0" w:after="120"/>
        <w:jc w:val="both"/>
        <w:rPr>
          <w:rFonts w:eastAsia="Tahoma"/>
          <w:b/>
          <w:b/>
          <w:bCs/>
          <w:sz w:val="24"/>
          <w:u w:val="single"/>
          <w:lang w:val="en-US"/>
        </w:rPr>
      </w:pPr>
      <w:r>
        <w:rPr>
          <w:rFonts w:eastAsia="Tahoma"/>
          <w:b/>
          <w:bCs/>
          <w:sz w:val="24"/>
          <w:u w:val="single"/>
          <w:lang w:val="en-US"/>
        </w:rPr>
        <w:drawing>
          <wp:anchor behindDoc="0" distT="0" distB="0" distL="18415" distR="3175" simplePos="0" locked="0" layoutInCell="1" allowOverlap="1" relativeHeight="4">
            <wp:simplePos x="0" y="0"/>
            <wp:positionH relativeFrom="column">
              <wp:posOffset>3242945</wp:posOffset>
            </wp:positionH>
            <wp:positionV relativeFrom="paragraph">
              <wp:posOffset>188595</wp:posOffset>
            </wp:positionV>
            <wp:extent cx="2682875" cy="2211070"/>
            <wp:effectExtent l="0" t="0" r="0" b="0"/>
            <wp:wrapSquare wrapText="largest"/>
            <wp:docPr id="1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descr=""/>
                    <pic:cNvPicPr>
                      <a:picLocks noChangeAspect="1" noChangeArrowheads="1"/>
                    </pic:cNvPicPr>
                  </pic:nvPicPr>
                  <pic:blipFill>
                    <a:blip r:embed="rId13"/>
                    <a:stretch>
                      <a:fillRect/>
                    </a:stretch>
                  </pic:blipFill>
                  <pic:spPr bwMode="auto">
                    <a:xfrm>
                      <a:off x="0" y="0"/>
                      <a:ext cx="2682875" cy="2211070"/>
                    </a:xfrm>
                    <a:prstGeom prst="rect">
                      <a:avLst/>
                    </a:prstGeom>
                  </pic:spPr>
                </pic:pic>
              </a:graphicData>
            </a:graphic>
          </wp:anchor>
        </w:drawing>
        <w:drawing>
          <wp:anchor behindDoc="0" distT="0" distB="0" distL="18415" distR="7620" simplePos="0" locked="0" layoutInCell="1" allowOverlap="1" relativeHeight="21">
            <wp:simplePos x="0" y="0"/>
            <wp:positionH relativeFrom="column">
              <wp:posOffset>421005</wp:posOffset>
            </wp:positionH>
            <wp:positionV relativeFrom="paragraph">
              <wp:posOffset>157480</wp:posOffset>
            </wp:positionV>
            <wp:extent cx="2392680" cy="2267585"/>
            <wp:effectExtent l="0" t="0" r="0" b="0"/>
            <wp:wrapSquare wrapText="largest"/>
            <wp:docPr id="1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descr=""/>
                    <pic:cNvPicPr>
                      <a:picLocks noChangeAspect="1" noChangeArrowheads="1"/>
                    </pic:cNvPicPr>
                  </pic:nvPicPr>
                  <pic:blipFill>
                    <a:blip r:embed="rId14"/>
                    <a:stretch>
                      <a:fillRect/>
                    </a:stretch>
                  </pic:blipFill>
                  <pic:spPr bwMode="auto">
                    <a:xfrm>
                      <a:off x="0" y="0"/>
                      <a:ext cx="2392680" cy="2267585"/>
                    </a:xfrm>
                    <a:prstGeom prst="rect">
                      <a:avLst/>
                    </a:prstGeom>
                  </pic:spPr>
                </pic:pic>
              </a:graphicData>
            </a:graphic>
          </wp:anchor>
        </w:drawing>
      </w:r>
    </w:p>
    <w:p>
      <w:pPr>
        <w:pStyle w:val="Normal"/>
        <w:spacing w:lineRule="atLeast" w:line="20" w:before="0" w:after="120"/>
        <w:jc w:val="both"/>
        <w:rPr>
          <w:rFonts w:eastAsia="Tahoma"/>
          <w:b/>
          <w:b/>
          <w:bCs/>
          <w:sz w:val="24"/>
          <w:u w:val="single"/>
          <w:lang w:val="en-US"/>
        </w:rPr>
      </w:pPr>
      <w:r>
        <w:rPr>
          <w:rFonts w:eastAsia="Tahoma"/>
          <w:b/>
          <w:bCs/>
          <w:sz w:val="24"/>
          <w:u w:val="single"/>
          <w:lang w:val="en-US"/>
        </w:rPr>
      </w:r>
    </w:p>
    <w:p>
      <w:pPr>
        <w:pStyle w:val="Normal"/>
        <w:spacing w:lineRule="atLeast" w:line="20" w:before="0" w:after="120"/>
        <w:jc w:val="both"/>
        <w:rPr>
          <w:rFonts w:eastAsia="Arial Unicode MS"/>
          <w:b/>
          <w:b/>
          <w:bCs/>
          <w:sz w:val="24"/>
          <w:u w:val="single"/>
          <w:lang w:val="en-US"/>
        </w:rPr>
      </w:pPr>
      <w:r>
        <w:rPr>
          <w:rFonts w:eastAsia="Arial Unicode MS"/>
          <w:b/>
          <w:bCs/>
          <w:sz w:val="24"/>
          <w:u w:val="single"/>
          <w:lang w:val="en-US"/>
        </w:rPr>
      </w:r>
    </w:p>
    <w:p>
      <w:pPr>
        <w:pStyle w:val="Normal"/>
        <w:spacing w:lineRule="atLeast" w:line="20" w:before="0" w:after="120"/>
        <w:jc w:val="both"/>
        <w:rPr>
          <w:rFonts w:eastAsia="Arial Unicode MS"/>
          <w:b/>
          <w:b/>
          <w:bCs/>
          <w:sz w:val="24"/>
          <w:u w:val="single"/>
          <w:lang w:val="en-US"/>
        </w:rPr>
      </w:pPr>
      <w:r>
        <w:rPr>
          <w:rFonts w:eastAsia="Arial Unicode MS"/>
          <w:b/>
          <w:bCs/>
          <w:sz w:val="24"/>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i/>
          <w:i/>
          <w:iCs/>
          <w:sz w:val="22"/>
          <w:szCs w:val="22"/>
          <w:u w:val="single"/>
          <w:lang w:val="en-US"/>
        </w:rPr>
      </w:pPr>
      <w:r>
        <w:rPr>
          <w:rFonts w:eastAsia="Arial Unicode MS"/>
          <w:b/>
          <w:bCs/>
          <w:i/>
          <w:iCs/>
          <w:sz w:val="22"/>
          <w:szCs w:val="22"/>
          <w:u w:val="single"/>
          <w:lang w:val="en-US"/>
        </w:rPr>
      </w:r>
    </w:p>
    <w:p>
      <w:pPr>
        <w:pStyle w:val="Normal"/>
        <w:spacing w:lineRule="atLeast" w:line="20"/>
        <w:jc w:val="center"/>
        <w:rPr>
          <w:rFonts w:eastAsia="Arial Unicode MS"/>
          <w:i/>
          <w:i/>
          <w:iCs/>
          <w:szCs w:val="22"/>
          <w:lang w:val="en-US"/>
        </w:rPr>
      </w:pPr>
      <w:r>
        <w:rPr>
          <w:rFonts w:eastAsia="Arial Unicode MS"/>
          <w:i/>
          <w:iCs/>
          <w:szCs w:val="22"/>
          <w:lang w:val="en-US"/>
        </w:rPr>
        <w:t xml:space="preserve">Figure 8. Left: GTK and KTAG (CEDAR) time difference distributions for the kaons corresponding to the selected      </w:t>
      </w:r>
      <w:r>
        <w:rPr>
          <w:rFonts w:eastAsia="Arial Unicode MS"/>
          <w:i/>
          <w:spacing w:val="1"/>
          <w:w w:val="120"/>
          <w:szCs w:val="22"/>
          <w:lang w:val="en-US"/>
        </w:rPr>
        <w:t>K</w:t>
      </w:r>
      <w:r>
        <w:rPr>
          <w:rFonts w:eastAsia="Arial Unicode MS"/>
          <w:i/>
          <w:spacing w:val="1"/>
          <w:w w:val="120"/>
          <w:szCs w:val="22"/>
          <w:vertAlign w:val="superscript"/>
          <w:lang w:val="en-US"/>
        </w:rPr>
        <w:t>+</w:t>
      </w:r>
      <w:r>
        <w:rPr>
          <w:rFonts w:eastAsia="Arial Unicode MS"/>
          <w:i/>
          <w:spacing w:val="1"/>
          <w:w w:val="120"/>
          <w:szCs w:val="22"/>
          <w:lang w:val="en-US"/>
        </w:rPr>
        <w:t xml:space="preserve"> </w:t>
      </w:r>
      <w:r>
        <w:rPr>
          <w:rFonts w:eastAsia="Arial Unicode MS" w:cs="Symbol" w:ascii="Symbol" w:hAnsi="Symbol"/>
          <w:i/>
          <w:spacing w:val="1"/>
          <w:w w:val="120"/>
          <w:szCs w:val="22"/>
          <w:lang w:val="en-US"/>
        </w:rPr>
        <w:t></w:t>
      </w:r>
      <w:r>
        <w:rPr>
          <w:rFonts w:eastAsia="Arial Unicode MS"/>
          <w:i/>
          <w:spacing w:val="1"/>
          <w:w w:val="120"/>
          <w:szCs w:val="22"/>
          <w:vertAlign w:val="superscript"/>
          <w:lang w:val="en-US"/>
        </w:rPr>
        <w:t>+</w:t>
      </w:r>
      <w:r>
        <w:rPr>
          <w:rFonts w:eastAsia="Arial Unicode MS" w:cs="Symbol" w:ascii="Symbol" w:hAnsi="Symbol"/>
          <w:i/>
          <w:spacing w:val="1"/>
          <w:w w:val="120"/>
          <w:szCs w:val="22"/>
          <w:lang w:val="en-US"/>
        </w:rPr>
        <w:t></w:t>
      </w:r>
      <w:r>
        <w:rPr>
          <w:rFonts w:eastAsia="Arial Unicode MS"/>
          <w:i/>
          <w:spacing w:val="1"/>
          <w:w w:val="120"/>
          <w:szCs w:val="22"/>
          <w:vertAlign w:val="superscript"/>
          <w:lang w:val="en-US"/>
        </w:rPr>
        <w:t>+</w:t>
      </w:r>
      <w:r>
        <w:rPr>
          <w:rFonts w:eastAsia="Arial Unicode MS" w:cs="Symbol" w:ascii="Symbol" w:hAnsi="Symbol"/>
          <w:i/>
          <w:spacing w:val="1"/>
          <w:w w:val="120"/>
          <w:szCs w:val="22"/>
          <w:lang w:val="en-US"/>
        </w:rPr>
        <w:t></w:t>
      </w:r>
      <w:r>
        <w:rPr>
          <w:rFonts w:eastAsia="Arial Unicode MS"/>
          <w:i/>
          <w:spacing w:val="1"/>
          <w:w w:val="120"/>
          <w:szCs w:val="22"/>
          <w:vertAlign w:val="superscript"/>
          <w:lang w:val="en-US"/>
        </w:rPr>
        <w:t>-</w:t>
      </w:r>
      <w:r>
        <w:rPr>
          <w:rFonts w:eastAsia="Arial Unicode MS"/>
          <w:i/>
          <w:iCs/>
          <w:szCs w:val="22"/>
          <w:lang w:val="en-US"/>
        </w:rPr>
        <w:t xml:space="preserve"> decays (black points) and for the accidental combinations (green points).</w:t>
      </w:r>
    </w:p>
    <w:p>
      <w:pPr>
        <w:pStyle w:val="Normal"/>
        <w:spacing w:lineRule="atLeast" w:line="20" w:before="0" w:after="120"/>
        <w:jc w:val="center"/>
        <w:rPr>
          <w:rFonts w:eastAsia="Arial Unicode MS"/>
          <w:lang w:val="en-US"/>
        </w:rPr>
      </w:pPr>
      <w:r>
        <w:rPr>
          <w:rFonts w:eastAsia="Arial Unicode MS"/>
          <w:i/>
          <w:iCs/>
          <w:szCs w:val="22"/>
          <w:lang w:val="en-US"/>
        </w:rPr>
        <w:t>Right: Missing mass versus the positively charged track momentum for the data collected with a minimum bias trigger in 2016. Red boxes show signal regions.</w:t>
      </w:r>
    </w:p>
    <w:p>
      <w:pPr>
        <w:pStyle w:val="Normal"/>
        <w:spacing w:lineRule="atLeast" w:line="20" w:before="0" w:after="120"/>
        <w:jc w:val="both"/>
        <w:rPr>
          <w:rFonts w:eastAsia="Arial Unicode MS"/>
          <w:lang w:val="en-US"/>
        </w:rPr>
      </w:pPr>
      <w:r>
        <w:rPr>
          <w:rFonts w:eastAsia="Arial Unicode MS"/>
          <w:lang w:val="en-US"/>
        </w:rPr>
        <w:tab/>
        <w:t>Fig. 8 (left plot) demonstrates the time resolution for the two detectors measuring the incoming charged kaon: Gigatracker and KTAG (CEDAR). The time difference peak is formed by the KTAG time resolution of ~ 100 ps and KTAG resolution of 80 ps. The probability of accidental kaon mis-tagging is estimated to be 1.7%. The typical closest distance between the kaon and pion tracks forming a physical vertex is ~ 1.5 mm.</w:t>
      </w:r>
    </w:p>
    <w:p>
      <w:pPr>
        <w:pStyle w:val="Normal"/>
        <w:spacing w:lineRule="atLeast" w:line="20" w:before="0" w:after="120"/>
        <w:jc w:val="both"/>
        <w:rPr>
          <w:lang w:val="en-US"/>
        </w:rPr>
      </w:pPr>
      <w:r>
        <w:rPr>
          <w:rFonts w:eastAsia="Arial Unicode MS"/>
          <w:lang w:val="en-US"/>
        </w:rPr>
        <w:tab/>
        <w:t>The right plot of the Fig. 8 shows the kinematical plots for the minimum bias data.</w:t>
      </w:r>
      <w:r>
        <w:rPr>
          <w:rFonts w:eastAsia="Arial Unicode MS"/>
          <w:sz w:val="24"/>
          <w:szCs w:val="24"/>
          <w:lang w:val="en-US"/>
        </w:rPr>
        <w:t xml:space="preserve"> </w:t>
      </w:r>
      <w:r>
        <w:rPr>
          <w:rFonts w:eastAsia="Arial Unicode MS"/>
          <w:lang w:val="en-US"/>
        </w:rPr>
        <w:t xml:space="preserve">The largest background sources are </w:t>
      </w:r>
      <w:r>
        <w:rPr>
          <w:rFonts w:eastAsia="Arial Unicode MS"/>
          <w:i/>
          <w:spacing w:val="1"/>
          <w:w w:val="120"/>
          <w:lang w:val="en-US"/>
        </w:rPr>
        <w:t>K</w:t>
      </w:r>
      <w:r>
        <w:rPr>
          <w:rFonts w:eastAsia="Arial Unicode MS"/>
          <w:i/>
          <w:spacing w:val="1"/>
          <w:w w:val="120"/>
          <w:vertAlign w:val="superscript"/>
          <w:lang w:val="en-US"/>
        </w:rPr>
        <w:t>+</w:t>
      </w:r>
      <w:r>
        <w:rPr>
          <w:rFonts w:eastAsia="Arial Unicode MS" w:cs="Symbol" w:ascii="Symbol" w:hAnsi="Symbol"/>
          <w:i/>
          <w:spacing w:val="1"/>
          <w:w w:val="120"/>
          <w:lang w:val="en-US"/>
        </w:rPr>
        <w:t></w:t>
      </w:r>
      <w:r>
        <w:rPr>
          <w:rFonts w:eastAsia="Arial Unicode MS"/>
          <w:i/>
          <w:spacing w:val="1"/>
          <w:w w:val="120"/>
          <w:vertAlign w:val="superscript"/>
          <w:lang w:val="en-US"/>
        </w:rPr>
        <w:t>+</w:t>
      </w:r>
      <w:r>
        <w:rPr>
          <w:rFonts w:eastAsia="Arial Unicode MS" w:cs="Symbol" w:ascii="Symbol" w:hAnsi="Symbol"/>
          <w:i/>
          <w:spacing w:val="1"/>
          <w:w w:val="120"/>
          <w:lang w:val="en-US"/>
        </w:rPr>
        <w:t></w:t>
      </w:r>
      <w:r>
        <w:rPr>
          <w:rFonts w:eastAsia="Arial Unicode MS"/>
          <w:i/>
          <w:spacing w:val="1"/>
          <w:w w:val="120"/>
          <w:vertAlign w:val="superscript"/>
          <w:lang w:val="en-US"/>
        </w:rPr>
        <w:t>+</w:t>
      </w:r>
      <w:r>
        <w:rPr>
          <w:rFonts w:eastAsia="Arial Unicode MS" w:cs="Symbol" w:ascii="Symbol" w:hAnsi="Symbol"/>
          <w:i/>
          <w:spacing w:val="1"/>
          <w:w w:val="120"/>
          <w:lang w:val="en-US"/>
        </w:rPr>
        <w:t></w:t>
      </w:r>
      <w:r>
        <w:rPr>
          <w:rFonts w:eastAsia="Arial Unicode MS"/>
          <w:i/>
          <w:spacing w:val="1"/>
          <w:w w:val="120"/>
          <w:vertAlign w:val="superscript"/>
          <w:lang w:val="en-US"/>
        </w:rPr>
        <w:t>-</w:t>
      </w:r>
      <w:r>
        <w:rPr>
          <w:rFonts w:eastAsia="Arial Unicode MS"/>
          <w:lang w:val="en-US"/>
        </w:rPr>
        <w:t xml:space="preserve"> (dominating above 0.07 GeV</w:t>
      </w:r>
      <w:r>
        <w:rPr>
          <w:rFonts w:eastAsia="Arial Unicode MS"/>
          <w:vertAlign w:val="superscript"/>
          <w:lang w:val="en-US"/>
        </w:rPr>
        <w:t>2</w:t>
      </w:r>
      <w:r>
        <w:rPr>
          <w:rFonts w:eastAsia="Arial Unicode MS"/>
          <w:lang w:val="en-US"/>
        </w:rPr>
        <w:t>/c</w:t>
      </w:r>
      <w:r>
        <w:rPr>
          <w:rFonts w:eastAsia="Arial Unicode MS"/>
          <w:vertAlign w:val="superscript"/>
          <w:lang w:val="en-US"/>
        </w:rPr>
        <w:t>4</w:t>
      </w:r>
      <w:r>
        <w:rPr>
          <w:rFonts w:eastAsia="Arial Unicode MS"/>
          <w:lang w:val="en-US"/>
        </w:rPr>
        <w:t xml:space="preserve">), </w:t>
      </w:r>
      <w:r>
        <w:rPr>
          <w:rFonts w:eastAsia="Arial Unicode MS"/>
          <w:i/>
          <w:spacing w:val="1"/>
          <w:w w:val="120"/>
          <w:lang w:val="en-US"/>
        </w:rPr>
        <w:t>K</w:t>
      </w:r>
      <w:r>
        <w:rPr>
          <w:rFonts w:eastAsia="Arial Unicode MS"/>
          <w:i/>
          <w:spacing w:val="1"/>
          <w:w w:val="120"/>
          <w:vertAlign w:val="superscript"/>
          <w:lang w:val="en-US"/>
        </w:rPr>
        <w:t>+</w:t>
      </w:r>
      <w:r>
        <w:rPr>
          <w:rFonts w:eastAsia="Arial Unicode MS" w:cs="Symbol" w:ascii="Symbol" w:hAnsi="Symbol"/>
          <w:i/>
          <w:spacing w:val="1"/>
          <w:w w:val="120"/>
          <w:lang w:val="en-US"/>
        </w:rPr>
        <w:t></w:t>
      </w:r>
      <w:r>
        <w:rPr>
          <w:rFonts w:eastAsia="Arial Unicode MS"/>
          <w:i/>
          <w:spacing w:val="1"/>
          <w:w w:val="120"/>
          <w:vertAlign w:val="superscript"/>
          <w:lang w:val="en-US"/>
        </w:rPr>
        <w:t>+</w:t>
      </w:r>
      <w:r>
        <w:rPr>
          <w:rFonts w:eastAsia="Arial Unicode MS" w:cs="Symbol" w:ascii="Symbol" w:hAnsi="Symbol"/>
          <w:i/>
          <w:spacing w:val="1"/>
          <w:w w:val="120"/>
          <w:lang w:val="en-US"/>
        </w:rPr>
        <w:t></w:t>
      </w:r>
      <w:r>
        <w:rPr>
          <w:rFonts w:eastAsia="Arial Unicode MS"/>
          <w:i/>
          <w:spacing w:val="1"/>
          <w:w w:val="120"/>
          <w:vertAlign w:val="superscript"/>
          <w:lang w:val="en-US"/>
        </w:rPr>
        <w:t>0</w:t>
      </w:r>
      <w:r>
        <w:rPr>
          <w:rFonts w:eastAsia="Arial Unicode MS"/>
          <w:lang w:val="en-US"/>
        </w:rPr>
        <w:t xml:space="preserve"> (the peak near 0.02 GeV</w:t>
      </w:r>
      <w:r>
        <w:rPr>
          <w:rFonts w:eastAsia="Arial Unicode MS"/>
          <w:vertAlign w:val="superscript"/>
          <w:lang w:val="en-US"/>
        </w:rPr>
        <w:t>2</w:t>
      </w:r>
      <w:r>
        <w:rPr>
          <w:rFonts w:eastAsia="Arial Unicode MS"/>
          <w:lang w:val="en-US"/>
        </w:rPr>
        <w:t>/c</w:t>
      </w:r>
      <w:r>
        <w:rPr>
          <w:rFonts w:eastAsia="Arial Unicode MS"/>
          <w:vertAlign w:val="superscript"/>
          <w:lang w:val="en-US"/>
        </w:rPr>
        <w:t>4</w:t>
      </w:r>
      <w:r>
        <w:rPr>
          <w:rFonts w:eastAsia="Arial Unicode MS"/>
          <w:lang w:val="en-US"/>
        </w:rPr>
        <w:t xml:space="preserve">) and </w:t>
      </w:r>
      <w:r>
        <w:rPr>
          <w:rFonts w:eastAsia="Arial Unicode MS"/>
          <w:i/>
          <w:spacing w:val="1"/>
          <w:w w:val="120"/>
          <w:lang w:val="en-US"/>
        </w:rPr>
        <w:t>K</w:t>
      </w:r>
      <w:r>
        <w:rPr>
          <w:rFonts w:eastAsia="Arial Unicode MS"/>
          <w:i/>
          <w:spacing w:val="1"/>
          <w:w w:val="120"/>
          <w:vertAlign w:val="superscript"/>
          <w:lang w:val="en-US"/>
        </w:rPr>
        <w:t>+</w:t>
      </w:r>
      <w:r>
        <w:rPr>
          <w:rFonts w:eastAsia="Arial Unicode MS" w:cs="Symbol" w:ascii="Symbol" w:hAnsi="Symbol"/>
          <w:i/>
          <w:spacing w:val="1"/>
          <w:w w:val="120"/>
          <w:lang w:val="en-US"/>
        </w:rPr>
        <w:t></w:t>
      </w:r>
      <w:r>
        <w:rPr>
          <w:rFonts w:eastAsia="Arial Unicode MS"/>
          <w:i/>
          <w:spacing w:val="1"/>
          <w:w w:val="120"/>
          <w:vertAlign w:val="superscript"/>
          <w:lang w:val="en-US"/>
        </w:rPr>
        <w:t>+</w:t>
      </w:r>
      <w:r>
        <w:rPr>
          <w:rFonts w:eastAsia="Arial Unicode MS" w:cs="Symbol" w:ascii="Symbol" w:hAnsi="Symbol"/>
          <w:i/>
          <w:spacing w:val="1"/>
          <w:w w:val="120"/>
          <w:lang w:val="en-US"/>
        </w:rPr>
        <w:t></w:t>
      </w:r>
      <w:r>
        <w:rPr>
          <w:rFonts w:eastAsia="Arial Unicode MS"/>
          <w:lang w:val="en-US"/>
        </w:rPr>
        <w:t xml:space="preserve"> (the negative missing mass zone). One can see, that the main backgrounds are detected with the expected characteristics, so their kinematical suppression is expected to be efficient.   </w:t>
      </w:r>
    </w:p>
    <w:p>
      <w:pPr>
        <w:pStyle w:val="Normal"/>
        <w:spacing w:lineRule="atLeast" w:line="20" w:before="0" w:after="120"/>
        <w:jc w:val="both"/>
        <w:rPr>
          <w:rFonts w:eastAsia="Arial Unicode MS"/>
          <w:b/>
          <w:b/>
          <w:bCs/>
          <w:u w:val="single"/>
          <w:lang w:val="en-US"/>
        </w:rPr>
      </w:pPr>
      <w:r>
        <w:rPr>
          <w:rFonts w:eastAsia="Arial Unicode MS"/>
          <w:b/>
          <w:bCs/>
          <w:u w:val="single"/>
          <w:lang w:val="en-US"/>
        </w:rPr>
        <w:drawing>
          <wp:anchor behindDoc="0" distT="0" distB="0" distL="18415" distR="0" simplePos="0" locked="0" layoutInCell="1" allowOverlap="1" relativeHeight="12">
            <wp:simplePos x="0" y="0"/>
            <wp:positionH relativeFrom="column">
              <wp:posOffset>1343660</wp:posOffset>
            </wp:positionH>
            <wp:positionV relativeFrom="paragraph">
              <wp:posOffset>51435</wp:posOffset>
            </wp:positionV>
            <wp:extent cx="3524250" cy="2413635"/>
            <wp:effectExtent l="0" t="0" r="0" b="0"/>
            <wp:wrapSquare wrapText="largest"/>
            <wp:docPr id="1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5" descr=""/>
                    <pic:cNvPicPr>
                      <a:picLocks noChangeAspect="1" noChangeArrowheads="1"/>
                    </pic:cNvPicPr>
                  </pic:nvPicPr>
                  <pic:blipFill>
                    <a:blip r:embed="rId15"/>
                    <a:stretch>
                      <a:fillRect/>
                    </a:stretch>
                  </pic:blipFill>
                  <pic:spPr bwMode="auto">
                    <a:xfrm>
                      <a:off x="0" y="0"/>
                      <a:ext cx="3524250" cy="2413635"/>
                    </a:xfrm>
                    <a:prstGeom prst="rect">
                      <a:avLst/>
                    </a:prstGeom>
                  </pic:spPr>
                </pic:pic>
              </a:graphicData>
            </a:graphic>
          </wp:anchor>
        </w:drawing>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i/>
          <w:i/>
          <w:iCs/>
          <w:sz w:val="22"/>
          <w:szCs w:val="22"/>
          <w:u w:val="single"/>
          <w:lang w:val="en-US"/>
        </w:rPr>
      </w:pPr>
      <w:r>
        <w:rPr>
          <w:rFonts w:eastAsia="Arial Unicode MS"/>
          <w:b/>
          <w:bCs/>
          <w:i/>
          <w:iCs/>
          <w:sz w:val="22"/>
          <w:szCs w:val="22"/>
          <w:u w:val="single"/>
          <w:lang w:val="en-US"/>
        </w:rPr>
      </w:r>
    </w:p>
    <w:p>
      <w:pPr>
        <w:pStyle w:val="Normal"/>
        <w:spacing w:lineRule="atLeast" w:line="20" w:before="0" w:after="120"/>
        <w:jc w:val="center"/>
        <w:rPr>
          <w:rFonts w:eastAsia="Arial Unicode MS"/>
          <w:lang w:val="en-US"/>
        </w:rPr>
      </w:pPr>
      <w:r>
        <w:rPr>
          <w:rFonts w:eastAsia="Arial Unicode MS"/>
          <w:i/>
          <w:iCs/>
          <w:szCs w:val="22"/>
          <w:lang w:val="en-US"/>
        </w:rPr>
        <w:t xml:space="preserve">Figure 9. Resolution of the missing mass measured from the </w:t>
      </w:r>
      <w:r>
        <w:rPr>
          <w:rFonts w:eastAsia="Arial Unicode MS"/>
          <w:i/>
          <w:spacing w:val="1"/>
          <w:w w:val="120"/>
          <w:szCs w:val="22"/>
          <w:lang w:val="en-US"/>
        </w:rPr>
        <w:t>K</w:t>
      </w:r>
      <w:r>
        <w:rPr>
          <w:rFonts w:eastAsia="Arial Unicode MS"/>
          <w:i/>
          <w:spacing w:val="1"/>
          <w:w w:val="120"/>
          <w:szCs w:val="22"/>
          <w:vertAlign w:val="superscript"/>
          <w:lang w:val="en-US"/>
        </w:rPr>
        <w:t>+</w:t>
      </w:r>
      <w:r>
        <w:rPr>
          <w:rFonts w:eastAsia="Arial Unicode MS"/>
          <w:i/>
          <w:spacing w:val="1"/>
          <w:w w:val="120"/>
          <w:szCs w:val="22"/>
          <w:lang w:val="en-US"/>
        </w:rPr>
        <w:t xml:space="preserve"> </w:t>
      </w:r>
      <w:r>
        <w:rPr>
          <w:rFonts w:eastAsia="Arial Unicode MS" w:cs="Symbol" w:ascii="Symbol" w:hAnsi="Symbol"/>
          <w:i/>
          <w:spacing w:val="1"/>
          <w:w w:val="120"/>
          <w:szCs w:val="22"/>
          <w:lang w:val="en-US"/>
        </w:rPr>
        <w:t></w:t>
      </w:r>
      <w:r>
        <w:rPr>
          <w:rFonts w:eastAsia="Arial Unicode MS"/>
          <w:i/>
          <w:spacing w:val="1"/>
          <w:w w:val="120"/>
          <w:szCs w:val="22"/>
          <w:vertAlign w:val="superscript"/>
          <w:lang w:val="en-US"/>
        </w:rPr>
        <w:t>+</w:t>
      </w:r>
      <w:r>
        <w:rPr>
          <w:rFonts w:eastAsia="Arial Unicode MS" w:cs="Symbol" w:ascii="Symbol" w:hAnsi="Symbol"/>
          <w:i/>
          <w:spacing w:val="1"/>
          <w:w w:val="120"/>
          <w:szCs w:val="22"/>
          <w:lang w:val="en-US"/>
        </w:rPr>
        <w:t></w:t>
      </w:r>
      <w:r>
        <w:rPr>
          <w:rFonts w:eastAsia="Arial Unicode MS"/>
          <w:i/>
          <w:spacing w:val="1"/>
          <w:w w:val="120"/>
          <w:szCs w:val="22"/>
          <w:vertAlign w:val="superscript"/>
          <w:lang w:val="en-US"/>
        </w:rPr>
        <w:t>0</w:t>
      </w:r>
      <w:r>
        <w:rPr>
          <w:rFonts w:eastAsia="Arial Unicode MS"/>
          <w:i/>
          <w:iCs/>
          <w:szCs w:val="22"/>
          <w:lang w:val="en-US"/>
        </w:rPr>
        <w:t xml:space="preserve"> data (black dots) shown with the separate contributions from different sources estimated from MC simulation.</w:t>
      </w:r>
    </w:p>
    <w:p>
      <w:pPr>
        <w:pStyle w:val="Normal"/>
        <w:spacing w:lineRule="atLeast" w:line="20" w:before="0" w:after="120"/>
        <w:jc w:val="both"/>
        <w:rPr>
          <w:lang w:val="en-US"/>
        </w:rPr>
      </w:pPr>
      <w:r>
        <w:rPr>
          <w:rFonts w:eastAsia="Arial Unicode MS"/>
          <w:lang w:val="en-US"/>
        </w:rPr>
        <w:tab/>
        <w:t>Fig. 9 shows the reached resolution of the missing mass with respect to the design level corresponding to 1. One can see, that the design level is well reproduced, so the contributions from the Spectrometer side (listed on the plot as pion-related values) do not exceed the expected values. The measured kinematical suppression is ~ 6</w:t>
      </w:r>
      <w:r>
        <w:rPr>
          <w:rFonts w:eastAsia="Tahoma" w:cs="Liberation Serif" w:ascii="Liberation Serif" w:hAnsi="Liberation Serif"/>
          <w:lang w:val="en-US"/>
        </w:rPr>
        <w:t>×10</w:t>
      </w:r>
      <w:r>
        <w:rPr>
          <w:rFonts w:eastAsia="Tahoma" w:cs="Liberation Serif" w:ascii="Liberation Serif" w:hAnsi="Liberation Serif"/>
          <w:vertAlign w:val="superscript"/>
          <w:lang w:val="en-US"/>
        </w:rPr>
        <w:t xml:space="preserve">−4 </w:t>
      </w:r>
      <w:r>
        <w:rPr>
          <w:rFonts w:eastAsia="Tahoma" w:cs="Liberation Serif" w:ascii="Liberation Serif" w:hAnsi="Liberation Serif"/>
          <w:sz w:val="24"/>
          <w:lang w:val="en-US"/>
        </w:rPr>
        <w:t xml:space="preserve">for </w:t>
      </w:r>
      <w:r>
        <w:rPr>
          <w:rFonts w:eastAsia="Arial Unicode MS" w:cs="Symbol" w:ascii="Symbol" w:hAnsi="Symbol"/>
          <w:spacing w:val="1"/>
          <w:w w:val="120"/>
          <w:sz w:val="24"/>
          <w:lang w:val="en-US"/>
        </w:rPr>
        <w:t></w:t>
      </w:r>
      <w:r>
        <w:rPr>
          <w:rFonts w:eastAsia="Arial Unicode MS" w:cs="Liberation Serif" w:ascii="Liberation Serif" w:hAnsi="Liberation Serif"/>
          <w:spacing w:val="1"/>
          <w:w w:val="120"/>
          <w:vertAlign w:val="superscript"/>
          <w:lang w:val="en-US"/>
        </w:rPr>
        <w:t>+</w:t>
      </w:r>
      <w:r>
        <w:rPr>
          <w:rFonts w:eastAsia="Arial Unicode MS" w:cs="Symbol" w:ascii="Symbol" w:hAnsi="Symbol"/>
          <w:spacing w:val="1"/>
          <w:w w:val="120"/>
          <w:sz w:val="24"/>
          <w:lang w:val="en-US"/>
        </w:rPr>
        <w:t></w:t>
      </w:r>
      <w:r>
        <w:rPr>
          <w:rFonts w:eastAsia="Arial Unicode MS" w:cs="Liberation Serif" w:ascii="Liberation Serif" w:hAnsi="Liberation Serif"/>
          <w:spacing w:val="1"/>
          <w:w w:val="120"/>
          <w:vertAlign w:val="superscript"/>
          <w:lang w:val="en-US"/>
        </w:rPr>
        <w:t xml:space="preserve">0 </w:t>
      </w:r>
      <w:r>
        <w:rPr>
          <w:rFonts w:eastAsia="Arial Unicode MS"/>
          <w:lang w:val="en-US"/>
        </w:rPr>
        <w:t>and ~  3</w:t>
      </w:r>
      <w:r>
        <w:rPr>
          <w:rFonts w:eastAsia="Tahoma" w:cs="Liberation Serif" w:ascii="Liberation Serif" w:hAnsi="Liberation Serif"/>
          <w:lang w:val="en-US"/>
        </w:rPr>
        <w:t>×10</w:t>
      </w:r>
      <w:r>
        <w:rPr>
          <w:rFonts w:eastAsia="Tahoma" w:cs="Liberation Serif" w:ascii="Liberation Serif" w:hAnsi="Liberation Serif"/>
          <w:vertAlign w:val="superscript"/>
          <w:lang w:val="en-US"/>
        </w:rPr>
        <w:t xml:space="preserve">−4 </w:t>
      </w:r>
      <w:r>
        <w:rPr>
          <w:rFonts w:eastAsia="Arial Unicode MS"/>
          <w:lang w:val="en-US"/>
        </w:rPr>
        <w:t xml:space="preserve">for </w:t>
      </w:r>
      <w:r>
        <w:rPr>
          <w:rFonts w:eastAsia="Arial Unicode MS" w:cs="Symbol" w:ascii="Symbol" w:hAnsi="Symbol"/>
          <w:spacing w:val="1"/>
          <w:w w:val="120"/>
          <w:lang w:val="en-US"/>
        </w:rPr>
        <w:t></w:t>
      </w:r>
      <w:r>
        <w:rPr>
          <w:rFonts w:eastAsia="Arial Unicode MS"/>
          <w:spacing w:val="1"/>
          <w:w w:val="120"/>
          <w:vertAlign w:val="superscript"/>
          <w:lang w:val="en-US"/>
        </w:rPr>
        <w:t>+</w:t>
      </w:r>
      <w:r>
        <w:rPr>
          <w:rFonts w:eastAsia="Arial Unicode MS" w:cs="Symbol" w:ascii="Symbol" w:hAnsi="Symbol"/>
          <w:spacing w:val="1"/>
          <w:w w:val="120"/>
          <w:lang w:val="en-US"/>
        </w:rPr>
        <w:t></w:t>
      </w:r>
      <w:r>
        <w:rPr>
          <w:rFonts w:eastAsia="Arial Unicode MS"/>
          <w:i/>
          <w:iCs/>
          <w:lang w:val="en-US"/>
        </w:rPr>
        <w:t xml:space="preserve"> </w:t>
      </w:r>
      <w:r>
        <w:rPr>
          <w:rFonts w:eastAsia="Arial Unicode MS"/>
          <w:lang w:val="en-US"/>
        </w:rPr>
        <w:t>decay, that corresponds to the expectations of the experimental design.</w:t>
      </w:r>
    </w:p>
    <w:p>
      <w:pPr>
        <w:pStyle w:val="Normal"/>
        <w:spacing w:lineRule="atLeast" w:line="20" w:before="0" w:after="120"/>
        <w:jc w:val="both"/>
        <w:rPr>
          <w:rFonts w:eastAsia="Arial Unicode MS"/>
          <w:b/>
          <w:b/>
          <w:bCs/>
          <w:u w:val="single"/>
          <w:lang w:val="en-US"/>
        </w:rPr>
      </w:pPr>
      <w:r>
        <w:rPr>
          <w:rFonts w:eastAsia="Arial Unicode MS"/>
          <w:b/>
          <w:bCs/>
          <w:u w:val="single"/>
          <w:lang w:val="en-US"/>
        </w:rPr>
        <w:drawing>
          <wp:anchor behindDoc="0" distT="0" distB="0" distL="18415" distR="0" simplePos="0" locked="0" layoutInCell="1" allowOverlap="1" relativeHeight="22">
            <wp:simplePos x="0" y="0"/>
            <wp:positionH relativeFrom="column">
              <wp:posOffset>3273425</wp:posOffset>
            </wp:positionH>
            <wp:positionV relativeFrom="paragraph">
              <wp:posOffset>24130</wp:posOffset>
            </wp:positionV>
            <wp:extent cx="2976245" cy="2869565"/>
            <wp:effectExtent l="0" t="0" r="0" b="0"/>
            <wp:wrapSquare wrapText="largest"/>
            <wp:docPr id="15"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6" descr=""/>
                    <pic:cNvPicPr>
                      <a:picLocks noChangeAspect="1" noChangeArrowheads="1"/>
                    </pic:cNvPicPr>
                  </pic:nvPicPr>
                  <pic:blipFill>
                    <a:blip r:embed="rId16"/>
                    <a:stretch>
                      <a:fillRect/>
                    </a:stretch>
                  </pic:blipFill>
                  <pic:spPr bwMode="auto">
                    <a:xfrm>
                      <a:off x="0" y="0"/>
                      <a:ext cx="2976245" cy="2869565"/>
                    </a:xfrm>
                    <a:prstGeom prst="rect">
                      <a:avLst/>
                    </a:prstGeom>
                  </pic:spPr>
                </pic:pic>
              </a:graphicData>
            </a:graphic>
          </wp:anchor>
        </w:drawing>
      </w:r>
    </w:p>
    <w:p>
      <w:pPr>
        <w:pStyle w:val="Normal"/>
        <w:spacing w:lineRule="atLeast" w:line="20" w:before="0" w:after="120"/>
        <w:jc w:val="both"/>
        <w:rPr>
          <w:rFonts w:eastAsia="Arial Unicode MS"/>
          <w:b/>
          <w:b/>
          <w:bCs/>
          <w:u w:val="single"/>
          <w:lang w:val="en-US"/>
        </w:rPr>
      </w:pPr>
      <w:r>
        <w:rPr>
          <w:rFonts w:eastAsia="Arial Unicode MS"/>
          <w:b/>
          <w:bCs/>
          <w:u w:val="single"/>
          <w:lang w:val="en-US"/>
        </w:rPr>
        <w:drawing>
          <wp:anchor behindDoc="0" distT="0" distB="0" distL="18415" distR="0" simplePos="0" locked="0" layoutInCell="1" allowOverlap="1" relativeHeight="20">
            <wp:simplePos x="0" y="0"/>
            <wp:positionH relativeFrom="column">
              <wp:posOffset>35560</wp:posOffset>
            </wp:positionH>
            <wp:positionV relativeFrom="paragraph">
              <wp:posOffset>90805</wp:posOffset>
            </wp:positionV>
            <wp:extent cx="2899410" cy="2524760"/>
            <wp:effectExtent l="0" t="0" r="0" b="0"/>
            <wp:wrapSquare wrapText="largest"/>
            <wp:docPr id="16"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7" descr=""/>
                    <pic:cNvPicPr>
                      <a:picLocks noChangeAspect="1" noChangeArrowheads="1"/>
                    </pic:cNvPicPr>
                  </pic:nvPicPr>
                  <pic:blipFill>
                    <a:blip r:embed="rId17"/>
                    <a:stretch>
                      <a:fillRect/>
                    </a:stretch>
                  </pic:blipFill>
                  <pic:spPr bwMode="auto">
                    <a:xfrm>
                      <a:off x="0" y="0"/>
                      <a:ext cx="2899410" cy="2524760"/>
                    </a:xfrm>
                    <a:prstGeom prst="rect">
                      <a:avLst/>
                    </a:prstGeom>
                  </pic:spPr>
                </pic:pic>
              </a:graphicData>
            </a:graphic>
          </wp:anchor>
        </w:drawing>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i/>
          <w:i/>
          <w:iCs/>
          <w:sz w:val="22"/>
          <w:szCs w:val="22"/>
          <w:u w:val="single"/>
          <w:lang w:val="en-US"/>
        </w:rPr>
      </w:pPr>
      <w:r>
        <w:rPr>
          <w:rFonts w:eastAsia="Arial Unicode MS"/>
          <w:b/>
          <w:bCs/>
          <w:i/>
          <w:iCs/>
          <w:sz w:val="22"/>
          <w:szCs w:val="22"/>
          <w:u w:val="single"/>
          <w:lang w:val="en-US"/>
        </w:rPr>
      </w:r>
    </w:p>
    <w:p>
      <w:pPr>
        <w:pStyle w:val="Normal"/>
        <w:spacing w:lineRule="atLeast" w:line="20" w:before="0" w:after="120"/>
        <w:jc w:val="center"/>
        <w:rPr>
          <w:rFonts w:eastAsia="Arial Unicode MS"/>
          <w:lang w:val="en-US"/>
        </w:rPr>
      </w:pPr>
      <w:r>
        <w:rPr>
          <w:rFonts w:eastAsia="Arial Unicode MS"/>
          <w:i/>
          <w:iCs/>
          <w:szCs w:val="22"/>
          <w:lang w:val="en-US"/>
        </w:rPr>
        <w:t>Figure 10. Left: RICH ring radius vs the track momentum (data collected in 2015). Right: the signal extraction result from 5% of 2016 data set. The missing mass values for the two definitions are plotted: track missing mass and RICH one.</w:t>
      </w:r>
    </w:p>
    <w:p>
      <w:pPr>
        <w:pStyle w:val="Normal"/>
        <w:spacing w:lineRule="atLeast" w:line="20"/>
        <w:jc w:val="both"/>
        <w:rPr>
          <w:rFonts w:eastAsia="Tahoma"/>
          <w:sz w:val="24"/>
          <w:lang w:val="en-US"/>
        </w:rPr>
      </w:pPr>
      <w:r>
        <w:rPr>
          <w:rFonts w:eastAsia="Arial Unicode MS"/>
          <w:lang w:val="en-US"/>
        </w:rPr>
        <w:tab/>
        <w:t xml:space="preserve">Fig. 10 illustrates the efficiency of the particles identification by means of RICH data that is used for the separation between the charged pions and muons. For the signal region of pion momentum (&lt; 35 GeV) muons efficiency is below 0.01 for the pions detection efficiency of 80%. But the combined identification performance using RICH together with calorimeters corresponds to the muons suppression at the level &lt; </w:t>
      </w:r>
      <w:r>
        <w:rPr>
          <w:rFonts w:eastAsia="Tahoma"/>
          <w:lang w:val="en-US"/>
        </w:rPr>
        <w:t>10</w:t>
      </w:r>
      <w:r>
        <w:rPr>
          <w:rFonts w:eastAsia="Tahoma"/>
          <w:vertAlign w:val="superscript"/>
          <w:lang w:val="en-US"/>
        </w:rPr>
        <w:t>−7</w:t>
      </w:r>
      <w:r>
        <w:rPr>
          <w:rFonts w:eastAsia="Tahoma"/>
          <w:sz w:val="24"/>
          <w:lang w:val="en-US"/>
        </w:rPr>
        <w:t>.</w:t>
      </w:r>
    </w:p>
    <w:p>
      <w:pPr>
        <w:pStyle w:val="Normal"/>
        <w:spacing w:lineRule="atLeast" w:line="20"/>
        <w:jc w:val="both"/>
        <w:rPr>
          <w:rFonts w:eastAsia="Arial Unicode MS"/>
          <w:lang w:val="en-US"/>
        </w:rPr>
      </w:pPr>
      <w:r>
        <w:rPr>
          <w:rFonts w:eastAsia="Tahoma"/>
          <w:sz w:val="24"/>
          <w:lang w:val="en-US"/>
        </w:rPr>
        <w:tab/>
      </w:r>
      <w:r>
        <w:rPr>
          <w:rFonts w:eastAsia="Tahoma"/>
          <w:lang w:val="en-US"/>
        </w:rPr>
        <w:t xml:space="preserve">The NA62 calorimeters (Lkr, LAV, IRC and SAC) are used for the photons suppression. The </w:t>
      </w:r>
      <w:r>
        <w:rPr>
          <w:rFonts w:eastAsia="Arial Unicode MS" w:cs="Liberation Serif" w:ascii="Liberation Serif" w:hAnsi="Liberation Serif"/>
          <w:spacing w:val="1"/>
          <w:w w:val="120"/>
          <w:lang w:val="en-US"/>
        </w:rPr>
        <w:t>K</w:t>
      </w:r>
      <w:r>
        <w:rPr>
          <w:rFonts w:eastAsia="Arial Unicode MS" w:cs="Liberation Serif" w:ascii="Liberation Serif" w:hAnsi="Liberation Serif"/>
          <w:spacing w:val="1"/>
          <w:w w:val="120"/>
          <w:vertAlign w:val="superscript"/>
          <w:lang w:val="en-US"/>
        </w:rPr>
        <w:t>+</w:t>
      </w:r>
      <w:r>
        <w:rPr>
          <w:rFonts w:eastAsia="Arial Unicode MS" w:cs="Symbol" w:ascii="Symbol" w:hAnsi="Symbol"/>
          <w:spacing w:val="1"/>
          <w:w w:val="120"/>
          <w:lang w:val="en-US"/>
        </w:rPr>
        <w:t></w:t>
      </w:r>
      <w:r>
        <w:rPr>
          <w:rFonts w:eastAsia="Arial Unicode MS" w:cs="Liberation Serif" w:ascii="Liberation Serif" w:hAnsi="Liberation Serif"/>
          <w:spacing w:val="1"/>
          <w:w w:val="120"/>
          <w:vertAlign w:val="superscript"/>
          <w:lang w:val="en-US"/>
        </w:rPr>
        <w:t>+</w:t>
      </w:r>
      <w:r>
        <w:rPr>
          <w:rFonts w:eastAsia="Arial Unicode MS" w:cs="Symbol" w:ascii="Symbol" w:hAnsi="Symbol"/>
          <w:spacing w:val="1"/>
          <w:w w:val="120"/>
          <w:lang w:val="en-US"/>
        </w:rPr>
        <w:t></w:t>
      </w:r>
      <w:r>
        <w:rPr>
          <w:rFonts w:eastAsia="Arial Unicode MS" w:cs="Liberation Serif" w:ascii="Liberation Serif" w:hAnsi="Liberation Serif"/>
          <w:spacing w:val="1"/>
          <w:w w:val="120"/>
          <w:vertAlign w:val="superscript"/>
          <w:lang w:val="en-US"/>
        </w:rPr>
        <w:t>0</w:t>
      </w:r>
      <w:r>
        <w:rPr>
          <w:rFonts w:eastAsia="Arial Unicode MS"/>
          <w:lang w:val="en-US"/>
        </w:rPr>
        <w:t xml:space="preserve"> efficiency </w:t>
      </w:r>
      <w:r>
        <w:rPr>
          <w:rFonts w:eastAsia="Tahoma"/>
          <w:lang w:val="en-US"/>
        </w:rPr>
        <w:t>measured from data with the photons suppression applied is (1.2 ± 0.2)×10</w:t>
      </w:r>
      <w:r>
        <w:rPr>
          <w:rFonts w:eastAsia="Tahoma"/>
          <w:vertAlign w:val="superscript"/>
          <w:lang w:val="en-US"/>
        </w:rPr>
        <w:t>−7</w:t>
      </w:r>
      <w:r>
        <w:rPr>
          <w:rFonts w:eastAsia="Tahoma"/>
          <w:lang w:val="en-US"/>
        </w:rPr>
        <w:t xml:space="preserve">, while the expected accidental loss of the signal is ~15%. </w:t>
      </w:r>
    </w:p>
    <w:p>
      <w:pPr>
        <w:pStyle w:val="Normal"/>
        <w:spacing w:lineRule="atLeast" w:line="20"/>
        <w:jc w:val="both"/>
        <w:rPr>
          <w:rFonts w:eastAsia="Arial Unicode MS"/>
          <w:b/>
          <w:b/>
          <w:bCs/>
          <w:u w:val="single"/>
          <w:lang w:val="en-US"/>
        </w:rPr>
      </w:pPr>
      <w:r>
        <w:rPr>
          <w:rFonts w:eastAsia="Arial Unicode MS"/>
          <w:lang w:val="en-US"/>
        </w:rPr>
        <w:tab/>
        <w:t>The expected amount of signal events in the considered 5% of 2016 data set (</w:t>
      </w:r>
      <w:r>
        <w:rPr>
          <w:rFonts w:eastAsia="Tahoma"/>
          <w:lang w:val="en-US"/>
        </w:rPr>
        <w:t>2.3 ×10</w:t>
      </w:r>
      <w:r>
        <w:rPr>
          <w:rFonts w:eastAsia="Tahoma"/>
          <w:vertAlign w:val="superscript"/>
          <w:lang w:val="en-US"/>
        </w:rPr>
        <w:t xml:space="preserve">10 </w:t>
      </w:r>
      <w:r>
        <w:rPr>
          <w:rFonts w:eastAsia="Arial Unicode MS"/>
          <w:lang w:val="en-US"/>
        </w:rPr>
        <w:t>kaon decays</w:t>
      </w:r>
      <w:r>
        <w:rPr>
          <w:rFonts w:eastAsia="Arial Unicode MS"/>
          <w:i/>
          <w:iCs/>
          <w:lang w:val="en-US"/>
        </w:rPr>
        <w:t>)</w:t>
      </w:r>
      <w:r>
        <w:rPr>
          <w:rFonts w:eastAsia="Arial Unicode MS"/>
          <w:lang w:val="en-US"/>
        </w:rPr>
        <w:t xml:space="preserve"> is much less than one, and no events in the signal region have been found (see the right plot of Fig. 10).</w:t>
      </w:r>
    </w:p>
    <w:p>
      <w:pPr>
        <w:pStyle w:val="Normal"/>
        <w:spacing w:lineRule="atLeast" w:line="20" w:before="0" w:after="120"/>
        <w:jc w:val="both"/>
        <w:rPr>
          <w:rFonts w:eastAsia="Arial Unicode MS"/>
          <w:b/>
          <w:b/>
          <w:bCs/>
          <w:u w:val="single"/>
          <w:lang w:val="en-US"/>
        </w:rPr>
      </w:pPr>
      <w:r>
        <w:rPr>
          <w:rFonts w:eastAsia="Arial Unicode MS"/>
          <w:b/>
          <w:bCs/>
          <w:u w:val="single"/>
          <w:lang w:val="en-US"/>
        </w:rPr>
      </w:r>
    </w:p>
    <w:p>
      <w:pPr>
        <w:pStyle w:val="Normal"/>
        <w:spacing w:lineRule="atLeast" w:line="20" w:before="0" w:after="120"/>
        <w:jc w:val="both"/>
        <w:rPr>
          <w:rFonts w:eastAsia="Arial Unicode MS"/>
          <w:b/>
          <w:b/>
          <w:bCs/>
          <w:u w:val="single"/>
          <w:lang w:val="en-US"/>
        </w:rPr>
      </w:pPr>
      <w:r>
        <w:rPr>
          <w:rFonts w:eastAsia="Arial Unicode MS"/>
          <w:b/>
          <w:bCs/>
          <w:u w:val="single"/>
          <w:lang w:val="en-US"/>
        </w:rPr>
        <w:t>NA48/2 and NA62 data analysis in 2016 - 2018</w:t>
      </w:r>
    </w:p>
    <w:p>
      <w:pPr>
        <w:pStyle w:val="Normal"/>
        <w:spacing w:lineRule="atLeast" w:line="100"/>
        <w:rPr>
          <w:rFonts w:eastAsia="Arial Unicode MS"/>
          <w:b/>
          <w:b/>
          <w:bCs/>
          <w:u w:val="single"/>
          <w:lang w:val="en-US"/>
        </w:rPr>
      </w:pPr>
      <w:r>
        <w:rPr>
          <w:rFonts w:eastAsia="Arial Unicode MS"/>
          <w:b/>
          <w:bCs/>
          <w:u w:val="single"/>
          <w:lang w:val="en-US"/>
        </w:rPr>
      </w:r>
    </w:p>
    <w:p>
      <w:pPr>
        <w:pStyle w:val="Normal"/>
        <w:spacing w:lineRule="atLeast" w:line="20"/>
        <w:ind w:firstLine="567"/>
        <w:jc w:val="both"/>
        <w:rPr>
          <w:rFonts w:eastAsia="Tahoma"/>
          <w:lang w:val="en-GB"/>
        </w:rPr>
      </w:pPr>
      <w:r>
        <w:rPr>
          <w:rFonts w:eastAsia="Arial Unicode MS"/>
          <w:bCs/>
          <w:lang w:val="en-US"/>
        </w:rPr>
        <w:t>NA48/2 and NA62 experimental data obtained in 2003 – 2010 were analyzed in parallel with the NA62 data taking:</w:t>
      </w:r>
    </w:p>
    <w:p>
      <w:pPr>
        <w:pStyle w:val="Normal"/>
        <w:numPr>
          <w:ilvl w:val="0"/>
          <w:numId w:val="5"/>
        </w:numPr>
        <w:tabs>
          <w:tab w:val="left" w:pos="567" w:leader="none"/>
          <w:tab w:val="left" w:pos="993" w:leader="none"/>
          <w:tab w:val="left" w:pos="1701" w:leader="none"/>
        </w:tabs>
        <w:spacing w:before="0" w:after="60"/>
        <w:ind w:left="624" w:hanging="340"/>
        <w:jc w:val="both"/>
        <w:rPr>
          <w:rFonts w:eastAsia="Tahoma" w:cs="Tahoma"/>
          <w:lang w:val="en-US"/>
        </w:rPr>
      </w:pPr>
      <w:r>
        <w:rPr>
          <w:rFonts w:eastAsia="Tahoma"/>
          <w:lang w:val="en-GB"/>
        </w:rPr>
        <w:t>On the basis of NA48/2 data, a new upper limit o</w:t>
      </w:r>
      <w:r>
        <w:rPr>
          <w:lang w:val="en-GB"/>
        </w:rPr>
        <w:t>n the rate of the lepton number violating decay K</w:t>
      </w:r>
      <w:r>
        <w:rPr>
          <w:position w:val="14"/>
          <w:lang w:val="en-GB"/>
        </w:rPr>
        <w:t>±</w:t>
      </w:r>
      <w:r>
        <w:rPr>
          <w:lang w:val="en-GB"/>
        </w:rPr>
        <w:t>→π</w:t>
      </w:r>
      <w:r>
        <w:rPr>
          <w:position w:val="14"/>
          <w:lang w:val="en-GB"/>
        </w:rPr>
        <w:t>±</w:t>
      </w:r>
      <w:r>
        <w:rPr>
          <w:lang w:val="en-GB"/>
        </w:rPr>
        <w:t>μ</w:t>
      </w:r>
      <w:r>
        <w:rPr>
          <w:vertAlign w:val="superscript"/>
          <w:lang w:val="en-GB"/>
        </w:rPr>
        <w:t>+</w:t>
      </w:r>
      <w:r>
        <w:rPr>
          <w:lang w:val="en-GB"/>
        </w:rPr>
        <w:t>μ</w:t>
      </w:r>
      <w:r>
        <w:rPr>
          <w:vertAlign w:val="superscript"/>
          <w:lang w:val="en-GB"/>
        </w:rPr>
        <w:t>-</w:t>
      </w:r>
      <w:r>
        <w:rPr>
          <w:position w:val="14"/>
          <w:lang w:val="en-GB"/>
        </w:rPr>
        <w:t xml:space="preserve"> </w:t>
      </w:r>
      <w:r>
        <w:rPr>
          <w:lang w:val="en-GB"/>
        </w:rPr>
        <w:t xml:space="preserve">has been obtained: </w:t>
      </w:r>
      <w:r>
        <w:rPr>
          <w:rFonts w:cs="sans-serif" w:ascii="sans-serif" w:hAnsi="sans-serif"/>
          <w:lang w:val="en-GB"/>
        </w:rPr>
        <w:t xml:space="preserve"> </w:t>
      </w:r>
      <w:r>
        <w:rPr>
          <w:lang w:val="en-GB"/>
        </w:rPr>
        <w:t>B(K</w:t>
      </w:r>
      <w:r>
        <w:rPr>
          <w:position w:val="14"/>
          <w:lang w:val="en-GB"/>
        </w:rPr>
        <w:t>±</w:t>
      </w:r>
      <w:r>
        <w:rPr>
          <w:lang w:val="en-GB"/>
        </w:rPr>
        <w:t>→π</w:t>
      </w:r>
      <w:r>
        <w:rPr>
          <w:position w:val="14"/>
          <w:szCs w:val="24"/>
          <w:lang w:val="en-GB"/>
        </w:rPr>
        <w:t>±</w:t>
      </w:r>
      <w:r>
        <w:rPr>
          <w:lang w:val="en-GB"/>
        </w:rPr>
        <w:t xml:space="preserve"> μ</w:t>
      </w:r>
      <w:r>
        <w:rPr>
          <w:vertAlign w:val="superscript"/>
          <w:lang w:val="en-GB"/>
        </w:rPr>
        <w:t>+</w:t>
      </w:r>
      <w:r>
        <w:rPr>
          <w:lang w:val="en-GB"/>
        </w:rPr>
        <w:t>μ</w:t>
      </w:r>
      <w:r>
        <w:rPr>
          <w:vertAlign w:val="superscript"/>
          <w:lang w:val="en-GB"/>
        </w:rPr>
        <w:t>-</w:t>
      </w:r>
      <w:r>
        <w:rPr>
          <w:lang w:val="en-GB"/>
        </w:rPr>
        <w:t>) &lt; 8.6×10</w:t>
      </w:r>
      <w:r>
        <w:rPr>
          <w:vertAlign w:val="superscript"/>
          <w:lang w:val="en-GB"/>
        </w:rPr>
        <w:t>-11</w:t>
      </w:r>
      <w:r>
        <w:rPr>
          <w:lang w:val="en-GB"/>
        </w:rPr>
        <w:t xml:space="preserve"> at 90% CL [10,32,33]. Searches for two-body resonances have been resulted in the upper limits for the products of branching ratios B(K</w:t>
      </w:r>
      <w:r>
        <w:rPr>
          <w:position w:val="14"/>
          <w:lang w:val="en-GB"/>
        </w:rPr>
        <w:t>±</w:t>
      </w:r>
      <w:r>
        <w:rPr>
          <w:lang w:val="en-GB"/>
        </w:rPr>
        <w:t>→μ</w:t>
      </w:r>
      <w:r>
        <w:rPr>
          <w:position w:val="14"/>
          <w:lang w:val="en-GB"/>
        </w:rPr>
        <w:t>±</w:t>
      </w:r>
      <w:r>
        <w:rPr>
          <w:lang w:val="en-GB"/>
        </w:rPr>
        <w:t>N</w:t>
      </w:r>
      <w:r>
        <w:rPr>
          <w:vertAlign w:val="subscript"/>
          <w:lang w:val="en-GB"/>
        </w:rPr>
        <w:t>4</w:t>
      </w:r>
      <w:r>
        <w:rPr>
          <w:lang w:val="en-GB"/>
        </w:rPr>
        <w:t>)B(N</w:t>
      </w:r>
      <w:r>
        <w:rPr>
          <w:vertAlign w:val="subscript"/>
          <w:lang w:val="en-GB"/>
        </w:rPr>
        <w:t>4</w:t>
      </w:r>
      <w:r>
        <w:rPr>
          <w:lang w:val="en-GB"/>
        </w:rPr>
        <w:t>→πμ) and B(K</w:t>
      </w:r>
      <w:r>
        <w:rPr>
          <w:position w:val="14"/>
          <w:lang w:val="en-GB"/>
        </w:rPr>
        <w:t>±</w:t>
      </w:r>
      <w:r>
        <w:rPr>
          <w:lang w:val="en-GB"/>
        </w:rPr>
        <w:t>→</w:t>
      </w:r>
      <w:r>
        <w:rPr>
          <w:rFonts w:cs="Symbol" w:ascii="Symbol" w:hAnsi="Symbol"/>
          <w:lang w:val="en-GB"/>
        </w:rPr>
        <w:t></w:t>
      </w:r>
      <w:r>
        <w:rPr>
          <w:position w:val="14"/>
          <w:lang w:val="en-GB"/>
        </w:rPr>
        <w:t>±</w:t>
      </w:r>
      <w:r>
        <w:rPr>
          <w:lang w:val="en-GB"/>
        </w:rPr>
        <w:t>X)B(X→μ</w:t>
      </w:r>
      <w:r>
        <w:rPr>
          <w:vertAlign w:val="superscript"/>
          <w:lang w:val="en-GB"/>
        </w:rPr>
        <w:t>+</w:t>
      </w:r>
      <w:r>
        <w:rPr>
          <w:lang w:val="en-GB"/>
        </w:rPr>
        <w:t>μ</w:t>
      </w:r>
      <w:r>
        <w:rPr>
          <w:vertAlign w:val="superscript"/>
          <w:lang w:val="en-GB"/>
        </w:rPr>
        <w:t>-</w:t>
      </w:r>
      <w:r>
        <w:rPr>
          <w:lang w:val="en-GB"/>
        </w:rPr>
        <w:t>). These limits depend on the hypothetical particle lifetime (10</w:t>
      </w:r>
      <w:r>
        <w:rPr>
          <w:vertAlign w:val="superscript"/>
          <w:lang w:val="en-GB"/>
        </w:rPr>
        <w:t>-9</w:t>
      </w:r>
      <w:r>
        <w:rPr>
          <w:lang w:val="en-GB"/>
        </w:rPr>
        <w:t xml:space="preserve"> and 10</w:t>
      </w:r>
      <w:r>
        <w:rPr>
          <w:vertAlign w:val="superscript"/>
          <w:lang w:val="en-GB"/>
        </w:rPr>
        <w:t>-11</w:t>
      </w:r>
      <w:r>
        <w:rPr>
          <w:lang w:val="en-GB"/>
        </w:rPr>
        <w:t xml:space="preserve"> for the resonance lifetime below 100 ps).</w:t>
      </w:r>
    </w:p>
    <w:p>
      <w:pPr>
        <w:pStyle w:val="Normal"/>
        <w:numPr>
          <w:ilvl w:val="0"/>
          <w:numId w:val="5"/>
        </w:numPr>
        <w:tabs>
          <w:tab w:val="left" w:pos="567" w:leader="none"/>
          <w:tab w:val="left" w:pos="993" w:leader="none"/>
          <w:tab w:val="left" w:pos="1701" w:leader="none"/>
        </w:tabs>
        <w:spacing w:before="0" w:after="60"/>
        <w:ind w:left="624" w:hanging="340"/>
        <w:jc w:val="both"/>
        <w:rPr>
          <w:rFonts w:eastAsia="Tahoma" w:cs="Tahoma"/>
          <w:lang w:val="en-US"/>
        </w:rPr>
      </w:pPr>
      <w:r>
        <w:rPr>
          <w:rFonts w:eastAsia="Tahoma" w:cs="Tahoma"/>
          <w:lang w:val="en-US"/>
        </w:rPr>
        <w:t xml:space="preserve">On the basis of NA62 data collected in 2007, a measurement of </w:t>
      </w:r>
      <w:r>
        <w:rPr>
          <w:rFonts w:eastAsia="Tahoma" w:cs="Symbol" w:ascii="Symbol" w:hAnsi="Symbol"/>
          <w:lang w:val="en-US"/>
        </w:rPr>
        <w:t></w:t>
      </w:r>
      <w:r>
        <w:rPr>
          <w:rFonts w:eastAsia="Tahoma" w:cs="Symbol" w:ascii="Symbol" w:hAnsi="Symbol"/>
          <w:vertAlign w:val="superscript"/>
          <w:lang w:val="en-US"/>
        </w:rPr>
        <w:t></w:t>
      </w:r>
      <w:r>
        <w:rPr>
          <w:rFonts w:eastAsia="Tahoma"/>
          <w:vertAlign w:val="superscript"/>
          <w:lang w:val="en-US"/>
        </w:rPr>
        <w:t xml:space="preserve">0 </w:t>
      </w:r>
      <w:r>
        <w:rPr>
          <w:rFonts w:eastAsia="Tahoma" w:cs="Tahoma"/>
          <w:lang w:val="en-US"/>
        </w:rPr>
        <w:t>electromagnetic transition form factor slope parameter has been measured to be a=(3.68</w:t>
      </w:r>
      <w:r>
        <w:rPr>
          <w:rFonts w:eastAsia="Tahoma"/>
          <w:lang w:val="en-US"/>
        </w:rPr>
        <w:t>±0.57</w:t>
      </w:r>
      <w:r>
        <w:rPr>
          <w:rFonts w:eastAsia="Tahoma" w:cs="Tahoma"/>
          <w:lang w:val="en-US"/>
        </w:rPr>
        <w:t>)</w:t>
      </w:r>
      <w:r>
        <w:rPr>
          <w:rFonts w:eastAsia="Tahoma"/>
          <w:lang w:val="en-US"/>
        </w:rPr>
        <w:t>×10</w:t>
      </w:r>
      <w:r>
        <w:rPr>
          <w:rFonts w:eastAsia="Tahoma"/>
          <w:vertAlign w:val="superscript"/>
          <w:lang w:val="en-US"/>
        </w:rPr>
        <w:t>-2</w:t>
      </w:r>
      <w:r>
        <w:rPr>
          <w:rFonts w:eastAsia="Tahoma"/>
          <w:position w:val="14"/>
          <w:lang w:val="en-US"/>
        </w:rPr>
        <w:t xml:space="preserve"> </w:t>
      </w:r>
      <w:r>
        <w:rPr>
          <w:rFonts w:eastAsia="Tahoma" w:cs="Tahoma"/>
          <w:lang w:val="en-US"/>
        </w:rPr>
        <w:t>[11]. The obtained result is in good agreement with the theoretical expectations and earlier measurements. It is the most precise experimental determination of the slope in the time-like momentum transfer region.</w:t>
      </w:r>
    </w:p>
    <w:p>
      <w:pPr>
        <w:pStyle w:val="Normal"/>
        <w:numPr>
          <w:ilvl w:val="0"/>
          <w:numId w:val="5"/>
        </w:numPr>
        <w:tabs>
          <w:tab w:val="left" w:pos="567" w:leader="none"/>
          <w:tab w:val="left" w:pos="993" w:leader="none"/>
          <w:tab w:val="left" w:pos="1701" w:leader="none"/>
        </w:tabs>
        <w:spacing w:before="0" w:after="60"/>
        <w:ind w:left="567" w:hanging="340"/>
        <w:jc w:val="both"/>
        <w:rPr>
          <w:lang w:val="en-US"/>
        </w:rPr>
      </w:pPr>
      <w:r>
        <w:rPr>
          <w:rFonts w:eastAsia="Tahoma" w:cs="Tahoma"/>
          <w:lang w:val="en-US"/>
        </w:rPr>
        <w:t xml:space="preserve">A peak search has been performed in the reconstructed missing mass spectrum of </w:t>
      </w:r>
      <w:r>
        <w:rPr>
          <w:rFonts w:eastAsia="Tahoma"/>
          <w:lang w:val="en-US"/>
        </w:rPr>
        <w:t>K</w:t>
      </w:r>
      <w:r>
        <w:rPr>
          <w:rFonts w:eastAsia="Tahoma"/>
          <w:vertAlign w:val="superscript"/>
          <w:lang w:val="en-US"/>
        </w:rPr>
        <w:t>+</w:t>
      </w:r>
      <w:r>
        <w:rPr>
          <w:rFonts w:eastAsia="Tahoma"/>
          <w:lang w:val="en-US"/>
        </w:rPr>
        <w:t>→</w:t>
      </w:r>
      <w:r>
        <w:rPr>
          <w:rFonts w:eastAsia="Tahoma" w:cs="Symbol" w:ascii="Symbol" w:hAnsi="Symbol"/>
          <w:lang w:val="en-US"/>
        </w:rPr>
        <w:t></w:t>
      </w:r>
      <w:r>
        <w:rPr>
          <w:rFonts w:eastAsia="Tahoma" w:cs="Symbol" w:ascii="Symbol" w:hAnsi="Symbol"/>
          <w:vertAlign w:val="superscript"/>
          <w:lang w:val="en-US"/>
        </w:rPr>
        <w:t></w:t>
      </w:r>
      <w:r>
        <w:rPr>
          <w:rFonts w:eastAsia="Tahoma" w:cs="Symbol" w:ascii="Symbol" w:hAnsi="Symbol"/>
          <w:lang w:val="en-US"/>
        </w:rPr>
        <w:t></w:t>
      </w:r>
      <w:r>
        <w:rPr>
          <w:rFonts w:eastAsia="Tahoma" w:cs="Symbol" w:ascii="Symbol" w:hAnsi="Symbol"/>
          <w:i/>
          <w:lang w:val="en-US"/>
        </w:rPr>
        <w:t></w:t>
      </w:r>
      <w:r>
        <w:rPr>
          <w:rFonts w:eastAsia="Tahoma"/>
          <w:lang w:val="en-US"/>
        </w:rPr>
        <w:t>decays collected by NA62 experiment in 2007. In the absence of a signal, limits in the range 2</w:t>
      </w:r>
      <w:r>
        <w:rPr>
          <w:rFonts w:eastAsia="Tahoma" w:cs="Liberation Serif" w:ascii="Liberation Serif" w:hAnsi="Liberation Serif"/>
          <w:i/>
          <w:lang w:val="en-US"/>
        </w:rPr>
        <w:t>×</w:t>
      </w:r>
      <w:r>
        <w:rPr>
          <w:rFonts w:eastAsia="Tahoma"/>
          <w:lang w:val="en-US"/>
        </w:rPr>
        <w:t>10</w:t>
      </w:r>
      <w:r>
        <w:rPr>
          <w:rFonts w:eastAsia="Tahoma"/>
          <w:vertAlign w:val="superscript"/>
          <w:lang w:val="en-US"/>
        </w:rPr>
        <w:t>-6</w:t>
      </w:r>
      <w:r>
        <w:rPr>
          <w:rFonts w:eastAsia="Tahoma"/>
          <w:lang w:val="en-US"/>
        </w:rPr>
        <w:t xml:space="preserve"> to 10</w:t>
      </w:r>
      <w:r>
        <w:rPr>
          <w:rFonts w:eastAsia="Tahoma"/>
          <w:vertAlign w:val="superscript"/>
          <w:lang w:val="en-US"/>
        </w:rPr>
        <w:t>-5</w:t>
      </w:r>
      <w:r>
        <w:rPr>
          <w:rFonts w:eastAsia="Tahoma"/>
          <w:lang w:val="en-US"/>
        </w:rPr>
        <w:t xml:space="preserve"> have been set on the squared matrix element |U</w:t>
      </w:r>
      <w:r>
        <w:rPr>
          <w:rFonts w:eastAsia="Tahoma" w:cs="Symbol" w:ascii="Symbol" w:hAnsi="Symbol"/>
          <w:vertAlign w:val="subscript"/>
          <w:lang w:val="en-US"/>
        </w:rPr>
        <w:t></w:t>
      </w:r>
      <w:r>
        <w:rPr>
          <w:rFonts w:eastAsia="Tahoma"/>
          <w:vertAlign w:val="subscript"/>
          <w:lang w:val="en-US"/>
        </w:rPr>
        <w:t>4</w:t>
      </w:r>
      <w:r>
        <w:rPr>
          <w:rFonts w:eastAsia="Tahoma"/>
          <w:lang w:val="en-US"/>
        </w:rPr>
        <w:t>|</w:t>
      </w:r>
      <w:r>
        <w:rPr>
          <w:rFonts w:eastAsia="Tahoma"/>
          <w:vertAlign w:val="superscript"/>
          <w:lang w:val="en-US"/>
        </w:rPr>
        <w:t xml:space="preserve">2 </w:t>
      </w:r>
      <w:r>
        <w:rPr>
          <w:rFonts w:eastAsia="Tahoma"/>
          <w:lang w:val="en-US"/>
        </w:rPr>
        <w:t>describing the mixing between the muon and heavy neutrino states, for the heavy neutrino masses in the range 300-375 MeV/c</w:t>
      </w:r>
      <w:r>
        <w:rPr>
          <w:rFonts w:eastAsia="Tahoma"/>
          <w:vertAlign w:val="superscript"/>
          <w:lang w:val="en-US"/>
        </w:rPr>
        <w:t>2</w:t>
      </w:r>
      <w:r>
        <w:rPr>
          <w:rFonts w:eastAsia="Tahoma"/>
          <w:position w:val="14"/>
          <w:lang w:val="en-US"/>
        </w:rPr>
        <w:t xml:space="preserve"> </w:t>
      </w:r>
      <w:r>
        <w:rPr>
          <w:rFonts w:eastAsia="Tahoma"/>
          <w:lang w:val="en-US"/>
        </w:rPr>
        <w:t>[12,13].</w:t>
      </w:r>
    </w:p>
    <w:p>
      <w:pPr>
        <w:pStyle w:val="Normal"/>
        <w:numPr>
          <w:ilvl w:val="0"/>
          <w:numId w:val="5"/>
        </w:numPr>
        <w:tabs>
          <w:tab w:val="left" w:pos="567" w:leader="none"/>
          <w:tab w:val="left" w:pos="993" w:leader="none"/>
          <w:tab w:val="left" w:pos="1701" w:leader="none"/>
        </w:tabs>
        <w:spacing w:before="0" w:after="60"/>
        <w:ind w:left="567" w:hanging="340"/>
        <w:jc w:val="both"/>
        <w:rPr>
          <w:rFonts w:eastAsia="Tahoma" w:cs="Tahoma"/>
          <w:lang w:val="en-US"/>
        </w:rPr>
      </w:pPr>
      <w:r>
        <w:rPr>
          <w:lang w:val="en-US"/>
        </w:rPr>
        <w:t>The paper on the measurement of form factors of K</w:t>
      </w:r>
      <w:r>
        <w:rPr>
          <w:vertAlign w:val="subscript"/>
          <w:lang w:val="en-US"/>
        </w:rPr>
        <w:t>e3</w:t>
      </w:r>
      <w:r>
        <w:rPr>
          <w:lang w:val="en-US"/>
        </w:rPr>
        <w:t xml:space="preserve"> and K</w:t>
      </w:r>
      <w:r>
        <w:rPr>
          <w:rFonts w:cs="Symbol" w:ascii="Symbol" w:hAnsi="Symbol"/>
          <w:vertAlign w:val="subscript"/>
          <w:lang w:val="en-US"/>
        </w:rPr>
        <w:t></w:t>
      </w:r>
      <w:r>
        <w:rPr>
          <w:vertAlign w:val="subscript"/>
          <w:lang w:val="en-US"/>
        </w:rPr>
        <w:t>3</w:t>
      </w:r>
      <w:r>
        <w:rPr>
          <w:i/>
          <w:lang w:val="en-US"/>
        </w:rPr>
        <w:t xml:space="preserve"> </w:t>
      </w:r>
      <w:r>
        <w:rPr>
          <w:lang w:val="en-US"/>
        </w:rPr>
        <w:t xml:space="preserve">decays based on NA48/2 data is in preparation after the internal reviewing. Preliminary results on the form factors of the semileptonic decays of charged kaons have been presented at the conferences [14]. </w:t>
      </w:r>
      <w:r>
        <w:rPr>
          <w:lang w:val="en-GB"/>
        </w:rPr>
        <w:t>Dubna group has the responsibility for the final result publishing.</w:t>
      </w:r>
    </w:p>
    <w:p>
      <w:pPr>
        <w:pStyle w:val="Normal"/>
        <w:numPr>
          <w:ilvl w:val="0"/>
          <w:numId w:val="5"/>
        </w:numPr>
        <w:tabs>
          <w:tab w:val="left" w:pos="567" w:leader="none"/>
          <w:tab w:val="left" w:pos="993" w:leader="none"/>
          <w:tab w:val="left" w:pos="1701" w:leader="none"/>
        </w:tabs>
        <w:spacing w:before="0" w:after="60"/>
        <w:ind w:left="624" w:hanging="340"/>
        <w:jc w:val="both"/>
        <w:rPr>
          <w:lang w:val="en-US"/>
        </w:rPr>
      </w:pPr>
      <w:r>
        <w:rPr>
          <w:rFonts w:eastAsia="Tahoma" w:cs="Tahoma"/>
          <w:lang w:val="en-US"/>
        </w:rPr>
        <w:t>The analysis of the new rare decay K</w:t>
      </w:r>
      <w:r>
        <w:rPr>
          <w:rFonts w:eastAsia="Tahoma" w:cs="Tahoma"/>
          <w:position w:val="5"/>
          <w:sz w:val="17"/>
          <w:lang w:val="en-US"/>
        </w:rPr>
        <w:t>±</w:t>
      </w:r>
      <w:r>
        <w:rPr>
          <w:rFonts w:eastAsia="Tahoma" w:cs="Tahoma"/>
          <w:lang w:val="en-US"/>
        </w:rPr>
        <w:t xml:space="preserve">→ </w:t>
      </w:r>
      <w:r>
        <w:rPr>
          <w:rFonts w:eastAsia="Tahoma" w:cs="Symbol" w:ascii="Symbol" w:hAnsi="Symbol"/>
          <w:lang w:val="en-US"/>
        </w:rPr>
        <w:t></w:t>
      </w:r>
      <w:r>
        <w:rPr>
          <w:rFonts w:eastAsia="Times-Roman" w:cs="Tahoma"/>
          <w:position w:val="5"/>
          <w:sz w:val="17"/>
          <w:lang w:val="en-US"/>
        </w:rPr>
        <w:t>±</w:t>
      </w:r>
      <w:r>
        <w:rPr>
          <w:rFonts w:eastAsia="Tahoma" w:cs="Symbol" w:ascii="Symbol" w:hAnsi="Symbol"/>
          <w:lang w:val="en-US"/>
        </w:rPr>
        <w:t></w:t>
      </w:r>
      <w:r>
        <w:rPr>
          <w:rFonts w:eastAsia="Tahoma"/>
          <w:vertAlign w:val="superscript"/>
          <w:lang w:val="en-US"/>
        </w:rPr>
        <w:t>0</w:t>
      </w:r>
      <w:r>
        <w:rPr>
          <w:rFonts w:eastAsia="Tahoma" w:cs="Tahoma"/>
          <w:lang w:val="en-US"/>
        </w:rPr>
        <w:t>e</w:t>
      </w:r>
      <w:r>
        <w:rPr>
          <w:rFonts w:eastAsia="Tahoma" w:cs="Tahoma"/>
          <w:position w:val="5"/>
          <w:sz w:val="17"/>
          <w:lang w:val="en-US"/>
        </w:rPr>
        <w:t>+</w:t>
      </w:r>
      <w:r>
        <w:rPr>
          <w:rFonts w:eastAsia="Tahoma" w:cs="Tahoma"/>
          <w:lang w:val="en-US"/>
        </w:rPr>
        <w:t>e</w:t>
      </w:r>
      <w:r>
        <w:rPr>
          <w:rFonts w:eastAsia="Tahoma" w:cs="Tahoma"/>
          <w:position w:val="5"/>
          <w:sz w:val="17"/>
          <w:lang w:val="en-US"/>
        </w:rPr>
        <w:t>-</w:t>
      </w:r>
      <w:r>
        <w:rPr>
          <w:rFonts w:eastAsia="Tahoma" w:cs="Tahoma"/>
          <w:lang w:val="en-US"/>
        </w:rPr>
        <w:t xml:space="preserve"> based on NA48/2 data is in its final stage, it is the first experimental evidence of this channel. The preliminary value of the measured branching fraction of this decay Br</w:t>
      </w:r>
      <w:r>
        <w:rPr>
          <w:rFonts w:eastAsia="Tahoma" w:cs="Tahoma"/>
          <w:i/>
          <w:lang w:val="en-US"/>
        </w:rPr>
        <w:t>(</w:t>
      </w:r>
      <w:r>
        <w:rPr>
          <w:rFonts w:eastAsia="Tahoma" w:cs="Symbol" w:ascii="Symbol" w:hAnsi="Symbol"/>
          <w:lang w:val="en-US"/>
        </w:rPr>
        <w:t></w:t>
      </w:r>
      <w:r>
        <w:rPr>
          <w:rFonts w:eastAsia="Times-Roman" w:cs="Tahoma"/>
          <w:position w:val="5"/>
          <w:sz w:val="17"/>
          <w:lang w:val="en-US"/>
        </w:rPr>
        <w:t>±</w:t>
      </w:r>
      <w:r>
        <w:rPr>
          <w:rFonts w:eastAsia="Tahoma" w:cs="Symbol" w:ascii="Symbol" w:hAnsi="Symbol"/>
          <w:lang w:val="en-US"/>
        </w:rPr>
        <w:t></w:t>
      </w:r>
      <w:r>
        <w:rPr>
          <w:rFonts w:eastAsia="Tahoma" w:cs="Symbol" w:ascii="Symbol" w:hAnsi="Symbol"/>
          <w:position w:val="5"/>
          <w:sz w:val="17"/>
          <w:lang w:val="en-US"/>
        </w:rPr>
        <w:t></w:t>
      </w:r>
      <w:r>
        <w:rPr>
          <w:rFonts w:eastAsia="Tahoma" w:cs="Tahoma"/>
          <w:lang w:val="en-US"/>
        </w:rPr>
        <w:t>e</w:t>
      </w:r>
      <w:r>
        <w:rPr>
          <w:rFonts w:eastAsia="Tahoma" w:cs="Tahoma"/>
          <w:position w:val="5"/>
          <w:sz w:val="17"/>
          <w:lang w:val="en-US"/>
        </w:rPr>
        <w:t>+</w:t>
      </w:r>
      <w:r>
        <w:rPr>
          <w:rFonts w:eastAsia="Tahoma" w:cs="Tahoma"/>
          <w:lang w:val="en-US"/>
        </w:rPr>
        <w:t>e</w:t>
      </w:r>
      <w:r>
        <w:rPr>
          <w:rFonts w:eastAsia="Tahoma" w:cs="Tahoma"/>
          <w:position w:val="5"/>
          <w:sz w:val="17"/>
          <w:lang w:val="en-US"/>
        </w:rPr>
        <w:t>-</w:t>
      </w:r>
      <w:r>
        <w:rPr>
          <w:rFonts w:eastAsia="Tahoma" w:cs="Tahoma"/>
          <w:lang w:val="en-US"/>
        </w:rPr>
        <w:t xml:space="preserve">)= (4.22 </w:t>
      </w:r>
      <w:r>
        <w:rPr>
          <w:rFonts w:eastAsia="Times-Roman" w:cs="Tahoma"/>
          <w:lang w:val="en-US"/>
        </w:rPr>
        <w:t>±</w:t>
      </w:r>
      <w:r>
        <w:rPr>
          <w:rFonts w:eastAsia="Tahoma" w:cs="Tahoma"/>
          <w:lang w:val="en-US"/>
        </w:rPr>
        <w:t xml:space="preserve"> 0.06</w:t>
      </w:r>
      <w:r>
        <w:rPr>
          <w:rFonts w:eastAsia="Tahoma" w:cs="Tahoma"/>
          <w:vertAlign w:val="subscript"/>
          <w:lang w:val="en-US"/>
        </w:rPr>
        <w:t>stat</w:t>
      </w:r>
      <w:r>
        <w:rPr>
          <w:rFonts w:eastAsia="Times-Roman" w:cs="Tahoma"/>
          <w:lang w:val="en-US"/>
        </w:rPr>
        <w:t>±</w:t>
      </w:r>
      <w:r>
        <w:rPr>
          <w:rFonts w:eastAsia="Tahoma" w:cs="Tahoma"/>
          <w:lang w:val="en-US"/>
        </w:rPr>
        <w:t>0.04</w:t>
      </w:r>
      <w:r>
        <w:rPr>
          <w:rFonts w:eastAsia="Tahoma" w:cs="Tahoma"/>
          <w:vertAlign w:val="subscript"/>
          <w:lang w:val="en-US"/>
        </w:rPr>
        <w:t>syst</w:t>
      </w:r>
      <w:r>
        <w:rPr>
          <w:rFonts w:eastAsia="Times-Roman" w:cs="Tahoma"/>
          <w:lang w:val="en-US"/>
        </w:rPr>
        <w:t>±</w:t>
      </w:r>
      <w:r>
        <w:rPr>
          <w:rFonts w:eastAsia="Tahoma" w:cs="Tahoma"/>
          <w:lang w:val="en-US"/>
        </w:rPr>
        <w:t>0.13</w:t>
      </w:r>
      <w:r>
        <w:rPr>
          <w:rFonts w:eastAsia="Tahoma" w:cs="Tahoma"/>
          <w:vertAlign w:val="subscript"/>
          <w:lang w:val="en-US"/>
        </w:rPr>
        <w:t>ext</w:t>
      </w:r>
      <w:r>
        <w:rPr>
          <w:rFonts w:eastAsia="Tahoma" w:cs="Tahoma"/>
          <w:lang w:val="en-US"/>
        </w:rPr>
        <w:t>)</w:t>
      </w:r>
      <w:r>
        <w:rPr>
          <w:rFonts w:eastAsia="Tahoma" w:cs="Liberation Serif" w:ascii="Liberation Serif" w:hAnsi="Liberation Serif"/>
          <w:lang w:val="en-US"/>
        </w:rPr>
        <w:t>×</w:t>
      </w:r>
      <w:r>
        <w:rPr>
          <w:rFonts w:eastAsia="Tahoma" w:cs="Tahoma"/>
          <w:lang w:val="en-US"/>
        </w:rPr>
        <w:t>10</w:t>
      </w:r>
      <w:r>
        <w:rPr>
          <w:rFonts w:eastAsia="Tahoma" w:cs="Tahoma"/>
          <w:vertAlign w:val="superscript"/>
          <w:lang w:val="en-US"/>
        </w:rPr>
        <w:t>-6</w:t>
      </w:r>
      <w:r>
        <w:rPr>
          <w:rFonts w:eastAsia="Tahoma" w:cs="Tahoma"/>
          <w:lang w:val="en-US"/>
        </w:rPr>
        <w:t xml:space="preserve"> is obtained [14]. </w:t>
      </w:r>
    </w:p>
    <w:p>
      <w:pPr>
        <w:pStyle w:val="Normal"/>
        <w:numPr>
          <w:ilvl w:val="0"/>
          <w:numId w:val="5"/>
        </w:numPr>
        <w:tabs>
          <w:tab w:val="left" w:pos="567" w:leader="none"/>
          <w:tab w:val="left" w:pos="993" w:leader="none"/>
          <w:tab w:val="left" w:pos="1701" w:leader="none"/>
        </w:tabs>
        <w:spacing w:before="0" w:after="60"/>
        <w:ind w:left="624" w:hanging="340"/>
        <w:jc w:val="both"/>
        <w:rPr>
          <w:lang w:val="en-US"/>
        </w:rPr>
      </w:pPr>
      <w:r>
        <w:rPr>
          <w:lang w:val="en-US"/>
        </w:rPr>
        <w:t xml:space="preserve"> </w:t>
      </w:r>
      <w:r>
        <w:rPr>
          <w:lang w:val="en-US"/>
        </w:rPr>
        <w:t>The study of K</w:t>
      </w:r>
      <w:r>
        <w:rPr>
          <w:vertAlign w:val="subscript"/>
          <w:lang w:val="en-US"/>
        </w:rPr>
        <w:t>µ4</w:t>
      </w:r>
      <w:r>
        <w:rPr>
          <w:vertAlign w:val="superscript"/>
          <w:lang w:val="en-US"/>
        </w:rPr>
        <w:t>00</w:t>
      </w:r>
      <w:r>
        <w:rPr>
          <w:i/>
          <w:position w:val="14"/>
          <w:lang w:val="en-US"/>
        </w:rPr>
        <w:t xml:space="preserve"> </w:t>
      </w:r>
      <w:r>
        <w:rPr>
          <w:lang w:val="en-US"/>
        </w:rPr>
        <w:t>rare decay on the basis of NA48/2 data is in progress, a preliminary result on the branching ratio is obtained. This decay mode also has not been experimentally observed earlier.</w:t>
      </w:r>
    </w:p>
    <w:p>
      <w:pPr>
        <w:pStyle w:val="Normal"/>
        <w:numPr>
          <w:ilvl w:val="0"/>
          <w:numId w:val="5"/>
        </w:numPr>
        <w:tabs>
          <w:tab w:val="left" w:pos="567" w:leader="none"/>
          <w:tab w:val="left" w:pos="993" w:leader="none"/>
          <w:tab w:val="left" w:pos="1701" w:leader="none"/>
        </w:tabs>
        <w:spacing w:before="0" w:after="60"/>
        <w:ind w:left="624" w:hanging="340"/>
        <w:jc w:val="both"/>
        <w:rPr>
          <w:rFonts w:cs="Arial"/>
          <w:b/>
          <w:b/>
          <w:bCs/>
          <w:lang w:val="en-US"/>
        </w:rPr>
      </w:pPr>
      <w:r>
        <w:rPr>
          <w:lang w:val="en-US"/>
        </w:rPr>
        <w:t>The analysis of the four-lepton kaon decays is started on the basis of the NA62 data collected in 2016 and 2017 years.</w:t>
      </w:r>
    </w:p>
    <w:p>
      <w:pPr>
        <w:pStyle w:val="Normal"/>
        <w:tabs>
          <w:tab w:val="left" w:pos="851" w:leader="none"/>
          <w:tab w:val="left" w:pos="1701" w:leader="none"/>
        </w:tabs>
        <w:spacing w:before="120" w:after="120"/>
        <w:ind w:left="737" w:hanging="0"/>
        <w:jc w:val="both"/>
        <w:rPr>
          <w:rFonts w:cs="Arial"/>
          <w:lang w:val="en-US"/>
        </w:rPr>
      </w:pPr>
      <w:r>
        <w:rPr>
          <w:rFonts w:cs="Arial"/>
          <w:b/>
          <w:bCs/>
          <w:lang w:val="en-US"/>
        </w:rPr>
        <w:t>In parallel with the experimental works the following methodical and theoretical results have been obtained:</w:t>
      </w:r>
    </w:p>
    <w:p>
      <w:pPr>
        <w:pStyle w:val="Normal"/>
        <w:numPr>
          <w:ilvl w:val="0"/>
          <w:numId w:val="6"/>
        </w:numPr>
        <w:tabs>
          <w:tab w:val="left" w:pos="709" w:leader="none"/>
        </w:tabs>
        <w:jc w:val="both"/>
        <w:rPr>
          <w:rFonts w:cs="Arial"/>
          <w:lang w:val="en-US"/>
        </w:rPr>
      </w:pPr>
      <w:r>
        <w:rPr>
          <w:rFonts w:cs="Arial"/>
          <w:lang w:val="en-US"/>
        </w:rPr>
        <w:t>The interactive software tool for the straw spectrometer geometrical, data taking and power supply mapping has been developed for the use in NA62 collaboration.</w:t>
      </w:r>
    </w:p>
    <w:p>
      <w:pPr>
        <w:pStyle w:val="Normal"/>
        <w:numPr>
          <w:ilvl w:val="0"/>
          <w:numId w:val="6"/>
        </w:numPr>
        <w:tabs>
          <w:tab w:val="left" w:pos="709" w:leader="none"/>
        </w:tabs>
        <w:jc w:val="both"/>
        <w:rPr>
          <w:rFonts w:cs="Arial"/>
          <w:lang w:val="en-US"/>
        </w:rPr>
      </w:pPr>
      <w:r>
        <w:rPr>
          <w:rFonts w:cs="Arial"/>
          <w:lang w:val="en-US"/>
        </w:rPr>
        <w:t>The calibration and monitoring tool for the control of the straw time measurement stability on the burst-by-burst basis has been developed. It is implemented for the correction of data collected in 2016 and for the special on-line monitoring during the run 2017.</w:t>
      </w:r>
    </w:p>
    <w:p>
      <w:pPr>
        <w:pStyle w:val="Normal"/>
        <w:numPr>
          <w:ilvl w:val="0"/>
          <w:numId w:val="6"/>
        </w:numPr>
        <w:tabs>
          <w:tab w:val="left" w:pos="709" w:leader="none"/>
        </w:tabs>
        <w:jc w:val="both"/>
        <w:rPr/>
      </w:pPr>
      <w:r>
        <w:rPr>
          <w:rFonts w:cs="Arial"/>
          <w:lang w:val="en-US"/>
        </w:rPr>
        <w:t>The analysis software tool has been developed for the control of the straw wire positions and the tube transverse displacements. It uses the two-dimensional plots of the hit times and the distances between the reconstructed Spectrometer track and the wire where the hit is recorded.</w:t>
      </w:r>
    </w:p>
    <w:p>
      <w:pPr>
        <w:pStyle w:val="Normal"/>
        <w:numPr>
          <w:ilvl w:val="0"/>
          <w:numId w:val="6"/>
        </w:numPr>
        <w:tabs>
          <w:tab w:val="left" w:pos="709" w:leader="none"/>
        </w:tabs>
        <w:jc w:val="both"/>
        <w:rPr>
          <w:rFonts w:cs="Arial"/>
          <w:lang w:val="en-GB"/>
        </w:rPr>
      </w:pPr>
      <w:r>
        <w:rPr>
          <w:rFonts w:cs="Arial"/>
          <w:lang w:val="en-US"/>
        </w:rPr>
        <w:t>A review of the kaon decay studies performed by NA48, NA48/1 and NA48/2 collaborations has been prepared and published [15].</w:t>
      </w:r>
    </w:p>
    <w:p>
      <w:pPr>
        <w:pStyle w:val="Normal"/>
        <w:numPr>
          <w:ilvl w:val="0"/>
          <w:numId w:val="6"/>
        </w:numPr>
        <w:tabs>
          <w:tab w:val="left" w:pos="709" w:leader="none"/>
        </w:tabs>
        <w:jc w:val="both"/>
        <w:rPr>
          <w:rFonts w:cs="Arial"/>
          <w:lang w:val="en-GB"/>
        </w:rPr>
      </w:pPr>
      <w:r>
        <w:rPr>
          <w:rFonts w:cs="Arial"/>
          <w:lang w:val="en-GB"/>
        </w:rPr>
        <w:t xml:space="preserve">The NA62 drift chamber design has been published [16]. </w:t>
      </w:r>
      <w:r>
        <w:rPr>
          <w:lang w:val="en-GB"/>
        </w:rPr>
        <w:t>A 2150×2150 mm 2 registration area drift chamber capable of working in vacuum is presented. Thin-wall tubes (straws) of a new type are used in the chamber. A large share of these 9.80 mm diameter drift tubes are made in Dubna from metalized 36 µm Mylar film welded along the generatrix using an ultrasonic welding machine created at JINR. The main features of the chamber and some characteristics of the drift tubes are described.</w:t>
      </w:r>
    </w:p>
    <w:p>
      <w:pPr>
        <w:pStyle w:val="Normal"/>
        <w:numPr>
          <w:ilvl w:val="0"/>
          <w:numId w:val="6"/>
        </w:numPr>
        <w:tabs>
          <w:tab w:val="left" w:pos="709" w:leader="none"/>
        </w:tabs>
        <w:jc w:val="both"/>
        <w:rPr>
          <w:rFonts w:cs="Arial"/>
          <w:lang w:val="en-GB"/>
        </w:rPr>
      </w:pPr>
      <w:r>
        <w:rPr>
          <w:rFonts w:cs="Arial"/>
          <w:lang w:val="en-GB"/>
        </w:rPr>
        <w:t xml:space="preserve">The NA62 spectrometer acquisition system has been described in the paper [17]. </w:t>
      </w:r>
      <w:r>
        <w:rPr>
          <w:lang w:val="en-GB"/>
        </w:rPr>
        <w:t>The front-end and read-out systems of the detector are presented along with the first results of the detector performance.</w:t>
      </w:r>
    </w:p>
    <w:p>
      <w:pPr>
        <w:pStyle w:val="Normal"/>
        <w:numPr>
          <w:ilvl w:val="0"/>
          <w:numId w:val="6"/>
        </w:numPr>
        <w:tabs>
          <w:tab w:val="left" w:pos="709" w:leader="none"/>
        </w:tabs>
        <w:jc w:val="both"/>
        <w:rPr>
          <w:rFonts w:eastAsia="MS Mincho"/>
          <w:spacing w:val="0"/>
          <w:szCs w:val="24"/>
          <w:lang w:val="en-US"/>
        </w:rPr>
      </w:pPr>
      <w:r>
        <w:rPr>
          <w:rFonts w:cs="Arial"/>
          <w:lang w:val="en-GB"/>
        </w:rPr>
        <w:t>For the development of charged particle detectors based on straw tubes operating in vacuum, a special measurement technique is required for the evaluation of their mechanical properties. The known equations that govern straw behaviour under internal pressure are reviewed, and a new experimental method of a strained pressurized straw tube study is proposed. The</w:t>
      </w:r>
      <w:r>
        <w:rPr>
          <w:rFonts w:cs="Arial"/>
          <w:lang w:val="en-US"/>
        </w:rPr>
        <w:t xml:space="preserve"> Poisson's ratio of the straw wall, which defines the stability conditions of a built-in tube, is measured for the NA62 spectrometer straw [18].</w:t>
      </w:r>
    </w:p>
    <w:p>
      <w:pPr>
        <w:pStyle w:val="Normal"/>
        <w:numPr>
          <w:ilvl w:val="0"/>
          <w:numId w:val="6"/>
        </w:numPr>
        <w:tabs>
          <w:tab w:val="left" w:pos="709" w:leader="none"/>
        </w:tabs>
        <w:jc w:val="both"/>
        <w:rPr>
          <w:lang w:val="en-GB"/>
        </w:rPr>
      </w:pPr>
      <w:r>
        <w:rPr>
          <w:rFonts w:eastAsia="MS Mincho"/>
          <w:spacing w:val="0"/>
          <w:szCs w:val="24"/>
          <w:lang w:val="en-US"/>
        </w:rPr>
        <w:t>It is shown that positions of wires in straws and thus the anode spacing in the drift chambers can be directly determined with a high accuracy (~5–10 µm) using a microscope mounted on a high-precision optical bench. These data are important for decreasing errors during reconstruction of charged particle track coordinates in the drift chambers</w:t>
      </w:r>
      <w:r>
        <w:rPr>
          <w:szCs w:val="24"/>
          <w:lang w:val="en-US"/>
        </w:rPr>
        <w:t xml:space="preserve"> [19,35].</w:t>
      </w:r>
    </w:p>
    <w:p>
      <w:pPr>
        <w:pStyle w:val="Normal"/>
        <w:numPr>
          <w:ilvl w:val="0"/>
          <w:numId w:val="6"/>
        </w:numPr>
        <w:tabs>
          <w:tab w:val="left" w:pos="709" w:leader="none"/>
        </w:tabs>
        <w:jc w:val="both"/>
        <w:rPr>
          <w:lang w:val="en-GB"/>
        </w:rPr>
      </w:pPr>
      <w:r>
        <w:rPr>
          <w:lang w:val="en-GB"/>
        </w:rPr>
        <w:t xml:space="preserve">A design of the device for fabricating thin-wall (straw) drift tubes using polyethylene terephthalate film 36 </w:t>
      </w:r>
      <w:r>
        <w:rPr>
          <w:rFonts w:cs="Symbol" w:ascii="Symbol" w:hAnsi="Symbol"/>
          <w:lang w:val="en-GB"/>
        </w:rPr>
        <w:t></w:t>
      </w:r>
      <w:r>
        <w:rPr>
          <w:lang w:val="en-GB"/>
        </w:rPr>
        <w:t>m</w:t>
      </w:r>
      <w:r>
        <w:rPr>
          <w:rFonts w:cs="serif" w:ascii="serif" w:hAnsi="serif"/>
          <w:lang w:val="en-GB"/>
        </w:rPr>
        <w:t xml:space="preserve">  </w:t>
      </w:r>
      <w:r>
        <w:rPr>
          <w:lang w:val="en-GB"/>
        </w:rPr>
        <w:t>thick by ultrasonic welding is published as well as  the technique for controlling their quality [20,34].</w:t>
      </w:r>
    </w:p>
    <w:p>
      <w:pPr>
        <w:pStyle w:val="Normal"/>
        <w:numPr>
          <w:ilvl w:val="0"/>
          <w:numId w:val="6"/>
        </w:numPr>
        <w:tabs>
          <w:tab w:val="left" w:pos="709" w:leader="none"/>
        </w:tabs>
        <w:jc w:val="both"/>
        <w:rPr>
          <w:lang w:val="en-GB"/>
        </w:rPr>
      </w:pPr>
      <w:r>
        <w:rPr>
          <w:lang w:val="en-GB"/>
        </w:rPr>
        <w:t>The interactions of transversely and longitudinally polarized vector mesons with nucleons have been studied theoretically [21,22]. The measurements of vector meson photoproduction in the incoherent region provide a unique opportunity to extract the yet unmeasured total cross section for longitudinally polarized mesons.</w:t>
      </w:r>
    </w:p>
    <w:p>
      <w:pPr>
        <w:pStyle w:val="Normal"/>
        <w:numPr>
          <w:ilvl w:val="0"/>
          <w:numId w:val="6"/>
        </w:numPr>
        <w:tabs>
          <w:tab w:val="left" w:pos="709" w:leader="none"/>
        </w:tabs>
        <w:jc w:val="both"/>
        <w:rPr>
          <w:lang w:val="en-GB"/>
        </w:rPr>
      </w:pPr>
      <w:r>
        <w:rPr>
          <w:lang w:val="en-GB"/>
        </w:rPr>
        <w:t>The production of two-meson electromagnetic bound states and free meson pairs in relativistic collisions has been considered. It is shown that using of exact Coulomb wave functions for dimeson atom (DMA) allows one to calculate the yield of discrete states with the desired accuracy. The relative probabilities of production of DMA and meson pairs in the free state are estimated. The amplitude of DMA transition from 1S to 2P state, which is essential for the pionium Lamb shift measurements, has been obtained [23].</w:t>
      </w:r>
    </w:p>
    <w:p>
      <w:pPr>
        <w:pStyle w:val="Normal"/>
        <w:numPr>
          <w:ilvl w:val="0"/>
          <w:numId w:val="6"/>
        </w:numPr>
        <w:tabs>
          <w:tab w:val="left" w:pos="709" w:leader="none"/>
        </w:tabs>
        <w:jc w:val="both"/>
        <w:rPr>
          <w:rFonts w:cs="Arial"/>
          <w:lang w:val="en-GB"/>
        </w:rPr>
      </w:pPr>
      <w:r>
        <w:rPr>
          <w:lang w:val="en-GB"/>
        </w:rPr>
        <w:t>The meson-nucleon total cross sections can be extracted by measuring the absorption of mesons in production off nuclei as the nuclear absorption depends on the meson-nucleon total cross section and consequently on the vector meson polarization. The possibility of difference in interaction of transverse and longitudinally polarized vector mesons with nucleons is discussed [24].</w:t>
      </w:r>
    </w:p>
    <w:p>
      <w:pPr>
        <w:pStyle w:val="Normal"/>
        <w:tabs>
          <w:tab w:val="left" w:pos="709" w:leader="none"/>
        </w:tabs>
        <w:jc w:val="both"/>
        <w:rPr>
          <w:rFonts w:cs="Arial"/>
          <w:lang w:val="en-GB"/>
        </w:rPr>
      </w:pPr>
      <w:r>
        <w:rPr>
          <w:rFonts w:cs="Arial"/>
          <w:lang w:val="en-GB"/>
        </w:rPr>
      </w:r>
    </w:p>
    <w:p>
      <w:pPr>
        <w:pStyle w:val="Normal"/>
        <w:spacing w:before="0" w:after="120"/>
        <w:ind w:firstLine="567"/>
        <w:jc w:val="both"/>
        <w:rPr>
          <w:lang w:val="en-US"/>
        </w:rPr>
      </w:pPr>
      <w:r>
        <w:rPr>
          <w:lang w:val="en-US"/>
        </w:rPr>
        <w:t>Obtained results in 2016-2018 were presented at the international conferences, including 12 presentations given by the representatives of JINR group</w:t>
      </w:r>
      <w:r>
        <w:rPr>
          <w:color w:val="FF3333"/>
          <w:lang w:val="en-US"/>
        </w:rPr>
        <w:t xml:space="preserve"> </w:t>
      </w:r>
      <w:r>
        <w:rPr>
          <w:lang w:val="en-US"/>
        </w:rPr>
        <w:t>[14,22,24-33]. During the NA62 experimental runs in 2016-2018 the JINR group members will perform in total about 250 shifts.</w:t>
      </w:r>
    </w:p>
    <w:p>
      <w:pPr>
        <w:pStyle w:val="Normal"/>
        <w:spacing w:before="0" w:after="120"/>
        <w:ind w:firstLine="567"/>
        <w:jc w:val="both"/>
        <w:rPr>
          <w:rFonts w:eastAsia="MS Mincho"/>
          <w:bCs/>
          <w:lang w:val="en-US"/>
        </w:rPr>
      </w:pPr>
      <w:r>
        <w:rPr>
          <w:lang w:val="en-US"/>
        </w:rPr>
        <w:t>The series of scientific works of Dubna group “Development and construction of gas-filled detectors based on a new type of straw tubes for operation in vacuum in the track spectrometer of the NA62 experimental set-up” was awarded a first JINR prize (2017)</w:t>
      </w:r>
      <w:r>
        <w:rPr>
          <w:color w:val="FF3333"/>
          <w:lang w:val="en-US"/>
        </w:rPr>
        <w:t xml:space="preserve"> </w:t>
      </w:r>
      <w:r>
        <w:rPr>
          <w:lang w:val="en-US"/>
        </w:rPr>
        <w:t>in the nomination of scientifically-methodical</w:t>
      </w:r>
      <w:r>
        <w:rPr>
          <w:color w:val="FF00CC"/>
          <w:lang w:val="en-US"/>
        </w:rPr>
        <w:t xml:space="preserve"> </w:t>
      </w:r>
      <w:r>
        <w:rPr>
          <w:lang w:val="en-US"/>
        </w:rPr>
        <w:t>works. Two patents for inventions are obtained by the JINR group members [34,35].</w:t>
      </w:r>
      <w:r>
        <w:rPr>
          <w:color w:val="FF3333"/>
          <w:lang w:val="en-US"/>
        </w:rPr>
        <w:t xml:space="preserve"> </w:t>
      </w:r>
    </w:p>
    <w:p>
      <w:pPr>
        <w:pStyle w:val="Textbody1"/>
        <w:spacing w:before="0" w:after="120"/>
        <w:ind w:firstLine="357"/>
        <w:jc w:val="left"/>
        <w:rPr>
          <w:rFonts w:eastAsia="MS Mincho"/>
          <w:bCs/>
          <w:lang w:val="en-US"/>
        </w:rPr>
      </w:pPr>
      <w:r>
        <w:rPr>
          <w:rFonts w:eastAsia="MS Mincho"/>
          <w:bCs/>
          <w:lang w:val="en-US"/>
        </w:rPr>
        <w:t>During the execution of the NA62 Project of 2019 – 2021 the Dubna group plans the following works:</w:t>
      </w:r>
    </w:p>
    <w:p>
      <w:pPr>
        <w:pStyle w:val="Textbody1"/>
        <w:numPr>
          <w:ilvl w:val="0"/>
          <w:numId w:val="7"/>
        </w:numPr>
        <w:ind w:left="714" w:hanging="357"/>
        <w:rPr>
          <w:rFonts w:eastAsia="MS Mincho"/>
          <w:bCs/>
          <w:lang w:val="en-US"/>
        </w:rPr>
      </w:pPr>
      <w:r>
        <w:rPr>
          <w:rFonts w:eastAsia="MS Mincho"/>
          <w:bCs/>
          <w:lang w:val="en-US"/>
        </w:rPr>
        <w:t>to perform the fine calibration and alignment of straw detector on the basis of collected data;</w:t>
      </w:r>
    </w:p>
    <w:p>
      <w:pPr>
        <w:pStyle w:val="Textbody1"/>
        <w:numPr>
          <w:ilvl w:val="0"/>
          <w:numId w:val="7"/>
        </w:numPr>
        <w:ind w:left="714" w:hanging="357"/>
        <w:rPr>
          <w:rFonts w:eastAsia="MS Mincho"/>
          <w:bCs/>
          <w:lang w:val="en-US"/>
        </w:rPr>
      </w:pPr>
      <w:r>
        <w:rPr>
          <w:rFonts w:eastAsia="MS Mincho"/>
          <w:bCs/>
          <w:lang w:val="en-US"/>
        </w:rPr>
        <w:t>to improve the straw detector Monte Carlo simulation used for the main NA62 analysis;</w:t>
      </w:r>
    </w:p>
    <w:p>
      <w:pPr>
        <w:pStyle w:val="Textbody1"/>
        <w:numPr>
          <w:ilvl w:val="0"/>
          <w:numId w:val="7"/>
        </w:numPr>
        <w:rPr>
          <w:rFonts w:eastAsia="MS Mincho"/>
          <w:bCs/>
          <w:lang w:val="en-US"/>
        </w:rPr>
      </w:pPr>
      <w:r>
        <w:rPr>
          <w:rFonts w:eastAsia="MS Mincho"/>
          <w:bCs/>
          <w:lang w:val="en-US"/>
        </w:rPr>
        <w:t xml:space="preserve">to participate in the analysis of some background sources for the  </w:t>
      </w:r>
      <w:r>
        <w:rPr>
          <w:rFonts w:eastAsia="Tahoma" w:cs="Liberation Serif" w:ascii="Liberation Serif" w:hAnsi="Liberation Serif"/>
          <w:sz w:val="24"/>
          <w:szCs w:val="24"/>
          <w:lang w:val="en-US"/>
        </w:rPr>
        <w:t>K</w:t>
      </w:r>
      <w:r>
        <w:rPr>
          <w:rFonts w:eastAsia="Wingdings"/>
          <w:bCs/>
          <w:spacing w:val="4"/>
          <w:sz w:val="24"/>
          <w:szCs w:val="24"/>
          <w:vertAlign w:val="superscript"/>
          <w:lang w:val="en-US"/>
        </w:rPr>
        <w:t>+</w:t>
      </w:r>
      <w:r>
        <w:rPr>
          <w:rFonts w:eastAsia="Symbol" w:cs="Symbol" w:ascii="Symbol" w:hAnsi="Symbol"/>
          <w:sz w:val="24"/>
          <w:szCs w:val="24"/>
          <w:lang w:val="en-US"/>
        </w:rPr>
        <w:t></w:t>
      </w:r>
      <w:r>
        <w:rPr>
          <w:rFonts w:eastAsia="Tahoma" w:cs="Symbol" w:ascii="Symbol" w:hAnsi="Symbol"/>
          <w:sz w:val="24"/>
          <w:szCs w:val="24"/>
          <w:lang w:val="en-US"/>
        </w:rPr>
        <w:t></w:t>
      </w:r>
      <w:r>
        <w:rPr>
          <w:rFonts w:eastAsia="Wingdings"/>
          <w:bCs/>
          <w:spacing w:val="4"/>
          <w:sz w:val="24"/>
          <w:szCs w:val="24"/>
          <w:vertAlign w:val="superscript"/>
          <w:lang w:val="en-US"/>
        </w:rPr>
        <w:t>+</w:t>
      </w:r>
      <w:r>
        <w:rPr>
          <w:rFonts w:eastAsia="Tahoma" w:cs="Symbol" w:ascii="Symbol" w:hAnsi="Symbol"/>
          <w:sz w:val="24"/>
          <w:szCs w:val="24"/>
          <w:lang w:val="en-US"/>
        </w:rPr>
        <w:t></w:t>
      </w:r>
      <w:r>
        <w:rPr>
          <w:rFonts w:eastAsia="Tahoma" w:cs="Symbol" w:ascii="Symbol" w:hAnsi="Symbol"/>
          <w:sz w:val="24"/>
          <w:lang w:val="en-US"/>
        </w:rPr>
        <w:t></w:t>
      </w:r>
      <w:r>
        <w:rPr>
          <w:rFonts w:eastAsia="Tahoma"/>
          <w:sz w:val="24"/>
          <w:lang w:val="en-US"/>
        </w:rPr>
        <w:t>decay.</w:t>
      </w:r>
    </w:p>
    <w:p>
      <w:pPr>
        <w:pStyle w:val="Textbody1"/>
        <w:numPr>
          <w:ilvl w:val="0"/>
          <w:numId w:val="7"/>
        </w:numPr>
        <w:ind w:left="714" w:hanging="357"/>
        <w:rPr>
          <w:rFonts w:eastAsia="MS Mincho"/>
          <w:bCs/>
          <w:lang w:val="en-US"/>
        </w:rPr>
      </w:pPr>
      <w:r>
        <w:rPr>
          <w:rFonts w:eastAsia="MS Mincho"/>
          <w:bCs/>
          <w:lang w:val="en-US"/>
        </w:rPr>
        <w:t>to perfom data processing and analysis of the collected experimental data to measure the four-lepton decay modes of charged kaon;</w:t>
      </w:r>
    </w:p>
    <w:p>
      <w:pPr>
        <w:pStyle w:val="Textbody1"/>
        <w:numPr>
          <w:ilvl w:val="0"/>
          <w:numId w:val="7"/>
        </w:numPr>
        <w:ind w:left="714" w:hanging="357"/>
        <w:rPr>
          <w:rFonts w:eastAsia="MS Mincho"/>
          <w:bCs/>
          <w:lang w:val="en-US"/>
        </w:rPr>
      </w:pPr>
      <w:r>
        <w:rPr>
          <w:rFonts w:eastAsia="MS Mincho"/>
          <w:bCs/>
          <w:lang w:val="en-US"/>
        </w:rPr>
        <w:t>to search for the light sgoldstio signatures;</w:t>
      </w:r>
    </w:p>
    <w:p>
      <w:pPr>
        <w:pStyle w:val="Textbody1"/>
        <w:numPr>
          <w:ilvl w:val="0"/>
          <w:numId w:val="7"/>
        </w:numPr>
        <w:ind w:left="714" w:hanging="357"/>
        <w:rPr>
          <w:rFonts w:eastAsia="MS Mincho"/>
          <w:bCs/>
          <w:lang w:val="en-US"/>
        </w:rPr>
      </w:pPr>
      <w:r>
        <w:rPr>
          <w:rFonts w:eastAsia="MS Mincho"/>
          <w:bCs/>
          <w:lang w:val="en-US"/>
        </w:rPr>
        <w:t>to perform the diagnostics and necessary repair of the Spectrometer straw chambers and their low and high voltage power supply during the shutdown in 2019-2020.</w:t>
      </w:r>
    </w:p>
    <w:p>
      <w:pPr>
        <w:pStyle w:val="Textbody1"/>
        <w:numPr>
          <w:ilvl w:val="0"/>
          <w:numId w:val="7"/>
        </w:numPr>
        <w:rPr>
          <w:rFonts w:eastAsia="MS Mincho"/>
          <w:bCs/>
          <w:lang w:val="en-US"/>
        </w:rPr>
      </w:pPr>
      <w:r>
        <w:rPr>
          <w:rFonts w:eastAsia="MS Mincho"/>
          <w:bCs/>
          <w:lang w:val="en-US"/>
        </w:rPr>
        <w:t>to participate in the next NA62 data taking run in 2021.</w:t>
      </w:r>
    </w:p>
    <w:p>
      <w:pPr>
        <w:pStyle w:val="Textbody1"/>
        <w:numPr>
          <w:ilvl w:val="0"/>
          <w:numId w:val="7"/>
        </w:numPr>
        <w:rPr>
          <w:rFonts w:eastAsia="MS Mincho"/>
          <w:bCs/>
          <w:lang w:val="en-US"/>
        </w:rPr>
      </w:pPr>
      <w:r>
        <w:rPr>
          <w:rFonts w:eastAsia="MS Mincho"/>
          <w:bCs/>
          <w:lang w:val="en-US"/>
        </w:rPr>
        <w:t>to support the Spectrometer during the data taking run in 2021.</w:t>
      </w:r>
    </w:p>
    <w:p>
      <w:pPr>
        <w:pStyle w:val="Textbody1"/>
        <w:rPr>
          <w:rFonts w:eastAsia="MS Mincho"/>
          <w:bCs/>
          <w:lang w:val="en-US"/>
        </w:rPr>
      </w:pPr>
      <w:r>
        <w:rPr>
          <w:rFonts w:eastAsia="MS Mincho"/>
          <w:bCs/>
          <w:lang w:val="en-US"/>
        </w:rPr>
      </w:r>
    </w:p>
    <w:p>
      <w:pPr>
        <w:pStyle w:val="13"/>
        <w:spacing w:before="0" w:after="120"/>
        <w:rPr>
          <w:lang w:val="en-US"/>
        </w:rPr>
      </w:pPr>
      <w:r>
        <w:rPr>
          <w:rFonts w:eastAsia="MS Mincho"/>
          <w:b/>
          <w:bCs/>
          <w:u w:val="single"/>
          <w:lang w:val="en-US"/>
        </w:rPr>
        <w:t>Costs estimation</w:t>
      </w:r>
      <w:r>
        <w:rPr>
          <w:rFonts w:eastAsia="MS Mincho"/>
          <w:b/>
          <w:bCs/>
          <w:lang w:val="en-US"/>
        </w:rPr>
        <w:t xml:space="preserve">  </w:t>
      </w:r>
    </w:p>
    <w:p>
      <w:pPr>
        <w:pStyle w:val="Normal"/>
        <w:ind w:firstLine="567"/>
        <w:jc w:val="both"/>
        <w:rPr>
          <w:lang w:val="en-US"/>
        </w:rPr>
      </w:pPr>
      <w:r>
        <w:rPr>
          <w:lang w:val="en-US"/>
        </w:rPr>
        <w:t>The total expenses for the creation of new elements of detectors for the NA62 experiment are estimated at the level of 40 million Swiss francs (CHF) where the JINR contribution according the MoU is 1.5 million Swiss francs. In the realization of previous stages of the NA62 project at JINR 12 experts of different fields have been involved. We propose to have 2 more PhD students for the participation in the third part of the Project.</w:t>
      </w:r>
    </w:p>
    <w:p>
      <w:pPr>
        <w:pStyle w:val="Normal"/>
        <w:ind w:firstLine="720"/>
        <w:jc w:val="both"/>
        <w:rPr>
          <w:color w:val="000000"/>
          <w:lang w:val="en-US"/>
        </w:rPr>
      </w:pPr>
      <w:r>
        <w:rPr>
          <w:lang w:val="en-US"/>
        </w:rPr>
        <w:t>The total JINR expenses</w:t>
      </w:r>
      <w:r>
        <w:rPr>
          <w:color w:val="000000"/>
          <w:lang w:val="en-US"/>
        </w:rPr>
        <w:t xml:space="preserve"> during 2016-2018 years to the third stage of the project (the theme of 1096) realization are </w:t>
      </w:r>
      <w:r>
        <w:rPr>
          <w:b/>
          <w:color w:val="000000"/>
          <w:lang w:val="en-US"/>
        </w:rPr>
        <w:t>$504.7k</w:t>
      </w:r>
      <w:r>
        <w:rPr>
          <w:color w:val="000000"/>
          <w:lang w:val="en-US"/>
        </w:rPr>
        <w:t xml:space="preserve">. About $10 thousand have been paid by CERN and collaboration NA62 for the support of the straw detector; about $10k </w:t>
      </w:r>
      <w:r>
        <w:rPr>
          <w:lang w:val="en-US"/>
        </w:rPr>
        <w:t>is allocated by CERN for travel support of the JINR experts to CERN. The NA62 Collaboration allocates 30K CHF in 2016 for JINR engineers needed to support of common works into the Collaboration during the preparation of the experiment.</w:t>
      </w:r>
    </w:p>
    <w:p>
      <w:pPr>
        <w:pStyle w:val="TextBody"/>
        <w:spacing w:before="0" w:after="60"/>
        <w:ind w:firstLine="720"/>
        <w:rPr>
          <w:lang w:val="en-US"/>
        </w:rPr>
      </w:pPr>
      <w:r>
        <w:rPr>
          <w:color w:val="000000"/>
          <w:lang w:val="en-US"/>
        </w:rPr>
        <w:t xml:space="preserve">The volume of the necessary funding for the years 2019-2021 from the JINR budget is </w:t>
      </w:r>
      <w:r>
        <w:rPr>
          <w:b/>
          <w:color w:val="000000"/>
          <w:lang w:val="en-US"/>
        </w:rPr>
        <w:t>$370k</w:t>
      </w:r>
      <w:r>
        <w:rPr>
          <w:color w:val="000000"/>
          <w:lang w:val="en-US"/>
        </w:rPr>
        <w:t>. Most of the funds required for the participation of JINR employees in experimental run 2021 of the NA62 set-up and maintenance the work for a development of straw detectors and on-line software systems for control this work, for the payment of JINR contributions into the collaboration common fund in accordance with the obligations under the MoU, to provide computer and technical support of simulation, processing and analysis of accumulated experimental data. Funding from other sources will be at least $10k.</w:t>
      </w:r>
    </w:p>
    <w:p>
      <w:pPr>
        <w:pStyle w:val="TextBody"/>
        <w:spacing w:before="0" w:after="60"/>
        <w:ind w:firstLine="720"/>
        <w:rPr>
          <w:rFonts w:eastAsia="MS Mincho" w:cs="Courier New"/>
          <w:b/>
          <w:b/>
          <w:bCs/>
          <w:color w:val="000000"/>
          <w:lang w:val="en-US"/>
        </w:rPr>
      </w:pPr>
      <w:r>
        <w:rPr>
          <w:lang w:val="en-US"/>
        </w:rPr>
        <w:t xml:space="preserve">Resources, required for the project realization, are presented below as their description and as the list of </w:t>
      </w:r>
      <w:r>
        <w:rPr>
          <w:color w:val="000000"/>
          <w:lang w:val="en-US"/>
        </w:rPr>
        <w:t>project costs</w:t>
      </w:r>
      <w:r>
        <w:rPr>
          <w:lang w:val="en-US"/>
        </w:rPr>
        <w:t xml:space="preserve">. </w:t>
      </w:r>
    </w:p>
    <w:p>
      <w:pPr>
        <w:pStyle w:val="Normal"/>
        <w:spacing w:lineRule="atLeast" w:line="100"/>
        <w:jc w:val="both"/>
        <w:rPr>
          <w:rFonts w:eastAsia="MS Mincho" w:cs="Courier New"/>
          <w:b/>
          <w:b/>
          <w:bCs/>
          <w:color w:val="000000"/>
          <w:lang w:val="en-US"/>
        </w:rPr>
      </w:pPr>
      <w:r>
        <w:rPr>
          <w:rFonts w:eastAsia="MS Mincho" w:cs="Courier New"/>
          <w:b/>
          <w:bCs/>
          <w:color w:val="000000"/>
          <w:lang w:val="en-US"/>
        </w:rPr>
      </w:r>
      <w:r>
        <w:br w:type="page"/>
      </w:r>
    </w:p>
    <w:p>
      <w:pPr>
        <w:pStyle w:val="13"/>
        <w:jc w:val="center"/>
        <w:rPr>
          <w:rFonts w:eastAsia="MS Mincho"/>
          <w:lang w:val="en-US"/>
        </w:rPr>
      </w:pPr>
      <w:r>
        <w:rPr>
          <w:rFonts w:eastAsia="MS Mincho"/>
          <w:b/>
          <w:bCs/>
          <w:u w:val="single"/>
          <w:lang w:val="en-US"/>
        </w:rPr>
        <w:t>References</w:t>
      </w:r>
    </w:p>
    <w:p>
      <w:pPr>
        <w:pStyle w:val="13"/>
        <w:rPr>
          <w:rFonts w:eastAsia="MS Mincho"/>
          <w:lang w:val="en-US"/>
        </w:rPr>
      </w:pPr>
      <w:r>
        <w:rPr>
          <w:rFonts w:eastAsia="MS Mincho"/>
          <w:lang w:val="en-US"/>
        </w:rPr>
      </w:r>
    </w:p>
    <w:p>
      <w:pPr>
        <w:pStyle w:val="ColorfulListAccent11"/>
        <w:numPr>
          <w:ilvl w:val="0"/>
          <w:numId w:val="8"/>
        </w:numPr>
        <w:tabs>
          <w:tab w:val="left" w:pos="450" w:leader="none"/>
        </w:tabs>
        <w:spacing w:before="0" w:after="60"/>
        <w:jc w:val="both"/>
        <w:rPr>
          <w:rFonts w:eastAsia="MS Mincho"/>
          <w:color w:val="000000"/>
          <w:lang w:val="en-US"/>
        </w:rPr>
      </w:pPr>
      <w:r>
        <w:rPr>
          <w:rFonts w:eastAsia="MS Mincho"/>
          <w:color w:val="000000"/>
          <w:lang w:val="en-US"/>
        </w:rPr>
        <w:t>NA62 COLLABORATION; F.Ambrosino et al. Proposal to Measure K</w:t>
      </w:r>
      <w:r>
        <w:rPr>
          <w:rFonts w:eastAsia="Times-Roman" w:cs="Times-Roman"/>
          <w:lang w:val="en-US"/>
        </w:rPr>
        <w:t>→</w:t>
      </w:r>
      <w:r>
        <w:rPr>
          <w:rFonts w:eastAsia="MS Mincho" w:cs="Symbol" w:ascii="Symbol" w:hAnsi="Symbol"/>
          <w:color w:val="000000"/>
          <w:lang w:val="en-US"/>
        </w:rPr>
        <w:t></w:t>
      </w:r>
      <w:r>
        <w:rPr>
          <w:rFonts w:eastAsia="MS Mincho"/>
          <w:color w:val="000000"/>
          <w:lang w:val="en-US"/>
        </w:rPr>
        <w:t xml:space="preserve"> rare decay at the CERN SPS. CERN-SPSC-2005-013, 2005.</w:t>
      </w:r>
    </w:p>
    <w:p>
      <w:pPr>
        <w:pStyle w:val="ColorfulListAccent11"/>
        <w:numPr>
          <w:ilvl w:val="0"/>
          <w:numId w:val="8"/>
        </w:numPr>
        <w:tabs>
          <w:tab w:val="left" w:pos="450" w:leader="none"/>
        </w:tabs>
        <w:spacing w:before="0" w:after="60"/>
        <w:jc w:val="both"/>
        <w:rPr>
          <w:rFonts w:eastAsia="MS Mincho"/>
          <w:lang w:val="en-US"/>
        </w:rPr>
      </w:pPr>
      <w:r>
        <w:rPr>
          <w:rFonts w:eastAsia="MS Mincho"/>
          <w:color w:val="000000"/>
          <w:lang w:val="en-US"/>
        </w:rPr>
        <w:t xml:space="preserve">NA62 COLLABORATION; F.Hahn et al. NA62 Technical Design Document. NA62-10-07, CERN, 2010, 414 pp. </w:t>
      </w:r>
    </w:p>
    <w:p>
      <w:pPr>
        <w:pStyle w:val="ColorfulListAccent11"/>
        <w:numPr>
          <w:ilvl w:val="0"/>
          <w:numId w:val="8"/>
        </w:numPr>
        <w:tabs>
          <w:tab w:val="left" w:pos="426" w:leader="none"/>
        </w:tabs>
        <w:spacing w:before="0" w:after="60"/>
        <w:jc w:val="both"/>
        <w:rPr>
          <w:rFonts w:eastAsia="MS Mincho"/>
          <w:color w:val="000000"/>
          <w:lang w:val="en-US"/>
        </w:rPr>
      </w:pPr>
      <w:r>
        <w:rPr>
          <w:rFonts w:eastAsia="MS Mincho"/>
          <w:lang w:val="en-US"/>
        </w:rPr>
        <w:t xml:space="preserve">Eduardo Cortina Gil </w:t>
      </w:r>
      <w:r>
        <w:rPr>
          <w:rFonts w:eastAsia="MS Mincho"/>
          <w:i/>
          <w:iCs/>
          <w:lang w:val="en-US"/>
        </w:rPr>
        <w:t>et al.</w:t>
      </w:r>
      <w:r>
        <w:rPr>
          <w:rFonts w:eastAsia="MS Mincho"/>
          <w:lang w:val="en-US"/>
        </w:rPr>
        <w:t xml:space="preserve"> The beam and detector of the NA62 experiment at CERN. JINST 12 (2017) no.05, P05025.</w:t>
      </w:r>
    </w:p>
    <w:p>
      <w:pPr>
        <w:pStyle w:val="ColorfulListAccent11"/>
        <w:numPr>
          <w:ilvl w:val="0"/>
          <w:numId w:val="8"/>
        </w:numPr>
        <w:tabs>
          <w:tab w:val="left" w:pos="426" w:leader="none"/>
        </w:tabs>
        <w:spacing w:before="0" w:after="60"/>
        <w:jc w:val="both"/>
        <w:rPr>
          <w:rFonts w:eastAsia="MS Mincho"/>
          <w:bCs/>
          <w:color w:val="000000"/>
          <w:lang w:val="en-US"/>
        </w:rPr>
      </w:pPr>
      <w:r>
        <w:rPr>
          <w:rFonts w:eastAsia="MS Mincho"/>
          <w:color w:val="000000"/>
          <w:lang w:val="en-US"/>
        </w:rPr>
        <w:t>NA62 COLLABORATION; F.Ambrosino et al. NA62 Status Report. CERN-SPSC-2007-035.</w:t>
      </w:r>
    </w:p>
    <w:p>
      <w:pPr>
        <w:pStyle w:val="Normal"/>
        <w:numPr>
          <w:ilvl w:val="0"/>
          <w:numId w:val="8"/>
        </w:numPr>
        <w:tabs>
          <w:tab w:val="left" w:pos="426" w:leader="none"/>
        </w:tabs>
        <w:spacing w:before="0" w:after="60"/>
        <w:jc w:val="both"/>
        <w:rPr/>
      </w:pPr>
      <w:r>
        <w:rPr>
          <w:color w:val="000000"/>
          <w:lang w:val="en-US"/>
        </w:rPr>
        <w:t>A.V.Artamonov et al. (E949 Collaboration). New Measurement of the K</w:t>
      </w:r>
      <w:r>
        <w:rPr>
          <w:color w:val="000000"/>
          <w:vertAlign w:val="superscript"/>
          <w:lang w:val="en-US"/>
        </w:rPr>
        <w:t>+</w:t>
      </w:r>
      <w:r>
        <w:rPr>
          <w:color w:val="000000"/>
          <w:lang w:val="en-US"/>
        </w:rPr>
        <w:t xml:space="preserve"> </w:t>
      </w:r>
      <w:r>
        <w:rPr>
          <w:rFonts w:eastAsia="MS Mincho"/>
          <w:bCs/>
          <w:i/>
          <w:color w:val="000000"/>
          <w:spacing w:val="0"/>
          <w:lang w:val="en-US"/>
        </w:rPr>
        <w:t>→</w:t>
      </w:r>
      <w:r>
        <w:rPr>
          <w:color w:val="000000"/>
          <w:lang w:val="en-US"/>
        </w:rPr>
        <w:t xml:space="preserve"> </w:t>
      </w:r>
      <w:r>
        <w:rPr>
          <w:rFonts w:ascii="Symbol" w:hAnsi="Symbol"/>
          <w:color w:val="000000"/>
          <w:lang w:val="en-US"/>
        </w:rPr>
        <w:t></w:t>
      </w:r>
      <w:r>
        <w:rPr>
          <w:color w:val="000000"/>
          <w:vertAlign w:val="superscript"/>
          <w:lang w:val="en-US"/>
        </w:rPr>
        <w:t>+</w:t>
      </w:r>
      <w:r>
        <w:rPr>
          <w:rFonts w:ascii="Symbol" w:hAnsi="Symbol"/>
          <w:color w:val="000000"/>
          <w:lang w:val="en-US"/>
        </w:rPr>
        <w:t></w:t>
      </w:r>
      <w:r>
        <w:rPr>
          <w:color w:val="000000"/>
          <w:lang w:val="en-US"/>
        </w:rPr>
        <w:t xml:space="preserve"> branching ratio. </w:t>
      </w:r>
      <w:r>
        <w:rPr>
          <w:color w:val="000000"/>
        </w:rPr>
        <w:t>Phys. Rev. Lett. 101 191802, 2008.</w:t>
      </w:r>
    </w:p>
    <w:p>
      <w:pPr>
        <w:pStyle w:val="ColorfulListAccent11"/>
        <w:numPr>
          <w:ilvl w:val="0"/>
          <w:numId w:val="8"/>
        </w:numPr>
        <w:tabs>
          <w:tab w:val="left" w:pos="426" w:leader="none"/>
        </w:tabs>
        <w:spacing w:before="0" w:after="60"/>
        <w:jc w:val="both"/>
        <w:rPr>
          <w:rFonts w:eastAsia="MS Mincho"/>
          <w:bCs/>
          <w:color w:val="000000"/>
        </w:rPr>
      </w:pPr>
      <w:r>
        <w:rPr>
          <w:rFonts w:eastAsia="MS Mincho"/>
          <w:bCs/>
          <w:color w:val="000000"/>
          <w:lang w:val="en-US"/>
        </w:rPr>
        <w:t>D</w:t>
      </w:r>
      <w:r>
        <w:rPr>
          <w:rFonts w:eastAsia="MS Mincho"/>
          <w:bCs/>
          <w:color w:val="000000"/>
        </w:rPr>
        <w:t>.</w:t>
      </w:r>
      <w:r>
        <w:rPr>
          <w:rFonts w:eastAsia="MS Mincho"/>
          <w:bCs/>
          <w:color w:val="000000"/>
          <w:lang w:val="en-US"/>
        </w:rPr>
        <w:t>S</w:t>
      </w:r>
      <w:r>
        <w:rPr>
          <w:rFonts w:eastAsia="MS Mincho"/>
          <w:bCs/>
          <w:color w:val="000000"/>
        </w:rPr>
        <w:t>.</w:t>
      </w:r>
      <w:r>
        <w:rPr>
          <w:rFonts w:eastAsia="MS Mincho"/>
          <w:bCs/>
          <w:color w:val="000000"/>
          <w:lang w:val="en-US"/>
        </w:rPr>
        <w:t>Gorbunov</w:t>
      </w:r>
      <w:r>
        <w:rPr>
          <w:rFonts w:eastAsia="MS Mincho"/>
          <w:bCs/>
          <w:color w:val="000000"/>
        </w:rPr>
        <w:t xml:space="preserve">, </w:t>
      </w:r>
      <w:r>
        <w:rPr>
          <w:rFonts w:eastAsia="MS Mincho"/>
          <w:bCs/>
          <w:color w:val="000000"/>
          <w:lang w:val="en-US"/>
        </w:rPr>
        <w:t>V</w:t>
      </w:r>
      <w:r>
        <w:rPr>
          <w:rFonts w:eastAsia="MS Mincho"/>
          <w:bCs/>
          <w:color w:val="000000"/>
        </w:rPr>
        <w:t>.</w:t>
      </w:r>
      <w:r>
        <w:rPr>
          <w:rFonts w:eastAsia="MS Mincho"/>
          <w:bCs/>
          <w:color w:val="000000"/>
          <w:lang w:val="en-US"/>
        </w:rPr>
        <w:t>A</w:t>
      </w:r>
      <w:r>
        <w:rPr>
          <w:rFonts w:eastAsia="MS Mincho"/>
          <w:bCs/>
          <w:color w:val="000000"/>
        </w:rPr>
        <w:t xml:space="preserve">. </w:t>
      </w:r>
      <w:r>
        <w:rPr>
          <w:rFonts w:eastAsia="MS Mincho"/>
          <w:bCs/>
          <w:color w:val="000000"/>
          <w:lang w:val="en-US"/>
        </w:rPr>
        <w:t>Rubakov</w:t>
      </w:r>
      <w:r>
        <w:rPr>
          <w:rFonts w:eastAsia="MS Mincho"/>
          <w:bCs/>
          <w:color w:val="000000"/>
        </w:rPr>
        <w:t xml:space="preserve">. </w:t>
      </w:r>
      <w:r>
        <w:rPr>
          <w:rFonts w:eastAsia="MS Mincho"/>
          <w:bCs/>
          <w:color w:val="000000"/>
          <w:lang w:val="en-US"/>
        </w:rPr>
        <w:t>Phys</w:t>
      </w:r>
      <w:r>
        <w:rPr>
          <w:rFonts w:eastAsia="MS Mincho"/>
          <w:bCs/>
          <w:color w:val="000000"/>
        </w:rPr>
        <w:t>.</w:t>
      </w:r>
      <w:r>
        <w:rPr>
          <w:rFonts w:eastAsia="MS Mincho"/>
          <w:bCs/>
          <w:color w:val="000000"/>
          <w:lang w:val="en-US"/>
        </w:rPr>
        <w:t>Rev</w:t>
      </w:r>
      <w:r>
        <w:rPr>
          <w:rFonts w:eastAsia="MS Mincho"/>
          <w:bCs/>
          <w:color w:val="000000"/>
        </w:rPr>
        <w:t>.</w:t>
      </w:r>
      <w:r>
        <w:rPr>
          <w:rFonts w:eastAsia="MS Mincho"/>
          <w:bCs/>
          <w:color w:val="000000"/>
          <w:lang w:val="en-US"/>
        </w:rPr>
        <w:t>D</w:t>
      </w:r>
      <w:r>
        <w:rPr>
          <w:rFonts w:eastAsia="MS Mincho"/>
          <w:bCs/>
          <w:color w:val="000000"/>
        </w:rPr>
        <w:t>73:035002, 2006.</w:t>
      </w:r>
    </w:p>
    <w:p>
      <w:pPr>
        <w:pStyle w:val="ColorfulListAccent11"/>
        <w:numPr>
          <w:ilvl w:val="0"/>
          <w:numId w:val="8"/>
        </w:numPr>
        <w:tabs>
          <w:tab w:val="left" w:pos="426" w:leader="none"/>
        </w:tabs>
        <w:spacing w:before="0" w:after="60"/>
        <w:jc w:val="both"/>
        <w:rPr>
          <w:rFonts w:eastAsia="MS Mincho"/>
          <w:bCs/>
          <w:iCs/>
          <w:color w:val="000000"/>
          <w:spacing w:val="0"/>
          <w:lang w:val="en-US"/>
        </w:rPr>
      </w:pPr>
      <w:r>
        <w:rPr>
          <w:rFonts w:eastAsia="MS Mincho"/>
          <w:bCs/>
          <w:color w:val="000000"/>
          <w:lang w:val="en-US"/>
        </w:rPr>
        <w:t>J.Antos at al. Search for CP Violation in the Decays of X</w:t>
      </w:r>
      <w:r>
        <w:rPr>
          <w:rFonts w:eastAsia="MS Mincho"/>
          <w:bCs/>
          <w:color w:val="000000"/>
          <w:vertAlign w:val="superscript"/>
          <w:lang w:val="en-US"/>
        </w:rPr>
        <w:t xml:space="preserve">- </w:t>
      </w:r>
      <w:r>
        <w:rPr>
          <w:rFonts w:eastAsia="MS Mincho"/>
          <w:bCs/>
          <w:color w:val="000000"/>
          <w:lang w:val="en-US"/>
        </w:rPr>
        <w:t>X</w:t>
      </w:r>
      <w:r>
        <w:rPr>
          <w:rFonts w:eastAsia="MS Mincho"/>
          <w:bCs/>
          <w:color w:val="000000"/>
          <w:vertAlign w:val="superscript"/>
          <w:lang w:val="en-US"/>
        </w:rPr>
        <w:t>+</w:t>
      </w:r>
      <w:r>
        <w:rPr>
          <w:rFonts w:eastAsia="MS Mincho"/>
          <w:bCs/>
          <w:color w:val="000000"/>
          <w:lang w:val="en-US"/>
        </w:rPr>
        <w:t xml:space="preserve"> and </w:t>
      </w:r>
      <w:r>
        <w:rPr>
          <w:rFonts w:eastAsia="MS Mincho"/>
          <w:bCs/>
          <w:iCs/>
          <w:color w:val="000000"/>
          <w:spacing w:val="0"/>
          <w:lang w:val="en-US"/>
        </w:rPr>
        <w:t>Hyperons. Fermilab Proposal P-871. FNAL 1994.</w:t>
      </w:r>
    </w:p>
    <w:p>
      <w:pPr>
        <w:pStyle w:val="ColorfulListAccent11"/>
        <w:numPr>
          <w:ilvl w:val="0"/>
          <w:numId w:val="8"/>
        </w:numPr>
        <w:tabs>
          <w:tab w:val="left" w:pos="426" w:leader="none"/>
        </w:tabs>
        <w:spacing w:before="0" w:after="60"/>
        <w:jc w:val="both"/>
        <w:rPr>
          <w:rFonts w:eastAsia="MS Mincho"/>
          <w:bCs/>
          <w:iCs/>
          <w:color w:val="000000"/>
          <w:spacing w:val="0"/>
          <w:lang w:val="en-US"/>
        </w:rPr>
      </w:pPr>
      <w:r>
        <w:rPr>
          <w:rFonts w:eastAsia="MS Mincho"/>
          <w:bCs/>
          <w:iCs/>
          <w:color w:val="000000"/>
          <w:spacing w:val="0"/>
          <w:lang w:val="en-US"/>
        </w:rPr>
        <w:t>O.G.Tchikilev et al. (ISTRA) Phys.Lett. B602:149-156, 2004.</w:t>
      </w:r>
    </w:p>
    <w:p>
      <w:pPr>
        <w:pStyle w:val="Normal"/>
        <w:numPr>
          <w:ilvl w:val="0"/>
          <w:numId w:val="8"/>
        </w:numPr>
        <w:tabs>
          <w:tab w:val="left" w:pos="426" w:leader="none"/>
        </w:tabs>
        <w:spacing w:before="0" w:after="60"/>
        <w:jc w:val="both"/>
        <w:rPr>
          <w:rFonts w:eastAsia="MS Mincho"/>
          <w:bCs/>
          <w:color w:val="000000"/>
          <w:spacing w:val="0"/>
          <w:lang w:val="en-US"/>
        </w:rPr>
      </w:pPr>
      <w:r>
        <w:rPr>
          <w:rFonts w:eastAsia="MS Mincho"/>
          <w:bCs/>
          <w:iCs/>
          <w:color w:val="000000"/>
          <w:spacing w:val="0"/>
          <w:lang w:val="en-US"/>
        </w:rPr>
        <w:t>T.Asaka and M.Shaposhnikov, Phys. Lett. B620 (2005) 17.</w:t>
      </w:r>
    </w:p>
    <w:p>
      <w:pPr>
        <w:pStyle w:val="Normal"/>
        <w:numPr>
          <w:ilvl w:val="0"/>
          <w:numId w:val="8"/>
        </w:numPr>
        <w:tabs>
          <w:tab w:val="left" w:pos="426" w:leader="none"/>
        </w:tabs>
        <w:spacing w:before="0" w:after="60"/>
        <w:jc w:val="both"/>
        <w:rPr>
          <w:rFonts w:eastAsia="MS Mincho"/>
          <w:spacing w:val="0"/>
          <w:lang w:val="en-US"/>
        </w:rPr>
      </w:pPr>
      <w:r>
        <w:rPr>
          <w:rFonts w:eastAsia="MS Mincho"/>
          <w:bCs/>
          <w:color w:val="000000"/>
          <w:spacing w:val="0"/>
          <w:lang w:val="en-US"/>
        </w:rPr>
        <w:t xml:space="preserve">J.R.Batley </w:t>
      </w:r>
      <w:r>
        <w:rPr>
          <w:rFonts w:eastAsia="MS Mincho"/>
          <w:bCs/>
          <w:i/>
          <w:iCs/>
          <w:color w:val="000000"/>
          <w:spacing w:val="0"/>
          <w:lang w:val="en-US"/>
        </w:rPr>
        <w:t>et al.</w:t>
      </w:r>
      <w:r>
        <w:rPr>
          <w:rFonts w:eastAsia="MS Mincho"/>
          <w:bCs/>
          <w:color w:val="000000"/>
          <w:spacing w:val="0"/>
          <w:lang w:val="en-US"/>
        </w:rPr>
        <w:t xml:space="preserve"> Searches for lepton number violation and resonances in </w:t>
      </w:r>
      <w:r>
        <w:rPr>
          <w:rFonts w:eastAsia="MS Mincho"/>
          <w:bCs/>
          <w:i/>
          <w:spacing w:val="0"/>
          <w:lang w:val="en-US"/>
        </w:rPr>
        <w:t>K</w:t>
      </w:r>
      <w:r>
        <w:rPr>
          <w:rFonts w:eastAsia="MS Mincho"/>
          <w:bCs/>
          <w:i/>
          <w:spacing w:val="0"/>
          <w:position w:val="14"/>
          <w:lang w:val="en-US"/>
        </w:rPr>
        <w:t>±</w:t>
      </w:r>
      <w:bookmarkStart w:id="25" w:name="__DdeLink__2015_2548302214"/>
      <w:r>
        <w:rPr>
          <w:rFonts w:eastAsia="MS Mincho"/>
          <w:bCs/>
          <w:i/>
          <w:spacing w:val="0"/>
          <w:lang w:val="en-US"/>
        </w:rPr>
        <w:t>→</w:t>
      </w:r>
      <w:bookmarkEnd w:id="25"/>
      <w:r>
        <w:rPr>
          <w:rFonts w:eastAsia="MS Mincho"/>
          <w:bCs/>
          <w:i/>
          <w:spacing w:val="0"/>
          <w:lang w:val="en-US"/>
        </w:rPr>
        <w:t>π</w:t>
      </w:r>
      <w:r>
        <w:rPr>
          <w:rFonts w:eastAsia="MS Mincho" w:cs="Symbol" w:ascii="Symbol" w:hAnsi="Symbol"/>
          <w:bCs/>
          <w:i/>
          <w:spacing w:val="0"/>
          <w:lang w:val="en-US"/>
        </w:rPr>
        <w:t></w:t>
      </w:r>
      <w:r>
        <w:rPr>
          <w:rFonts w:eastAsia="MS Mincho"/>
          <w:bCs/>
          <w:spacing w:val="0"/>
          <w:lang w:val="en-US"/>
        </w:rPr>
        <w:t xml:space="preserve"> decays. </w:t>
      </w:r>
      <w:r>
        <w:rPr>
          <w:rFonts w:eastAsia="MS Mincho"/>
          <w:spacing w:val="0"/>
          <w:lang w:val="en-US"/>
        </w:rPr>
        <w:t>Phys.Lett. B769 (2017) 67-76.</w:t>
      </w:r>
    </w:p>
    <w:p>
      <w:pPr>
        <w:pStyle w:val="Normal"/>
        <w:numPr>
          <w:ilvl w:val="0"/>
          <w:numId w:val="8"/>
        </w:numPr>
        <w:tabs>
          <w:tab w:val="left" w:pos="426" w:leader="none"/>
        </w:tabs>
        <w:spacing w:before="0" w:after="60"/>
        <w:jc w:val="both"/>
        <w:rPr>
          <w:rFonts w:eastAsia="MS Mincho"/>
          <w:spacing w:val="0"/>
          <w:lang w:val="en-US"/>
        </w:rPr>
      </w:pPr>
      <w:r>
        <w:rPr>
          <w:rFonts w:eastAsia="MS Mincho"/>
          <w:spacing w:val="0"/>
          <w:lang w:val="en-US"/>
        </w:rPr>
        <w:t xml:space="preserve">C.Lazzeroni </w:t>
      </w:r>
      <w:r>
        <w:rPr>
          <w:rFonts w:eastAsia="MS Mincho"/>
          <w:i/>
          <w:iCs/>
          <w:spacing w:val="0"/>
          <w:lang w:val="en-US"/>
        </w:rPr>
        <w:t xml:space="preserve">et al. </w:t>
      </w:r>
      <w:r>
        <w:rPr>
          <w:rFonts w:eastAsia="MS Mincho"/>
          <w:spacing w:val="0"/>
          <w:lang w:val="en-US"/>
        </w:rPr>
        <w:t xml:space="preserve">Measurement of the </w:t>
      </w:r>
      <w:r>
        <w:rPr>
          <w:rFonts w:eastAsia="MS Mincho" w:cs="Symbol" w:ascii="Symbol" w:hAnsi="Symbol"/>
          <w:spacing w:val="0"/>
          <w:lang w:val="en-US"/>
        </w:rPr>
        <w:t></w:t>
      </w:r>
      <w:r>
        <w:rPr>
          <w:rFonts w:eastAsia="MS Mincho"/>
          <w:spacing w:val="0"/>
          <w:vertAlign w:val="superscript"/>
          <w:lang w:val="en-US"/>
        </w:rPr>
        <w:t></w:t>
      </w:r>
      <w:r>
        <w:rPr>
          <w:rFonts w:eastAsia="MS Mincho"/>
          <w:spacing w:val="0"/>
          <w:position w:val="14"/>
          <w:lang w:val="en-US"/>
        </w:rPr>
        <w:t xml:space="preserve"> </w:t>
      </w:r>
      <w:r>
        <w:rPr>
          <w:rFonts w:eastAsia="MS Mincho"/>
          <w:spacing w:val="0"/>
          <w:lang w:val="en-US"/>
        </w:rPr>
        <w:t>electromagnetic transition form factor slope. Phys.Lett. B768 (2017) 38-45.</w:t>
      </w:r>
    </w:p>
    <w:p>
      <w:pPr>
        <w:pStyle w:val="Normal"/>
        <w:numPr>
          <w:ilvl w:val="0"/>
          <w:numId w:val="8"/>
        </w:numPr>
        <w:tabs>
          <w:tab w:val="left" w:pos="426" w:leader="none"/>
        </w:tabs>
        <w:spacing w:before="0" w:after="60"/>
        <w:jc w:val="both"/>
        <w:rPr>
          <w:rFonts w:eastAsia="MS Mincho"/>
          <w:spacing w:val="0"/>
          <w:lang w:val="en-US"/>
        </w:rPr>
      </w:pPr>
      <w:r>
        <w:rPr>
          <w:rFonts w:eastAsia="MS Mincho"/>
          <w:spacing w:val="0"/>
          <w:lang w:val="en-US"/>
        </w:rPr>
        <w:t xml:space="preserve">E.Cortina Gil </w:t>
      </w:r>
      <w:r>
        <w:rPr>
          <w:rFonts w:eastAsia="MS Mincho"/>
          <w:i/>
          <w:iCs/>
          <w:spacing w:val="0"/>
          <w:lang w:val="en-US"/>
        </w:rPr>
        <w:t xml:space="preserve">et al. </w:t>
      </w:r>
      <w:r>
        <w:rPr>
          <w:rFonts w:eastAsia="MS Mincho"/>
          <w:spacing w:val="0"/>
          <w:lang w:val="en-US"/>
        </w:rPr>
        <w:t>Search for heavy neutral lepton production in K</w:t>
      </w:r>
      <w:r>
        <w:rPr>
          <w:rFonts w:eastAsia="MS Mincho"/>
          <w:spacing w:val="0"/>
          <w:position w:val="14"/>
          <w:lang w:val="en-US"/>
        </w:rPr>
        <w:t>+</w:t>
      </w:r>
      <w:r>
        <w:rPr>
          <w:rFonts w:eastAsia="MS Mincho"/>
          <w:spacing w:val="0"/>
          <w:lang w:val="en-US"/>
        </w:rPr>
        <w:t xml:space="preserve"> decays. CERN-EP-2017-311. 2017. 15 pp.</w:t>
      </w:r>
    </w:p>
    <w:p>
      <w:pPr>
        <w:pStyle w:val="Normal"/>
        <w:numPr>
          <w:ilvl w:val="0"/>
          <w:numId w:val="8"/>
        </w:numPr>
        <w:tabs>
          <w:tab w:val="left" w:pos="426" w:leader="none"/>
        </w:tabs>
        <w:spacing w:before="0" w:after="60"/>
        <w:jc w:val="both"/>
        <w:rPr>
          <w:rFonts w:eastAsia="MS Mincho"/>
          <w:spacing w:val="0"/>
          <w:lang w:val="en-US"/>
        </w:rPr>
      </w:pPr>
      <w:r>
        <w:rPr>
          <w:rFonts w:eastAsia="MS Mincho"/>
          <w:spacing w:val="0"/>
          <w:lang w:val="en-US"/>
        </w:rPr>
        <w:t xml:space="preserve">C.Lazzeroni </w:t>
      </w:r>
      <w:r>
        <w:rPr>
          <w:rFonts w:eastAsia="MS Mincho"/>
          <w:i/>
          <w:iCs/>
          <w:spacing w:val="0"/>
          <w:lang w:val="en-US"/>
        </w:rPr>
        <w:t>et al.</w:t>
      </w:r>
      <w:r>
        <w:rPr>
          <w:rFonts w:eastAsia="MS Mincho"/>
          <w:spacing w:val="0"/>
          <w:lang w:val="en-US"/>
        </w:rPr>
        <w:t xml:space="preserve"> Search for heavy neutrinos in  K</w:t>
      </w:r>
      <w:r>
        <w:rPr>
          <w:rFonts w:eastAsia="MS Mincho"/>
          <w:i/>
          <w:spacing w:val="0"/>
          <w:position w:val="14"/>
          <w:lang w:val="en-US"/>
        </w:rPr>
        <w:t>+</w:t>
      </w:r>
      <w:r>
        <w:rPr>
          <w:rFonts w:eastAsia="MS Mincho"/>
          <w:spacing w:val="0"/>
          <w:lang w:val="en-US"/>
        </w:rPr>
        <w:t>→</w:t>
      </w:r>
      <w:r>
        <w:rPr>
          <w:rFonts w:eastAsia="MS Mincho" w:cs="Symbol" w:ascii="Symbol" w:hAnsi="Symbol"/>
          <w:spacing w:val="0"/>
          <w:lang w:val="en-US"/>
        </w:rPr>
        <w:t></w:t>
      </w:r>
      <w:r>
        <w:rPr>
          <w:rFonts w:eastAsia="MS Mincho"/>
          <w:i/>
          <w:spacing w:val="0"/>
          <w:position w:val="14"/>
          <w:lang w:val="en-US"/>
        </w:rPr>
        <w:t>+</w:t>
      </w:r>
      <w:r>
        <w:rPr>
          <w:rFonts w:eastAsia="MS Mincho" w:cs="Symbol" w:ascii="Symbol" w:hAnsi="Symbol"/>
          <w:spacing w:val="0"/>
          <w:lang w:val="en-US"/>
        </w:rPr>
        <w:t></w:t>
      </w:r>
      <w:r>
        <w:rPr>
          <w:rFonts w:eastAsia="MS Mincho"/>
          <w:spacing w:val="0"/>
          <w:lang w:val="en-US"/>
        </w:rPr>
        <w:t>decays. Phys.Lett. B772 (2017) 712-718.</w:t>
      </w:r>
    </w:p>
    <w:p>
      <w:pPr>
        <w:pStyle w:val="Normal"/>
        <w:numPr>
          <w:ilvl w:val="0"/>
          <w:numId w:val="8"/>
        </w:numPr>
        <w:tabs>
          <w:tab w:val="left" w:pos="426" w:leader="none"/>
        </w:tabs>
        <w:spacing w:before="0" w:after="60"/>
        <w:jc w:val="both"/>
        <w:rPr>
          <w:rFonts w:eastAsia="MS Mincho"/>
          <w:spacing w:val="0"/>
          <w:lang w:val="en-US"/>
        </w:rPr>
      </w:pPr>
      <w:r>
        <w:rPr>
          <w:rFonts w:eastAsia="MS Mincho"/>
          <w:spacing w:val="0"/>
          <w:lang w:val="en-US"/>
        </w:rPr>
        <w:t>D.Madigozhin. New and recent results from NA48/2. Proceedings of the 52</w:t>
      </w:r>
      <w:r>
        <w:rPr>
          <w:rFonts w:eastAsia="MS Mincho"/>
          <w:spacing w:val="0"/>
          <w:vertAlign w:val="superscript"/>
          <w:lang w:val="en-US"/>
        </w:rPr>
        <w:t>nd</w:t>
      </w:r>
      <w:r>
        <w:rPr>
          <w:rFonts w:eastAsia="MS Mincho"/>
          <w:spacing w:val="0"/>
          <w:lang w:val="en-US"/>
        </w:rPr>
        <w:t xml:space="preserve"> Recontres de Moriond. QCD and High Energy Interactions. ARISF. 2017.</w:t>
      </w:r>
    </w:p>
    <w:p>
      <w:pPr>
        <w:pStyle w:val="Normal"/>
        <w:numPr>
          <w:ilvl w:val="0"/>
          <w:numId w:val="8"/>
        </w:numPr>
        <w:tabs>
          <w:tab w:val="left" w:pos="426" w:leader="none"/>
        </w:tabs>
        <w:spacing w:before="0" w:after="60"/>
        <w:jc w:val="both"/>
        <w:rPr>
          <w:rFonts w:eastAsia="MS Mincho"/>
          <w:spacing w:val="0"/>
          <w:lang w:val="en-US"/>
        </w:rPr>
      </w:pPr>
      <w:r>
        <w:rPr>
          <w:rFonts w:eastAsia="MS Mincho"/>
          <w:spacing w:val="0"/>
          <w:lang w:val="en-US"/>
        </w:rPr>
        <w:t>A.Cecucci, E.Goudzovski, V.Kekelidze, D.Madigozhin, I.Potrebenikov. Kaon decay studies at CERN SPS in the last decades. Phys.Part.Nucl. 47 (2016) no.4, 567-590.</w:t>
      </w:r>
    </w:p>
    <w:p>
      <w:pPr>
        <w:pStyle w:val="Normal"/>
        <w:numPr>
          <w:ilvl w:val="0"/>
          <w:numId w:val="8"/>
        </w:numPr>
        <w:tabs>
          <w:tab w:val="left" w:pos="426" w:leader="none"/>
        </w:tabs>
        <w:spacing w:before="0" w:after="60"/>
        <w:jc w:val="both"/>
        <w:rPr>
          <w:rStyle w:val="Strong"/>
          <w:rFonts w:eastAsia="MS Mincho"/>
          <w:spacing w:val="0"/>
          <w:lang w:val="en-US"/>
        </w:rPr>
      </w:pPr>
      <w:r>
        <w:rPr>
          <w:rFonts w:eastAsia="MS Mincho"/>
          <w:spacing w:val="0"/>
          <w:lang w:val="en-US"/>
        </w:rPr>
        <w:t xml:space="preserve">N.Azorskiy </w:t>
      </w:r>
      <w:r>
        <w:rPr>
          <w:rFonts w:eastAsia="MS Mincho"/>
          <w:i/>
          <w:iCs/>
          <w:spacing w:val="0"/>
          <w:lang w:val="en-US"/>
        </w:rPr>
        <w:t xml:space="preserve">et al. </w:t>
      </w:r>
      <w:r>
        <w:rPr>
          <w:rStyle w:val="Strong"/>
          <w:rFonts w:eastAsia="MS Mincho"/>
          <w:spacing w:val="0"/>
          <w:lang w:val="en-US"/>
        </w:rPr>
        <w:t>A drift chamber with a new type of straws for operation in vacuum</w:t>
      </w:r>
      <w:r>
        <w:rPr>
          <w:rStyle w:val="Strong"/>
          <w:rFonts w:eastAsia="MS Mincho"/>
          <w:i/>
          <w:iCs/>
          <w:spacing w:val="0"/>
          <w:lang w:val="en-US"/>
        </w:rPr>
        <w:t xml:space="preserve">. </w:t>
      </w:r>
      <w:r>
        <w:rPr>
          <w:rStyle w:val="Strong"/>
          <w:rFonts w:eastAsia="MS Mincho"/>
          <w:spacing w:val="0"/>
          <w:lang w:val="en-US"/>
        </w:rPr>
        <w:t>Nucl.Instrum.Meth. A824 (2016) 569-570</w:t>
      </w:r>
      <w:r>
        <w:rPr>
          <w:rStyle w:val="Strong"/>
          <w:rFonts w:eastAsia="MS Mincho"/>
          <w:i/>
          <w:iCs/>
          <w:spacing w:val="0"/>
          <w:lang w:val="en-US"/>
        </w:rPr>
        <w:t>.</w:t>
      </w:r>
    </w:p>
    <w:p>
      <w:pPr>
        <w:pStyle w:val="Normal"/>
        <w:numPr>
          <w:ilvl w:val="0"/>
          <w:numId w:val="8"/>
        </w:numPr>
        <w:tabs>
          <w:tab w:val="left" w:pos="426" w:leader="none"/>
        </w:tabs>
        <w:spacing w:before="0" w:after="60"/>
        <w:jc w:val="both"/>
        <w:rPr>
          <w:rFonts w:eastAsia="MS Mincho"/>
          <w:spacing w:val="0"/>
          <w:lang w:val="en-US"/>
        </w:rPr>
      </w:pPr>
      <w:r>
        <w:rPr>
          <w:rStyle w:val="Strong"/>
          <w:rFonts w:eastAsia="MS Mincho"/>
          <w:spacing w:val="0"/>
          <w:lang w:val="en-US"/>
        </w:rPr>
        <w:t xml:space="preserve">N.Azorskiy </w:t>
      </w:r>
      <w:r>
        <w:rPr>
          <w:rStyle w:val="Strong"/>
          <w:rFonts w:eastAsia="MS Mincho"/>
          <w:i/>
          <w:iCs/>
          <w:spacing w:val="0"/>
          <w:lang w:val="en-US"/>
        </w:rPr>
        <w:t xml:space="preserve">et al. </w:t>
      </w:r>
      <w:r>
        <w:rPr>
          <w:rStyle w:val="Strong"/>
          <w:rFonts w:eastAsia="MS Mincho"/>
          <w:spacing w:val="0"/>
          <w:lang w:val="en-US"/>
        </w:rPr>
        <w:t>The NA62 spectrometer acquisition system. JINST 11 (2016) no.02, C02064.</w:t>
      </w:r>
    </w:p>
    <w:p>
      <w:pPr>
        <w:pStyle w:val="Normal"/>
        <w:numPr>
          <w:ilvl w:val="0"/>
          <w:numId w:val="8"/>
        </w:numPr>
        <w:tabs>
          <w:tab w:val="left" w:pos="426" w:leader="none"/>
        </w:tabs>
        <w:spacing w:before="0" w:after="60"/>
        <w:jc w:val="both"/>
        <w:rPr>
          <w:rFonts w:eastAsia="MS Mincho"/>
          <w:spacing w:val="0"/>
          <w:lang w:val="en-US"/>
        </w:rPr>
      </w:pPr>
      <w:r>
        <w:rPr>
          <w:rFonts w:eastAsia="MS Mincho"/>
          <w:spacing w:val="0"/>
          <w:lang w:val="en-US"/>
        </w:rPr>
        <w:t xml:space="preserve">L.Glonti </w:t>
      </w:r>
      <w:r>
        <w:rPr>
          <w:rFonts w:eastAsia="MS Mincho"/>
          <w:i/>
          <w:iCs/>
          <w:spacing w:val="0"/>
          <w:lang w:val="en-US"/>
        </w:rPr>
        <w:t xml:space="preserve">et al. </w:t>
      </w:r>
      <w:r>
        <w:rPr>
          <w:spacing w:val="0"/>
          <w:lang w:val="en-US"/>
        </w:rPr>
        <w:t xml:space="preserve">Longitudinal tension and mechanical stability of a pressurized straw tube. </w:t>
      </w:r>
      <w:r>
        <w:rPr>
          <w:spacing w:val="0"/>
        </w:rPr>
        <w:t>JINR preprint E1-2017-20. 20 pp.</w:t>
      </w:r>
    </w:p>
    <w:p>
      <w:pPr>
        <w:pStyle w:val="Normal"/>
        <w:numPr>
          <w:ilvl w:val="0"/>
          <w:numId w:val="8"/>
        </w:numPr>
        <w:tabs>
          <w:tab w:val="left" w:pos="426" w:leader="none"/>
        </w:tabs>
        <w:spacing w:before="0" w:after="60"/>
        <w:jc w:val="both"/>
        <w:rPr>
          <w:spacing w:val="0"/>
          <w:lang w:val="en-US"/>
        </w:rPr>
      </w:pPr>
      <w:r>
        <w:rPr>
          <w:rFonts w:eastAsia="MS Mincho"/>
          <w:spacing w:val="0"/>
          <w:lang w:val="en-US"/>
        </w:rPr>
        <w:t xml:space="preserve">L.Glonti  </w:t>
      </w:r>
      <w:r>
        <w:rPr>
          <w:rFonts w:eastAsia="MS Mincho"/>
          <w:i/>
          <w:iCs/>
          <w:spacing w:val="0"/>
          <w:lang w:val="en-US"/>
        </w:rPr>
        <w:t xml:space="preserve">et al. </w:t>
      </w:r>
      <w:r>
        <w:rPr>
          <w:rStyle w:val="Strong"/>
          <w:rFonts w:eastAsia="MS Mincho"/>
          <w:spacing w:val="0"/>
          <w:lang w:val="en-US"/>
        </w:rPr>
        <w:t>Determination of the anode wire position by visible light in a new type straw for NA62 experiment tracker</w:t>
      </w:r>
      <w:r>
        <w:rPr>
          <w:rStyle w:val="Strong"/>
          <w:rFonts w:eastAsia="MS Mincho"/>
          <w:i/>
          <w:iCs/>
          <w:spacing w:val="0"/>
          <w:lang w:val="en-US"/>
        </w:rPr>
        <w:t xml:space="preserve">. </w:t>
      </w:r>
      <w:r>
        <w:rPr>
          <w:rStyle w:val="Strong"/>
          <w:rFonts w:eastAsia="MS Mincho"/>
          <w:spacing w:val="0"/>
          <w:lang w:val="en-US"/>
        </w:rPr>
        <w:t>Nucl.Instrum.Meth. A824 (2016) 532-534.</w:t>
      </w:r>
    </w:p>
    <w:p>
      <w:pPr>
        <w:pStyle w:val="Normal"/>
        <w:numPr>
          <w:ilvl w:val="0"/>
          <w:numId w:val="8"/>
        </w:numPr>
        <w:tabs>
          <w:tab w:val="left" w:pos="426" w:leader="none"/>
        </w:tabs>
        <w:spacing w:before="0" w:after="60"/>
        <w:jc w:val="both"/>
        <w:rPr>
          <w:rStyle w:val="Strong"/>
          <w:spacing w:val="0"/>
          <w:lang w:val="en-US"/>
        </w:rPr>
      </w:pPr>
      <w:r>
        <w:rPr>
          <w:spacing w:val="0"/>
          <w:lang w:val="en-US"/>
        </w:rPr>
        <w:t xml:space="preserve">N.I.Azorskii </w:t>
      </w:r>
      <w:r>
        <w:rPr>
          <w:i/>
          <w:iCs/>
          <w:spacing w:val="0"/>
          <w:lang w:val="en-US"/>
        </w:rPr>
        <w:t xml:space="preserve">et al. </w:t>
      </w:r>
      <w:r>
        <w:rPr>
          <w:spacing w:val="0"/>
          <w:lang w:val="en-US"/>
        </w:rPr>
        <w:t>New type of drift tubes for gas-discharge detectors operating in vacuum: production technology and quality control. Phys.Part.Nucl.Lett. 14 (2017) no.1, 144-149.</w:t>
      </w:r>
    </w:p>
    <w:p>
      <w:pPr>
        <w:pStyle w:val="Normal"/>
        <w:numPr>
          <w:ilvl w:val="0"/>
          <w:numId w:val="8"/>
        </w:numPr>
        <w:tabs>
          <w:tab w:val="left" w:pos="426" w:leader="none"/>
        </w:tabs>
        <w:spacing w:before="0" w:after="60"/>
        <w:jc w:val="both"/>
        <w:rPr>
          <w:rStyle w:val="Strong"/>
          <w:spacing w:val="0"/>
          <w:lang w:val="en-US"/>
        </w:rPr>
      </w:pPr>
      <w:r>
        <w:rPr>
          <w:rStyle w:val="Strong"/>
          <w:spacing w:val="0"/>
          <w:lang w:val="en-US"/>
        </w:rPr>
        <w:t xml:space="preserve">E.Chudakov, S.Gevorkyan, A.Somov. Photoproduction of </w:t>
      </w:r>
      <w:bookmarkStart w:id="26" w:name="MathJax-Span-6"/>
      <w:bookmarkStart w:id="27" w:name="MathJax-Span-5"/>
      <w:bookmarkStart w:id="28" w:name="MathJax-Span-4"/>
      <w:bookmarkStart w:id="29" w:name="MathJax-Element-2-Frame"/>
      <w:bookmarkEnd w:id="26"/>
      <w:bookmarkEnd w:id="27"/>
      <w:bookmarkEnd w:id="28"/>
      <w:bookmarkEnd w:id="29"/>
      <w:r>
        <w:rPr>
          <w:rStyle w:val="Strong"/>
          <w:i/>
          <w:spacing w:val="0"/>
          <w:lang w:val="en-US"/>
        </w:rPr>
        <w:t>ω</w:t>
      </w:r>
      <w:r>
        <w:rPr>
          <w:rStyle w:val="Strong"/>
          <w:spacing w:val="0"/>
          <w:lang w:val="en-US"/>
        </w:rPr>
        <w:t xml:space="preserve"> mesons off nuclei and impact of polarization on the meson-nucleon interaction. Phys.Rev. C93 (2016) no.1, 015203.</w:t>
      </w:r>
    </w:p>
    <w:p>
      <w:pPr>
        <w:pStyle w:val="Normal"/>
        <w:numPr>
          <w:ilvl w:val="0"/>
          <w:numId w:val="8"/>
        </w:numPr>
        <w:tabs>
          <w:tab w:val="left" w:pos="426" w:leader="none"/>
        </w:tabs>
        <w:spacing w:before="0" w:after="60"/>
        <w:jc w:val="both"/>
        <w:rPr>
          <w:rStyle w:val="Strong"/>
          <w:spacing w:val="0"/>
          <w:lang w:val="en-US"/>
        </w:rPr>
      </w:pPr>
      <w:r>
        <w:rPr>
          <w:rStyle w:val="Strong"/>
          <w:spacing w:val="0"/>
          <w:lang w:val="en-US"/>
        </w:rPr>
        <w:t>S.Gevorkyan. The impact of vector mesons polarization on meson-nucleon interaction. 16th Workshop on High Energy Spin Physics (DSPIN-15). J.Phys.Conf.Ser. 678 (2016) no.1, 012033.</w:t>
      </w:r>
    </w:p>
    <w:p>
      <w:pPr>
        <w:pStyle w:val="Normal"/>
        <w:numPr>
          <w:ilvl w:val="0"/>
          <w:numId w:val="8"/>
        </w:numPr>
        <w:tabs>
          <w:tab w:val="left" w:pos="426" w:leader="none"/>
        </w:tabs>
        <w:spacing w:before="0" w:after="60"/>
        <w:jc w:val="both"/>
        <w:rPr>
          <w:rStyle w:val="Strong"/>
          <w:spacing w:val="0"/>
          <w:lang w:val="en-US"/>
        </w:rPr>
      </w:pPr>
      <w:r>
        <w:rPr>
          <w:rStyle w:val="Strong"/>
          <w:spacing w:val="0"/>
          <w:lang w:val="en-US"/>
        </w:rPr>
        <w:t>L.Afanasyev, S.Gevorkyan, O.Voskresenskaya. Production of dimeson atoms in high-energy collisions. Eur.Phys.J. A53 (2017) no.4, 78.</w:t>
      </w:r>
    </w:p>
    <w:p>
      <w:pPr>
        <w:pStyle w:val="Normal"/>
        <w:numPr>
          <w:ilvl w:val="0"/>
          <w:numId w:val="8"/>
        </w:numPr>
        <w:tabs>
          <w:tab w:val="left" w:pos="426" w:leader="none"/>
        </w:tabs>
        <w:spacing w:before="0" w:after="60"/>
        <w:jc w:val="both"/>
        <w:rPr>
          <w:spacing w:val="0"/>
          <w:lang w:val="en-US"/>
        </w:rPr>
      </w:pPr>
      <w:r>
        <w:rPr>
          <w:rStyle w:val="Strong"/>
          <w:spacing w:val="0"/>
          <w:lang w:val="en-US"/>
        </w:rPr>
        <w:t>S.Gevorkyan. Vector mesons polarization versus color transparency. 23rd International Baldin Seminar on High Energy Physics Problems : Relativistic Nuclear Physics &amp; Quantum Chromodynamics. (Baldin ISHEPP 23).</w:t>
      </w:r>
      <w:r>
        <w:rPr>
          <w:rStyle w:val="Strong"/>
          <w:b/>
          <w:spacing w:val="0"/>
          <w:lang w:val="en-US"/>
        </w:rPr>
        <w:t xml:space="preserve"> </w:t>
      </w:r>
      <w:r>
        <w:rPr>
          <w:rStyle w:val="Strong"/>
          <w:spacing w:val="0"/>
          <w:lang w:val="en-US"/>
        </w:rPr>
        <w:t>EPJ Web Conf. 138 (2017) 08004.</w:t>
      </w:r>
    </w:p>
    <w:p>
      <w:pPr>
        <w:pStyle w:val="Normal"/>
        <w:numPr>
          <w:ilvl w:val="0"/>
          <w:numId w:val="8"/>
        </w:numPr>
        <w:tabs>
          <w:tab w:val="left" w:pos="426" w:leader="none"/>
        </w:tabs>
        <w:spacing w:before="0" w:after="60"/>
        <w:jc w:val="both"/>
        <w:rPr>
          <w:spacing w:val="0"/>
          <w:lang w:val="en-US"/>
        </w:rPr>
      </w:pPr>
      <w:r>
        <w:rPr>
          <w:spacing w:val="0"/>
          <w:lang w:val="en-US"/>
        </w:rPr>
        <w:t>Yu.Potrebenikov. A new system of STRAW chambers operating in vacuum for the NA62 experiment. J.Phys.Conf.Ser. 800 (2017) no.1, 012047.</w:t>
      </w:r>
    </w:p>
    <w:p>
      <w:pPr>
        <w:pStyle w:val="Normal"/>
        <w:numPr>
          <w:ilvl w:val="0"/>
          <w:numId w:val="8"/>
        </w:numPr>
        <w:tabs>
          <w:tab w:val="left" w:pos="426" w:leader="none"/>
        </w:tabs>
        <w:spacing w:before="0" w:after="60"/>
        <w:jc w:val="both"/>
        <w:rPr>
          <w:spacing w:val="0"/>
          <w:lang w:val="en-US"/>
        </w:rPr>
      </w:pPr>
      <w:r>
        <w:rPr>
          <w:spacing w:val="0"/>
          <w:lang w:val="en-US"/>
        </w:rPr>
        <w:t xml:space="preserve">S.Shkarovskiy. NA62 spectrometer to search for </w:t>
      </w:r>
      <w:r>
        <w:rPr>
          <w:spacing w:val="1"/>
          <w:w w:val="120"/>
          <w:lang w:val="en-US"/>
        </w:rPr>
        <w:t>K</w:t>
      </w:r>
      <w:r>
        <w:rPr>
          <w:spacing w:val="1"/>
          <w:w w:val="120"/>
          <w:vertAlign w:val="superscript"/>
          <w:lang w:val="en-US"/>
        </w:rPr>
        <w:t>+</w:t>
      </w:r>
      <w:r>
        <w:rPr>
          <w:rFonts w:cs="Symbol" w:ascii="Symbol" w:hAnsi="Symbol"/>
          <w:spacing w:val="1"/>
          <w:w w:val="120"/>
          <w:lang w:val="en-US"/>
        </w:rPr>
        <w:t></w:t>
      </w:r>
      <w:r>
        <w:rPr>
          <w:spacing w:val="1"/>
          <w:w w:val="120"/>
          <w:vertAlign w:val="superscript"/>
          <w:lang w:val="en-US"/>
        </w:rPr>
        <w:t>+</w:t>
      </w:r>
      <w:r>
        <w:rPr>
          <w:rFonts w:cs="Symbol" w:ascii="Symbol" w:hAnsi="Symbol"/>
          <w:spacing w:val="1"/>
          <w:w w:val="120"/>
          <w:lang w:val="en-US"/>
        </w:rPr>
        <w:t></w:t>
      </w:r>
      <w:r>
        <w:rPr>
          <w:rFonts w:cs="Symbol" w:ascii="Symbol" w:hAnsi="Symbol"/>
          <w:spacing w:val="2"/>
          <w:w w:val="120"/>
          <w:lang w:val="en-US"/>
        </w:rPr>
        <w:t></w:t>
      </w:r>
      <w:r>
        <w:rPr>
          <w:spacing w:val="0"/>
          <w:lang w:val="en-US"/>
        </w:rPr>
        <w:t xml:space="preserve">. 14th Topical Seminar on Innovative Particle and Radiation Detectors (IPRD16). </w:t>
      </w:r>
      <w:r>
        <w:rPr>
          <w:rFonts w:eastAsia="Times-Roman"/>
          <w:spacing w:val="0"/>
          <w:lang w:val="en-US"/>
        </w:rPr>
        <w:t>Siena. Italy. 2016.</w:t>
      </w:r>
      <w:r>
        <w:rPr>
          <w:spacing w:val="0"/>
          <w:lang w:val="en-US"/>
        </w:rPr>
        <w:t xml:space="preserve"> JINST 12 (2017) no.02, C02027.</w:t>
      </w:r>
    </w:p>
    <w:p>
      <w:pPr>
        <w:pStyle w:val="Normal"/>
        <w:numPr>
          <w:ilvl w:val="0"/>
          <w:numId w:val="8"/>
        </w:numPr>
        <w:tabs>
          <w:tab w:val="left" w:pos="426" w:leader="none"/>
        </w:tabs>
        <w:spacing w:before="0" w:after="60"/>
        <w:jc w:val="both"/>
        <w:rPr>
          <w:spacing w:val="0"/>
          <w:lang w:val="en-US"/>
        </w:rPr>
      </w:pPr>
      <w:r>
        <w:rPr>
          <w:spacing w:val="0"/>
          <w:lang w:val="en-US"/>
        </w:rPr>
        <w:t>S.Shkarovskiy. Recent measurement of K</w:t>
      </w:r>
      <w:r>
        <w:rPr>
          <w:spacing w:val="0"/>
          <w:sz w:val="16"/>
          <w:lang w:val="en-US"/>
        </w:rPr>
        <w:t>l3</w:t>
      </w:r>
      <w:r>
        <w:rPr>
          <w:spacing w:val="0"/>
          <w:lang w:val="en-US"/>
        </w:rPr>
        <w:t xml:space="preserve"> form factors at NA48. 23th International Workshop on High Energy Physics and Quantum Field Theory (QFTHEP 2017). EPJ Web Conf. 158 (2017) 03007.</w:t>
      </w:r>
    </w:p>
    <w:p>
      <w:pPr>
        <w:pStyle w:val="Normal"/>
        <w:numPr>
          <w:ilvl w:val="0"/>
          <w:numId w:val="8"/>
        </w:numPr>
        <w:tabs>
          <w:tab w:val="left" w:pos="426" w:leader="none"/>
        </w:tabs>
        <w:spacing w:before="0" w:after="60"/>
        <w:jc w:val="both"/>
        <w:rPr>
          <w:rStyle w:val="Strong"/>
          <w:spacing w:val="0"/>
          <w:lang w:val="en-US"/>
        </w:rPr>
      </w:pPr>
      <w:r>
        <w:rPr>
          <w:spacing w:val="0"/>
          <w:lang w:val="en-US"/>
        </w:rPr>
        <w:t xml:space="preserve">S.Shkarovskiy. </w:t>
      </w:r>
      <w:r>
        <w:rPr>
          <w:rStyle w:val="Strong"/>
          <w:spacing w:val="0"/>
          <w:lang w:val="en-US"/>
        </w:rPr>
        <w:t>Recent QCD-related Results from Kaon Physics at CERN (NA48/2 and NA62). 9th Workshop "Excited QCD" 2017. Acta Phys.Polon.Supp. 10 (2017) 1153-1158.</w:t>
      </w:r>
    </w:p>
    <w:p>
      <w:pPr>
        <w:pStyle w:val="Normal"/>
        <w:numPr>
          <w:ilvl w:val="0"/>
          <w:numId w:val="8"/>
        </w:numPr>
        <w:tabs>
          <w:tab w:val="left" w:pos="426" w:leader="none"/>
        </w:tabs>
        <w:spacing w:before="0" w:after="60"/>
        <w:jc w:val="both"/>
        <w:rPr>
          <w:rStyle w:val="Strong"/>
          <w:spacing w:val="0"/>
          <w:lang w:val="en-US"/>
        </w:rPr>
      </w:pPr>
      <w:r>
        <w:rPr>
          <w:rStyle w:val="Strong"/>
          <w:spacing w:val="0"/>
          <w:lang w:val="en-US"/>
        </w:rPr>
        <w:t>S.Shkarovskiy. Recent results from the NA48 experiment at CERN. 3rd International Conference on Particle Physics and Astrophysics (ICPPA 2017). J.Phys.Conf.Ser. 934 (2017) no.1, 012031.</w:t>
      </w:r>
    </w:p>
    <w:p>
      <w:pPr>
        <w:pStyle w:val="Normal"/>
        <w:numPr>
          <w:ilvl w:val="0"/>
          <w:numId w:val="8"/>
        </w:numPr>
        <w:tabs>
          <w:tab w:val="left" w:pos="426" w:leader="none"/>
        </w:tabs>
        <w:spacing w:before="0" w:after="60"/>
        <w:jc w:val="both"/>
        <w:rPr>
          <w:rStyle w:val="Strong"/>
          <w:spacing w:val="0"/>
          <w:lang w:val="en-US"/>
        </w:rPr>
      </w:pPr>
      <w:r>
        <w:rPr>
          <w:rStyle w:val="Strong"/>
          <w:spacing w:val="0"/>
          <w:lang w:val="en-US"/>
        </w:rPr>
        <w:t>E.Goudzovski. Kaon experiments at CERN: recent results and prospects. 14th International Workshop on Meson Production, Properties and Interaction (MESON 2016). EPJ Web Conf. 130 (2016) 01019.</w:t>
      </w:r>
    </w:p>
    <w:p>
      <w:pPr>
        <w:pStyle w:val="Normal"/>
        <w:numPr>
          <w:ilvl w:val="0"/>
          <w:numId w:val="8"/>
        </w:numPr>
        <w:tabs>
          <w:tab w:val="left" w:pos="426" w:leader="none"/>
        </w:tabs>
        <w:spacing w:before="0" w:after="60"/>
        <w:jc w:val="both"/>
        <w:rPr>
          <w:rStyle w:val="Strong"/>
          <w:spacing w:val="0"/>
          <w:lang w:val="en-US"/>
        </w:rPr>
      </w:pPr>
      <w:r>
        <w:rPr>
          <w:rStyle w:val="Strong"/>
          <w:spacing w:val="0"/>
          <w:lang w:val="en-US"/>
        </w:rPr>
        <w:t>E.Goudzovski. Neutral pion form factor measurement at NA62. 38th International Conference on High Energy Physics (ICHEP 2016). PoS ICHEP2016 (2017) 642.</w:t>
      </w:r>
    </w:p>
    <w:p>
      <w:pPr>
        <w:pStyle w:val="Style24"/>
        <w:numPr>
          <w:ilvl w:val="0"/>
          <w:numId w:val="8"/>
        </w:numPr>
        <w:tabs>
          <w:tab w:val="left" w:pos="0" w:leader="none"/>
          <w:tab w:val="left" w:pos="426" w:leader="none"/>
        </w:tabs>
        <w:spacing w:before="0" w:after="60"/>
        <w:jc w:val="both"/>
        <w:rPr>
          <w:rStyle w:val="Strong"/>
          <w:rFonts w:ascii="Times New Roman" w:hAnsi="Times New Roman" w:cs="Times New Roman"/>
          <w:spacing w:val="0"/>
        </w:rPr>
      </w:pPr>
      <w:r>
        <w:rPr>
          <w:rStyle w:val="Strong"/>
          <w:rFonts w:cs="Times New Roman" w:ascii="Times New Roman" w:hAnsi="Times New Roman"/>
          <w:spacing w:val="0"/>
        </w:rPr>
        <w:t xml:space="preserve">D.Madigozhin </w:t>
      </w:r>
      <w:r>
        <w:rPr>
          <w:rStyle w:val="Strong"/>
          <w:rFonts w:cs="Times New Roman" w:ascii="Times New Roman" w:hAnsi="Times New Roman"/>
          <w:i/>
          <w:iCs/>
          <w:spacing w:val="0"/>
        </w:rPr>
        <w:t>et al</w:t>
      </w:r>
      <w:r>
        <w:rPr>
          <w:rStyle w:val="Strong"/>
          <w:rFonts w:cs="Times New Roman" w:ascii="Times New Roman" w:hAnsi="Times New Roman"/>
          <w:spacing w:val="0"/>
        </w:rPr>
        <w:t>. Searches for lepton number violation and resonances in the K</w:t>
      </w:r>
      <w:r>
        <w:rPr>
          <w:rStyle w:val="Strong"/>
          <w:rFonts w:eastAsia="Times-Roman" w:cs="Times New Roman" w:ascii="Times New Roman" w:hAnsi="Times New Roman"/>
          <w:spacing w:val="0"/>
          <w:vertAlign w:val="superscript"/>
        </w:rPr>
        <w:t>±</w:t>
      </w:r>
      <w:r>
        <w:rPr>
          <w:rStyle w:val="Strong"/>
          <w:rFonts w:cs="Times New Roman" w:ascii="Times New Roman" w:hAnsi="Times New Roman"/>
          <w:spacing w:val="0"/>
        </w:rPr>
        <w:t>→</w:t>
      </w:r>
      <w:r>
        <w:rPr>
          <w:rStyle w:val="Strong"/>
          <w:rFonts w:cs="Symbol" w:ascii="Symbol" w:hAnsi="Symbol"/>
          <w:spacing w:val="0"/>
        </w:rPr>
        <w:t></w:t>
      </w:r>
      <w:r>
        <w:rPr>
          <w:rStyle w:val="Strong"/>
          <w:rFonts w:cs="Times New Roman" w:ascii="Times New Roman" w:hAnsi="Times New Roman"/>
          <w:spacing w:val="0"/>
        </w:rPr>
        <w:t xml:space="preserve"> decays at the NA48/2 experiment. New Trends in High-Energy Physics. Budva, Becici, Montenegro. 2016.</w:t>
      </w:r>
    </w:p>
    <w:p>
      <w:pPr>
        <w:pStyle w:val="Style24"/>
        <w:numPr>
          <w:ilvl w:val="0"/>
          <w:numId w:val="8"/>
        </w:numPr>
        <w:tabs>
          <w:tab w:val="left" w:pos="0" w:leader="none"/>
          <w:tab w:val="left" w:pos="426" w:leader="none"/>
        </w:tabs>
        <w:spacing w:before="0" w:after="60"/>
        <w:jc w:val="both"/>
        <w:rPr>
          <w:rStyle w:val="Strong"/>
          <w:rFonts w:ascii="Times New Roman" w:hAnsi="Times New Roman" w:cs="Times New Roman"/>
          <w:bCs/>
          <w:spacing w:val="0"/>
        </w:rPr>
      </w:pPr>
      <w:r>
        <w:rPr>
          <w:rStyle w:val="Strong"/>
          <w:rFonts w:cs="Times New Roman" w:ascii="Times New Roman" w:hAnsi="Times New Roman"/>
          <w:spacing w:val="0"/>
        </w:rPr>
        <w:t xml:space="preserve">A.Zinchenko </w:t>
      </w:r>
      <w:r>
        <w:rPr>
          <w:rStyle w:val="Strong"/>
          <w:rFonts w:cs="Times New Roman" w:ascii="Times New Roman" w:hAnsi="Times New Roman"/>
          <w:i/>
          <w:iCs/>
          <w:spacing w:val="0"/>
        </w:rPr>
        <w:t>et al</w:t>
      </w:r>
      <w:r>
        <w:rPr>
          <w:rStyle w:val="Strong"/>
          <w:rFonts w:cs="Times New Roman" w:ascii="Times New Roman" w:hAnsi="Times New Roman"/>
          <w:spacing w:val="0"/>
        </w:rPr>
        <w:t>. Searches for lepton number violation and resonances in the K</w:t>
      </w:r>
      <w:r>
        <w:rPr>
          <w:rStyle w:val="Strong"/>
          <w:rFonts w:eastAsia="Times-Roman" w:cs="Times New Roman" w:ascii="Times New Roman" w:hAnsi="Times New Roman"/>
          <w:spacing w:val="0"/>
          <w:vertAlign w:val="superscript"/>
        </w:rPr>
        <w:t>±</w:t>
      </w:r>
      <w:r>
        <w:rPr>
          <w:rStyle w:val="Strong"/>
          <w:rFonts w:cs="Times New Roman" w:ascii="Times New Roman" w:hAnsi="Times New Roman"/>
          <w:spacing w:val="0"/>
        </w:rPr>
        <w:t>→</w:t>
      </w:r>
      <w:r>
        <w:rPr>
          <w:rStyle w:val="Strong"/>
          <w:rFonts w:cs="Symbol" w:ascii="Symbol" w:hAnsi="Symbol"/>
          <w:spacing w:val="0"/>
        </w:rPr>
        <w:t></w:t>
      </w:r>
      <w:r>
        <w:rPr>
          <w:rStyle w:val="Strong"/>
          <w:rFonts w:cs="Times New Roman" w:ascii="Times New Roman" w:hAnsi="Times New Roman"/>
          <w:spacing w:val="0"/>
        </w:rPr>
        <w:t xml:space="preserve"> decays by NA48/2 at CERN. 14-th International Conference on Meson-Nucleon Physics and the Structure of the Nucleon. </w:t>
      </w:r>
      <w:r>
        <w:rPr>
          <w:rStyle w:val="Strong"/>
          <w:rFonts w:eastAsia="Calibri" w:cs="Times New Roman" w:ascii="Times New Roman" w:hAnsi="Times New Roman"/>
          <w:color w:val="000000"/>
          <w:spacing w:val="0"/>
        </w:rPr>
        <w:t>July 25-30, 2016, Kyoto, Japan.</w:t>
      </w:r>
    </w:p>
    <w:p>
      <w:pPr>
        <w:pStyle w:val="Style24"/>
        <w:numPr>
          <w:ilvl w:val="0"/>
          <w:numId w:val="8"/>
        </w:numPr>
        <w:tabs>
          <w:tab w:val="left" w:pos="0" w:leader="none"/>
          <w:tab w:val="left" w:pos="426" w:leader="none"/>
        </w:tabs>
        <w:spacing w:before="0" w:after="60"/>
        <w:jc w:val="both"/>
        <w:rPr>
          <w:rStyle w:val="Strong"/>
          <w:rFonts w:ascii="Times New Roman" w:hAnsi="Times New Roman" w:eastAsia="MS Mincho" w:cs="Times New Roman"/>
          <w:bCs/>
          <w:spacing w:val="0"/>
        </w:rPr>
      </w:pPr>
      <w:r>
        <w:rPr>
          <w:rStyle w:val="Strong"/>
          <w:rFonts w:cs="Times New Roman" w:ascii="Times New Roman" w:hAnsi="Times New Roman"/>
          <w:bCs/>
          <w:spacing w:val="0"/>
        </w:rPr>
        <w:t xml:space="preserve">S.A.Movchan </w:t>
      </w:r>
      <w:r>
        <w:rPr>
          <w:rStyle w:val="Strong"/>
          <w:rFonts w:cs="Times New Roman" w:ascii="Times New Roman" w:hAnsi="Times New Roman"/>
          <w:bCs/>
          <w:i/>
          <w:iCs/>
          <w:spacing w:val="0"/>
        </w:rPr>
        <w:t>et al</w:t>
      </w:r>
      <w:r>
        <w:rPr>
          <w:rStyle w:val="Strong"/>
          <w:rFonts w:cs="Times New Roman" w:ascii="Times New Roman" w:hAnsi="Times New Roman"/>
          <w:bCs/>
          <w:spacing w:val="0"/>
        </w:rPr>
        <w:t>. A device for the production of cylinder tubes for the gas-filled drift detectors of ionizing radiation. Patent #2555693</w:t>
      </w:r>
      <w:r>
        <w:rPr>
          <w:rStyle w:val="Strong"/>
          <w:rFonts w:eastAsia="MS Mincho" w:cs="Times New Roman" w:ascii="Times New Roman" w:hAnsi="Times New Roman"/>
          <w:bCs/>
          <w:spacing w:val="0"/>
        </w:rPr>
        <w:t>. 8.06.2016.</w:t>
      </w:r>
    </w:p>
    <w:p>
      <w:pPr>
        <w:pStyle w:val="Style24"/>
        <w:numPr>
          <w:ilvl w:val="0"/>
          <w:numId w:val="8"/>
        </w:numPr>
        <w:tabs>
          <w:tab w:val="left" w:pos="0" w:leader="none"/>
          <w:tab w:val="left" w:pos="426" w:leader="none"/>
        </w:tabs>
        <w:spacing w:before="0" w:after="60"/>
        <w:jc w:val="both"/>
        <w:rPr/>
      </w:pPr>
      <w:r>
        <w:rPr>
          <w:rStyle w:val="Strong"/>
          <w:rFonts w:eastAsia="MS Mincho" w:cs="Times New Roman" w:ascii="Times New Roman" w:hAnsi="Times New Roman"/>
          <w:bCs/>
          <w:spacing w:val="0"/>
        </w:rPr>
        <w:t xml:space="preserve">L.Glonti </w:t>
      </w:r>
      <w:r>
        <w:rPr>
          <w:rStyle w:val="Strong"/>
          <w:rFonts w:eastAsia="MS Mincho" w:cs="Times New Roman" w:ascii="Times New Roman" w:hAnsi="Times New Roman"/>
          <w:bCs/>
          <w:i/>
          <w:iCs/>
          <w:spacing w:val="0"/>
        </w:rPr>
        <w:t>et al</w:t>
      </w:r>
      <w:r>
        <w:rPr>
          <w:rStyle w:val="Strong"/>
          <w:rFonts w:eastAsia="MS Mincho" w:cs="Times New Roman" w:ascii="Times New Roman" w:hAnsi="Times New Roman"/>
          <w:bCs/>
          <w:spacing w:val="0"/>
        </w:rPr>
        <w:t>. A device for the measurement of wire positions in gas wire chambers. Patent #2602492. 15.09.2016.</w:t>
      </w:r>
    </w:p>
    <w:p>
      <w:pPr>
        <w:pStyle w:val="Normal"/>
        <w:tabs>
          <w:tab w:val="left" w:pos="426" w:leader="none"/>
        </w:tabs>
        <w:spacing w:before="0" w:after="60"/>
        <w:ind w:left="360" w:hanging="0"/>
        <w:jc w:val="both"/>
        <w:rPr/>
      </w:pPr>
      <w:r>
        <w:rPr/>
      </w:r>
    </w:p>
    <w:p>
      <w:pPr>
        <w:pStyle w:val="Normal"/>
        <w:tabs>
          <w:tab w:val="left" w:pos="426" w:leader="none"/>
        </w:tabs>
        <w:spacing w:before="0" w:after="60"/>
        <w:ind w:left="2629" w:hanging="0"/>
        <w:jc w:val="both"/>
        <w:rPr>
          <w:rFonts w:eastAsia="MS Mincho"/>
          <w:color w:val="000000"/>
          <w:lang w:val="en-US"/>
        </w:rPr>
      </w:pPr>
      <w:r>
        <w:rPr>
          <w:rFonts w:eastAsia="MS Mincho"/>
          <w:color w:val="000000"/>
          <w:lang w:val="en-US"/>
        </w:rPr>
      </w:r>
      <w:r>
        <w:br w:type="page"/>
      </w:r>
    </w:p>
    <w:p>
      <w:pPr>
        <w:pStyle w:val="Normal"/>
        <w:tabs>
          <w:tab w:val="left" w:pos="360" w:leader="none"/>
        </w:tabs>
        <w:ind w:left="360" w:hanging="0"/>
        <w:jc w:val="both"/>
        <w:rPr>
          <w:rFonts w:eastAsia="MS Mincho"/>
          <w:color w:val="000000"/>
          <w:spacing w:val="10"/>
          <w:w w:val="117"/>
          <w:sz w:val="24"/>
          <w:szCs w:val="42"/>
          <w:lang w:val="en-US"/>
        </w:rPr>
      </w:pPr>
      <w:r>
        <w:rPr>
          <w:rFonts w:eastAsia="MS Mincho"/>
          <w:color w:val="000000"/>
          <w:spacing w:val="10"/>
          <w:w w:val="117"/>
          <w:sz w:val="24"/>
          <w:szCs w:val="42"/>
          <w:lang w:val="en-US"/>
        </w:rPr>
      </w:r>
    </w:p>
    <w:p>
      <w:pPr>
        <w:pStyle w:val="WWPlainText"/>
        <w:jc w:val="center"/>
        <w:rPr>
          <w:rFonts w:eastAsia="MS Mincho"/>
          <w:b/>
          <w:b/>
          <w:u w:val="single"/>
          <w:lang w:val="en-US"/>
        </w:rPr>
      </w:pPr>
      <w:r>
        <w:rPr>
          <w:b/>
          <w:u w:val="single"/>
          <w:lang w:val="en-US"/>
        </w:rPr>
        <w:t xml:space="preserve">Requested  resources for Proposal realization </w:t>
      </w:r>
    </w:p>
    <w:p>
      <w:pPr>
        <w:pStyle w:val="13"/>
        <w:jc w:val="center"/>
        <w:rPr>
          <w:rFonts w:eastAsia="MS Mincho"/>
          <w:b/>
          <w:b/>
          <w:u w:val="single"/>
          <w:lang w:val="en-US"/>
        </w:rPr>
      </w:pPr>
      <w:r>
        <w:rPr>
          <w:rFonts w:eastAsia="MS Mincho"/>
          <w:b/>
          <w:u w:val="single"/>
          <w:lang w:val="en-US"/>
        </w:rPr>
      </w:r>
    </w:p>
    <w:p>
      <w:pPr>
        <w:pStyle w:val="WWPlainText"/>
        <w:rPr>
          <w:rFonts w:eastAsia="MS Mincho"/>
          <w:b/>
          <w:b/>
          <w:u w:val="single"/>
          <w:lang w:val="en-US"/>
        </w:rPr>
      </w:pPr>
      <w:r>
        <w:rPr>
          <w:rFonts w:eastAsia="MS Mincho"/>
          <w:b/>
          <w:u w:val="single"/>
          <w:lang w:val="en-US"/>
        </w:rPr>
      </w:r>
    </w:p>
    <w:tbl>
      <w:tblPr>
        <w:tblW w:w="9176" w:type="dxa"/>
        <w:jc w:val="left"/>
        <w:tblInd w:w="-1" w:type="dxa"/>
        <w:tblBorders>
          <w:top w:val="single" w:sz="2" w:space="0" w:color="000001"/>
          <w:left w:val="single" w:sz="2" w:space="0" w:color="000001"/>
          <w:bottom w:val="single" w:sz="2" w:space="0" w:color="000001"/>
          <w:insideH w:val="single" w:sz="2" w:space="0" w:color="000001"/>
        </w:tblBorders>
        <w:tblCellMar>
          <w:top w:w="0" w:type="dxa"/>
          <w:left w:w="-2" w:type="dxa"/>
          <w:bottom w:w="0" w:type="dxa"/>
          <w:right w:w="0" w:type="dxa"/>
        </w:tblCellMar>
        <w:tblLook w:val="0000" w:noVBand="0" w:noHBand="0" w:lastColumn="0" w:firstColumn="0" w:lastRow="0" w:firstRow="0"/>
      </w:tblPr>
      <w:tblGrid>
        <w:gridCol w:w="2814"/>
        <w:gridCol w:w="1559"/>
        <w:gridCol w:w="1276"/>
        <w:gridCol w:w="1221"/>
        <w:gridCol w:w="1114"/>
        <w:gridCol w:w="1191"/>
      </w:tblGrid>
      <w:tr>
        <w:trPr>
          <w:trHeight w:val="325" w:hRule="atLeast"/>
          <w:cantSplit w:val="true"/>
        </w:trPr>
        <w:tc>
          <w:tcPr>
            <w:tcW w:w="28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rPr>
                <w:lang w:val="en-GB"/>
              </w:rPr>
            </w:pPr>
            <w:r>
              <w:rPr>
                <w:lang w:val="en-GB"/>
              </w:rPr>
            </w:r>
          </w:p>
        </w:tc>
        <w:tc>
          <w:tcPr>
            <w:tcW w:w="155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jc w:val="center"/>
              <w:rPr/>
            </w:pPr>
            <w:r>
              <w:rPr>
                <w:lang w:val="en-GB"/>
              </w:rPr>
              <w:t>Units.</w:t>
            </w:r>
          </w:p>
        </w:tc>
        <w:tc>
          <w:tcPr>
            <w:tcW w:w="1276"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WWPlainText"/>
              <w:jc w:val="center"/>
              <w:rPr>
                <w:lang w:val="en-GB"/>
              </w:rPr>
            </w:pPr>
            <w:r>
              <w:rPr>
                <w:lang w:val="en-GB"/>
              </w:rPr>
              <w:t>Requirement</w:t>
            </w:r>
          </w:p>
          <w:p>
            <w:pPr>
              <w:pStyle w:val="WWPlainText"/>
              <w:jc w:val="center"/>
              <w:rPr/>
            </w:pPr>
            <w:r>
              <w:rPr>
                <w:lang w:val="en-GB"/>
              </w:rPr>
              <w:t>resources in 2019-2021</w:t>
            </w:r>
          </w:p>
        </w:tc>
        <w:tc>
          <w:tcPr>
            <w:tcW w:w="352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WWPlainText"/>
              <w:jc w:val="center"/>
              <w:rPr>
                <w:lang w:val="en-GB"/>
              </w:rPr>
            </w:pPr>
            <w:r>
              <w:rPr>
                <w:lang w:val="en-GB"/>
              </w:rPr>
              <w:t xml:space="preserve">The offer of the Laboratory </w:t>
              <w:br/>
              <w:t>on distribution of resources</w:t>
            </w:r>
          </w:p>
          <w:p>
            <w:pPr>
              <w:pStyle w:val="WWPlainText"/>
              <w:jc w:val="center"/>
              <w:rPr>
                <w:lang w:val="en-GB"/>
              </w:rPr>
            </w:pPr>
            <w:r>
              <w:rPr>
                <w:lang w:val="en-GB"/>
              </w:rPr>
            </w:r>
          </w:p>
        </w:tc>
      </w:tr>
      <w:tr>
        <w:trPr>
          <w:trHeight w:val="325" w:hRule="atLeast"/>
          <w:cantSplit w:val="true"/>
        </w:trPr>
        <w:tc>
          <w:tcPr>
            <w:tcW w:w="28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rPr>
                <w:lang w:val="en-GB"/>
              </w:rPr>
            </w:pPr>
            <w:r>
              <w:rPr>
                <w:lang w:val="en-GB"/>
              </w:rPr>
            </w:r>
          </w:p>
        </w:tc>
        <w:tc>
          <w:tcPr>
            <w:tcW w:w="155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rPr>
                <w:lang w:val="en-GB"/>
              </w:rPr>
            </w:pPr>
            <w:r>
              <w:rPr>
                <w:lang w:val="en-GB"/>
              </w:rPr>
            </w:r>
          </w:p>
        </w:tc>
        <w:tc>
          <w:tcPr>
            <w:tcW w:w="1276" w:type="dxa"/>
            <w:tcBorders>
              <w:top w:val="single" w:sz="4"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GB"/>
              </w:rPr>
            </w:pPr>
            <w:r>
              <w:rPr>
                <w:lang w:val="en-GB"/>
              </w:rPr>
            </w:r>
          </w:p>
        </w:tc>
        <w:tc>
          <w:tcPr>
            <w:tcW w:w="1221" w:type="dxa"/>
            <w:tcBorders>
              <w:top w:val="single" w:sz="4" w:space="0" w:color="000001"/>
              <w:left w:val="single" w:sz="2" w:space="0" w:color="000001"/>
              <w:bottom w:val="single" w:sz="2" w:space="0" w:color="000001"/>
              <w:insideH w:val="single" w:sz="2" w:space="0" w:color="000001"/>
            </w:tcBorders>
            <w:shd w:color="auto" w:fill="auto" w:val="clear"/>
            <w:tcMar>
              <w:left w:w="-2" w:type="dxa"/>
            </w:tcMar>
          </w:tcPr>
          <w:p>
            <w:pPr>
              <w:pStyle w:val="WWPlainText"/>
              <w:jc w:val="center"/>
              <w:rPr>
                <w:lang w:val="en-US"/>
              </w:rPr>
            </w:pPr>
            <w:r>
              <w:rPr>
                <w:lang w:val="en-GB"/>
              </w:rPr>
              <w:t>1-year</w:t>
            </w:r>
          </w:p>
        </w:tc>
        <w:tc>
          <w:tcPr>
            <w:tcW w:w="1114" w:type="dxa"/>
            <w:tcBorders>
              <w:top w:val="single" w:sz="4" w:space="0" w:color="000001"/>
              <w:left w:val="single" w:sz="2" w:space="0" w:color="000001"/>
              <w:bottom w:val="single" w:sz="2" w:space="0" w:color="000001"/>
              <w:insideH w:val="single" w:sz="2" w:space="0" w:color="000001"/>
            </w:tcBorders>
            <w:shd w:color="auto" w:fill="auto" w:val="clear"/>
            <w:tcMar>
              <w:left w:w="-2" w:type="dxa"/>
            </w:tcMar>
          </w:tcPr>
          <w:p>
            <w:pPr>
              <w:pStyle w:val="WWPlainText"/>
              <w:jc w:val="center"/>
              <w:rPr>
                <w:lang w:val="en-US"/>
              </w:rPr>
            </w:pPr>
            <w:r>
              <w:rPr>
                <w:lang w:val="en-GB"/>
              </w:rPr>
              <w:t>2-year</w:t>
            </w:r>
          </w:p>
        </w:tc>
        <w:tc>
          <w:tcPr>
            <w:tcW w:w="11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WWPlainText"/>
              <w:jc w:val="center"/>
              <w:rPr>
                <w:lang w:val="en-GB"/>
              </w:rPr>
            </w:pPr>
            <w:r>
              <w:rPr>
                <w:lang w:val="en-GB"/>
              </w:rPr>
              <w:t>3-year</w:t>
            </w:r>
          </w:p>
          <w:p>
            <w:pPr>
              <w:pStyle w:val="WWPlainText"/>
              <w:jc w:val="center"/>
              <w:rPr>
                <w:lang w:val="en-GB"/>
              </w:rPr>
            </w:pPr>
            <w:r>
              <w:rPr>
                <w:lang w:val="en-GB"/>
              </w:rPr>
            </w:r>
          </w:p>
        </w:tc>
      </w:tr>
      <w:tr>
        <w:trPr>
          <w:cantSplit w:val="true"/>
        </w:trPr>
        <w:tc>
          <w:tcPr>
            <w:tcW w:w="28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lang w:val="en-US"/>
              </w:rPr>
            </w:pPr>
            <w:r>
              <w:rPr>
                <w:lang w:val="en-GB"/>
              </w:rPr>
              <w:t>The basic units and the equipment:</w:t>
            </w:r>
          </w:p>
        </w:tc>
        <w:tc>
          <w:tcPr>
            <w:tcW w:w="155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rPr>
                <w:lang w:val="en-GB"/>
              </w:rPr>
            </w:pPr>
            <w:r>
              <w:rPr>
                <w:lang w:val="en-GB"/>
              </w:rPr>
            </w:r>
          </w:p>
        </w:tc>
        <w:tc>
          <w:tcPr>
            <w:tcW w:w="1276"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22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1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1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WWPlainText"/>
              <w:snapToGrid w:val="false"/>
              <w:jc w:val="center"/>
              <w:rPr>
                <w:lang w:val="en-GB"/>
              </w:rPr>
            </w:pPr>
            <w:r>
              <w:rPr>
                <w:lang w:val="en-GB"/>
              </w:rPr>
            </w:r>
          </w:p>
        </w:tc>
      </w:tr>
      <w:tr>
        <w:trPr>
          <w:cantSplit w:val="true"/>
        </w:trPr>
        <w:tc>
          <w:tcPr>
            <w:tcW w:w="28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lang w:val="en-GB"/>
              </w:rPr>
            </w:pPr>
            <w:r>
              <w:rPr>
                <w:lang w:val="en-GB"/>
              </w:rPr>
              <w:t>Necessary resources:</w:t>
            </w:r>
          </w:p>
          <w:p>
            <w:pPr>
              <w:pStyle w:val="WWPlainText"/>
              <w:rPr>
                <w:lang w:val="en-GB"/>
              </w:rPr>
            </w:pPr>
            <w:r>
              <w:rPr>
                <w:lang w:val="en-GB"/>
              </w:rPr>
              <w:t xml:space="preserve">   </w:t>
            </w:r>
            <w:r>
              <w:rPr>
                <w:lang w:val="en-GB"/>
              </w:rPr>
              <w:t>a) Laboratory Fabric</w:t>
            </w:r>
          </w:p>
          <w:p>
            <w:pPr>
              <w:pStyle w:val="WWPlainText"/>
              <w:rPr>
                <w:lang w:val="en-US"/>
              </w:rPr>
            </w:pPr>
            <w:r>
              <w:rPr>
                <w:lang w:val="en-GB"/>
              </w:rPr>
              <w:t xml:space="preserve">   </w:t>
            </w:r>
            <w:r>
              <w:rPr>
                <w:lang w:val="en-GB"/>
              </w:rPr>
              <w:t>b) DB of the Laboratory</w:t>
            </w:r>
          </w:p>
        </w:tc>
        <w:tc>
          <w:tcPr>
            <w:tcW w:w="155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rPr>
                <w:lang w:val="en-GB"/>
              </w:rPr>
            </w:pPr>
            <w:r>
              <w:rPr>
                <w:lang w:val="en-GB"/>
              </w:rPr>
            </w:r>
          </w:p>
          <w:p>
            <w:pPr>
              <w:pStyle w:val="WWPlainText"/>
              <w:rPr>
                <w:lang w:val="en-GB"/>
              </w:rPr>
            </w:pPr>
            <w:r>
              <w:rPr>
                <w:lang w:val="en-GB"/>
              </w:rPr>
              <w:t>norm-hour</w:t>
            </w:r>
          </w:p>
          <w:p>
            <w:pPr>
              <w:pStyle w:val="WWPlainText"/>
              <w:rPr/>
            </w:pPr>
            <w:r>
              <w:rPr>
                <w:lang w:val="en-GB"/>
              </w:rPr>
              <w:t>norm-hour</w:t>
            </w:r>
          </w:p>
        </w:tc>
        <w:tc>
          <w:tcPr>
            <w:tcW w:w="1276"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szCs w:val="22"/>
                <w:lang w:val="en-GB"/>
              </w:rPr>
            </w:pPr>
            <w:r>
              <w:rPr>
                <w:szCs w:val="22"/>
                <w:lang w:val="en-GB"/>
              </w:rPr>
            </w:r>
          </w:p>
          <w:p>
            <w:pPr>
              <w:pStyle w:val="WWPlainText"/>
              <w:jc w:val="center"/>
              <w:rPr>
                <w:szCs w:val="22"/>
                <w:lang w:val="en-GB"/>
              </w:rPr>
            </w:pPr>
            <w:r>
              <w:rPr>
                <w:szCs w:val="22"/>
                <w:lang w:val="en-GB"/>
              </w:rPr>
            </w:r>
          </w:p>
        </w:tc>
        <w:tc>
          <w:tcPr>
            <w:tcW w:w="122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szCs w:val="22"/>
                <w:lang w:val="en-GB"/>
              </w:rPr>
            </w:pPr>
            <w:r>
              <w:rPr>
                <w:szCs w:val="22"/>
                <w:lang w:val="en-GB"/>
              </w:rPr>
            </w:r>
          </w:p>
          <w:p>
            <w:pPr>
              <w:pStyle w:val="WWPlainText"/>
              <w:jc w:val="center"/>
              <w:rPr>
                <w:szCs w:val="22"/>
                <w:lang w:val="en-GB"/>
              </w:rPr>
            </w:pPr>
            <w:r>
              <w:rPr>
                <w:szCs w:val="22"/>
                <w:lang w:val="en-GB"/>
              </w:rPr>
            </w:r>
          </w:p>
        </w:tc>
        <w:tc>
          <w:tcPr>
            <w:tcW w:w="11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szCs w:val="22"/>
                <w:lang w:val="en-GB"/>
              </w:rPr>
            </w:pPr>
            <w:r>
              <w:rPr>
                <w:szCs w:val="22"/>
                <w:lang w:val="en-GB"/>
              </w:rPr>
            </w:r>
          </w:p>
          <w:p>
            <w:pPr>
              <w:pStyle w:val="WWPlainText"/>
              <w:jc w:val="center"/>
              <w:rPr>
                <w:szCs w:val="22"/>
                <w:lang w:val="en-GB"/>
              </w:rPr>
            </w:pPr>
            <w:r>
              <w:rPr>
                <w:szCs w:val="22"/>
                <w:lang w:val="en-GB"/>
              </w:rPr>
            </w:r>
          </w:p>
        </w:tc>
        <w:tc>
          <w:tcPr>
            <w:tcW w:w="11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WWPlainText"/>
              <w:snapToGrid w:val="false"/>
              <w:jc w:val="center"/>
              <w:rPr>
                <w:szCs w:val="22"/>
                <w:lang w:val="en-GB"/>
              </w:rPr>
            </w:pPr>
            <w:r>
              <w:rPr>
                <w:szCs w:val="22"/>
                <w:lang w:val="en-GB"/>
              </w:rPr>
            </w:r>
          </w:p>
          <w:p>
            <w:pPr>
              <w:pStyle w:val="WWPlainText"/>
              <w:jc w:val="center"/>
              <w:rPr>
                <w:szCs w:val="22"/>
                <w:lang w:val="en-GB"/>
              </w:rPr>
            </w:pPr>
            <w:r>
              <w:rPr>
                <w:szCs w:val="22"/>
                <w:lang w:val="en-GB"/>
              </w:rPr>
            </w:r>
          </w:p>
        </w:tc>
      </w:tr>
      <w:tr>
        <w:trPr>
          <w:cantSplit w:val="true"/>
        </w:trPr>
        <w:tc>
          <w:tcPr>
            <w:tcW w:w="28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lang w:val="en-GB"/>
              </w:rPr>
            </w:pPr>
            <w:r>
              <w:rPr>
                <w:lang w:val="en-GB"/>
              </w:rPr>
              <w:t xml:space="preserve">   </w:t>
            </w:r>
            <w:r>
              <w:rPr>
                <w:lang w:val="en-GB"/>
              </w:rPr>
              <w:t>c) The accelerator</w:t>
            </w:r>
          </w:p>
          <w:p>
            <w:pPr>
              <w:pStyle w:val="WWPlainText"/>
              <w:rPr>
                <w:lang w:val="en-GB"/>
              </w:rPr>
            </w:pPr>
            <w:r>
              <w:rPr>
                <w:lang w:val="en-GB"/>
              </w:rPr>
              <w:t xml:space="preserve">   </w:t>
            </w:r>
            <w:r>
              <w:rPr>
                <w:lang w:val="en-GB"/>
              </w:rPr>
              <w:t>d) The reactor</w:t>
            </w:r>
          </w:p>
          <w:p>
            <w:pPr>
              <w:pStyle w:val="WWPlainText"/>
              <w:rPr/>
            </w:pPr>
            <w:r>
              <w:rPr>
                <w:lang w:val="en-GB"/>
              </w:rPr>
              <w:t xml:space="preserve">   </w:t>
            </w:r>
            <w:r>
              <w:rPr>
                <w:lang w:val="en-GB"/>
              </w:rPr>
              <w:t>e) Computers</w:t>
            </w:r>
          </w:p>
        </w:tc>
        <w:tc>
          <w:tcPr>
            <w:tcW w:w="155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lang w:val="en-GB"/>
              </w:rPr>
            </w:pPr>
            <w:r>
              <w:rPr>
                <w:lang w:val="en-GB"/>
              </w:rPr>
              <w:t>hour.</w:t>
            </w:r>
          </w:p>
          <w:p>
            <w:pPr>
              <w:pStyle w:val="WWPlainText"/>
              <w:rPr>
                <w:lang w:val="en-GB"/>
              </w:rPr>
            </w:pPr>
            <w:r>
              <w:rPr>
                <w:lang w:val="en-GB"/>
              </w:rPr>
              <w:t>hour.</w:t>
            </w:r>
          </w:p>
          <w:p>
            <w:pPr>
              <w:pStyle w:val="WWPlainText"/>
              <w:rPr/>
            </w:pPr>
            <w:r>
              <w:rPr>
                <w:lang w:val="en-GB"/>
              </w:rPr>
              <w:t>hour.</w:t>
            </w:r>
          </w:p>
        </w:tc>
        <w:tc>
          <w:tcPr>
            <w:tcW w:w="1276"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22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1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1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WWPlainText"/>
              <w:snapToGrid w:val="false"/>
              <w:jc w:val="center"/>
              <w:rPr>
                <w:lang w:val="en-GB"/>
              </w:rPr>
            </w:pPr>
            <w:r>
              <w:rPr>
                <w:lang w:val="en-GB"/>
              </w:rPr>
            </w:r>
          </w:p>
        </w:tc>
      </w:tr>
      <w:tr>
        <w:trPr>
          <w:cantSplit w:val="true"/>
        </w:trPr>
        <w:tc>
          <w:tcPr>
            <w:tcW w:w="28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pPr>
            <w:r>
              <w:rPr>
                <w:lang w:val="en-GB"/>
              </w:rPr>
              <w:t>Working costs</w:t>
            </w:r>
          </w:p>
        </w:tc>
        <w:tc>
          <w:tcPr>
            <w:tcW w:w="155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pPr>
            <w:r>
              <w:rPr>
                <w:lang w:val="en-GB"/>
              </w:rPr>
              <w:t>thousand US $</w:t>
            </w:r>
          </w:p>
        </w:tc>
        <w:tc>
          <w:tcPr>
            <w:tcW w:w="1276"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22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1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tc>
        <w:tc>
          <w:tcPr>
            <w:tcW w:w="11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WWPlainText"/>
              <w:snapToGrid w:val="false"/>
              <w:jc w:val="center"/>
              <w:rPr>
                <w:lang w:val="en-GB"/>
              </w:rPr>
            </w:pPr>
            <w:r>
              <w:rPr>
                <w:lang w:val="en-GB"/>
              </w:rPr>
            </w:r>
          </w:p>
        </w:tc>
      </w:tr>
      <w:tr>
        <w:trPr>
          <w:cantSplit w:val="true"/>
        </w:trPr>
        <w:tc>
          <w:tcPr>
            <w:tcW w:w="28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sz w:val="22"/>
                <w:lang w:val="en-GB"/>
              </w:rPr>
            </w:pPr>
            <w:r>
              <w:rPr>
                <w:lang w:val="en-GB"/>
              </w:rPr>
              <w:t>Source of financing:</w:t>
            </w:r>
          </w:p>
          <w:p>
            <w:pPr>
              <w:pStyle w:val="WWPlainText"/>
              <w:rPr>
                <w:sz w:val="22"/>
                <w:lang w:val="en-GB"/>
              </w:rPr>
            </w:pPr>
            <w:r>
              <w:rPr>
                <w:sz w:val="22"/>
                <w:lang w:val="en-GB"/>
              </w:rPr>
              <w:t>budget</w:t>
            </w:r>
          </w:p>
          <w:p>
            <w:pPr>
              <w:pStyle w:val="WWPlainText"/>
              <w:rPr>
                <w:lang w:val="en-US"/>
              </w:rPr>
            </w:pPr>
            <w:r>
              <w:rPr>
                <w:sz w:val="22"/>
                <w:lang w:val="en-GB"/>
              </w:rPr>
              <w:t>including foreign currency means</w:t>
            </w:r>
          </w:p>
        </w:tc>
        <w:tc>
          <w:tcPr>
            <w:tcW w:w="155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rPr>
                <w:sz w:val="22"/>
                <w:lang w:val="en-GB"/>
              </w:rPr>
            </w:pPr>
            <w:r>
              <w:rPr>
                <w:sz w:val="22"/>
                <w:lang w:val="en-GB"/>
              </w:rPr>
            </w:r>
          </w:p>
          <w:p>
            <w:pPr>
              <w:pStyle w:val="WWPlainText"/>
              <w:rPr>
                <w:lang w:val="en-GB"/>
              </w:rPr>
            </w:pPr>
            <w:r>
              <w:rPr>
                <w:lang w:val="en-GB"/>
              </w:rPr>
              <w:t xml:space="preserve">Thousand </w:t>
            </w:r>
            <w:r>
              <w:rPr>
                <w:rFonts w:cs="Arial" w:ascii="Arial" w:hAnsi="Arial"/>
                <w:lang w:val="en-GB"/>
              </w:rPr>
              <w:t>US $</w:t>
            </w:r>
          </w:p>
          <w:p>
            <w:pPr>
              <w:pStyle w:val="WWPlainText"/>
              <w:rPr/>
            </w:pPr>
            <w:r>
              <w:rPr>
                <w:lang w:val="en-GB"/>
              </w:rPr>
              <w:t xml:space="preserve">Thousand </w:t>
            </w:r>
            <w:r>
              <w:rPr>
                <w:rFonts w:cs="Arial" w:ascii="Arial" w:hAnsi="Arial"/>
                <w:lang w:val="en-GB"/>
              </w:rPr>
              <w:t>US $</w:t>
            </w:r>
          </w:p>
        </w:tc>
        <w:tc>
          <w:tcPr>
            <w:tcW w:w="1276"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rFonts w:ascii="Arial" w:hAnsi="Arial" w:cs="Arial"/>
                <w:sz w:val="22"/>
                <w:lang w:val="en-GB"/>
              </w:rPr>
            </w:pPr>
            <w:r>
              <w:rPr>
                <w:rFonts w:cs="Arial" w:ascii="Arial" w:hAnsi="Arial"/>
                <w:sz w:val="22"/>
                <w:lang w:val="en-GB"/>
              </w:rPr>
            </w:r>
          </w:p>
          <w:p>
            <w:pPr>
              <w:pStyle w:val="WWPlainText"/>
              <w:jc w:val="center"/>
              <w:rPr>
                <w:lang w:val="en-GB"/>
              </w:rPr>
            </w:pPr>
            <w:r>
              <w:rPr>
                <w:lang w:val="en-GB"/>
              </w:rPr>
              <w:t>380</w:t>
            </w:r>
          </w:p>
          <w:p>
            <w:pPr>
              <w:pStyle w:val="WWPlainText"/>
              <w:jc w:val="center"/>
              <w:rPr/>
            </w:pPr>
            <w:r>
              <w:rPr>
                <w:lang w:val="en-GB"/>
              </w:rPr>
              <w:t>370</w:t>
            </w:r>
          </w:p>
        </w:tc>
        <w:tc>
          <w:tcPr>
            <w:tcW w:w="122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p>
            <w:pPr>
              <w:pStyle w:val="WWPlainText"/>
              <w:jc w:val="center"/>
              <w:rPr>
                <w:lang w:val="en-GB"/>
              </w:rPr>
            </w:pPr>
            <w:r>
              <w:rPr>
                <w:lang w:val="en-GB"/>
              </w:rPr>
              <w:t>103</w:t>
            </w:r>
          </w:p>
          <w:p>
            <w:pPr>
              <w:pStyle w:val="WWPlainText"/>
              <w:jc w:val="center"/>
              <w:rPr/>
            </w:pPr>
            <w:r>
              <w:rPr>
                <w:lang w:val="en-GB"/>
              </w:rPr>
              <w:t>100</w:t>
            </w:r>
          </w:p>
        </w:tc>
        <w:tc>
          <w:tcPr>
            <w:tcW w:w="11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snapToGrid w:val="false"/>
              <w:jc w:val="center"/>
              <w:rPr>
                <w:lang w:val="en-GB"/>
              </w:rPr>
            </w:pPr>
            <w:r>
              <w:rPr>
                <w:lang w:val="en-GB"/>
              </w:rPr>
            </w:r>
          </w:p>
          <w:p>
            <w:pPr>
              <w:pStyle w:val="WWPlainText"/>
              <w:jc w:val="center"/>
              <w:rPr>
                <w:lang w:val="en-GB"/>
              </w:rPr>
            </w:pPr>
            <w:r>
              <w:rPr>
                <w:lang w:val="en-GB"/>
              </w:rPr>
              <w:t>103</w:t>
            </w:r>
          </w:p>
          <w:p>
            <w:pPr>
              <w:pStyle w:val="WWPlainText"/>
              <w:jc w:val="center"/>
              <w:rPr/>
            </w:pPr>
            <w:r>
              <w:rPr>
                <w:lang w:val="en-GB"/>
              </w:rPr>
              <w:t>100</w:t>
            </w:r>
          </w:p>
        </w:tc>
        <w:tc>
          <w:tcPr>
            <w:tcW w:w="11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WWPlainText"/>
              <w:snapToGrid w:val="false"/>
              <w:jc w:val="center"/>
              <w:rPr>
                <w:lang w:val="en-GB"/>
              </w:rPr>
            </w:pPr>
            <w:r>
              <w:rPr>
                <w:lang w:val="en-GB"/>
              </w:rPr>
            </w:r>
          </w:p>
          <w:p>
            <w:pPr>
              <w:pStyle w:val="WWPlainText"/>
              <w:jc w:val="center"/>
              <w:rPr>
                <w:lang w:val="en-GB"/>
              </w:rPr>
            </w:pPr>
            <w:r>
              <w:rPr>
                <w:lang w:val="en-GB"/>
              </w:rPr>
              <w:t>174</w:t>
            </w:r>
          </w:p>
          <w:p>
            <w:pPr>
              <w:pStyle w:val="WWPlainText"/>
              <w:jc w:val="center"/>
              <w:rPr/>
            </w:pPr>
            <w:r>
              <w:rPr>
                <w:lang w:val="en-GB"/>
              </w:rPr>
              <w:t>170</w:t>
            </w:r>
          </w:p>
        </w:tc>
      </w:tr>
      <w:tr>
        <w:trPr>
          <w:cantSplit w:val="true"/>
        </w:trPr>
        <w:tc>
          <w:tcPr>
            <w:tcW w:w="28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lang w:val="en-GB"/>
              </w:rPr>
            </w:pPr>
            <w:r>
              <w:rPr>
                <w:lang w:val="en-GB"/>
              </w:rPr>
              <w:t>Contributions of collaborants</w:t>
            </w:r>
          </w:p>
          <w:p>
            <w:pPr>
              <w:pStyle w:val="WWPlainText"/>
              <w:rPr>
                <w:lang w:val="en-GB"/>
              </w:rPr>
            </w:pPr>
            <w:r>
              <w:rPr>
                <w:lang w:val="en-GB"/>
              </w:rPr>
              <w:t>Grants (INTAS+ISTC)</w:t>
            </w:r>
          </w:p>
          <w:p>
            <w:pPr>
              <w:pStyle w:val="WWPlainText"/>
              <w:rPr>
                <w:lang w:val="en-GB"/>
              </w:rPr>
            </w:pPr>
            <w:r>
              <w:rPr>
                <w:lang w:val="en-GB"/>
              </w:rPr>
              <w:t>Sponsors</w:t>
            </w:r>
          </w:p>
          <w:p>
            <w:pPr>
              <w:pStyle w:val="WWPlainText"/>
              <w:rPr>
                <w:lang w:val="en-GB"/>
              </w:rPr>
            </w:pPr>
            <w:r>
              <w:rPr>
                <w:lang w:val="en-GB"/>
              </w:rPr>
              <w:t>Contracts</w:t>
            </w:r>
          </w:p>
          <w:p>
            <w:pPr>
              <w:pStyle w:val="WWPlainText"/>
              <w:rPr/>
            </w:pPr>
            <w:r>
              <w:rPr>
                <w:lang w:val="en-GB"/>
              </w:rPr>
              <w:t>Other sources</w:t>
            </w:r>
          </w:p>
        </w:tc>
        <w:tc>
          <w:tcPr>
            <w:tcW w:w="155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rPr>
                <w:lang w:val="en-GB"/>
              </w:rPr>
            </w:pPr>
            <w:r>
              <w:rPr>
                <w:lang w:val="en-GB"/>
              </w:rPr>
              <w:t xml:space="preserve">thousand US </w:t>
            </w:r>
            <w:r>
              <w:rPr>
                <w:rFonts w:cs="Arial" w:ascii="Arial" w:hAnsi="Arial"/>
                <w:lang w:val="en-GB"/>
              </w:rPr>
              <w:t>$</w:t>
            </w:r>
          </w:p>
          <w:p>
            <w:pPr>
              <w:pStyle w:val="WWPlainText"/>
              <w:rPr>
                <w:lang w:val="en-GB"/>
              </w:rPr>
            </w:pPr>
            <w:r>
              <w:rPr>
                <w:lang w:val="en-GB"/>
              </w:rPr>
              <w:t>thousand US $</w:t>
            </w:r>
          </w:p>
          <w:p>
            <w:pPr>
              <w:pStyle w:val="WWPlainText"/>
              <w:rPr>
                <w:lang w:val="en-GB"/>
              </w:rPr>
            </w:pPr>
            <w:r>
              <w:rPr>
                <w:lang w:val="en-GB"/>
              </w:rPr>
              <w:t>thousand US $</w:t>
            </w:r>
          </w:p>
          <w:p>
            <w:pPr>
              <w:pStyle w:val="WWPlainText"/>
              <w:rPr>
                <w:lang w:val="en-GB"/>
              </w:rPr>
            </w:pPr>
            <w:r>
              <w:rPr>
                <w:lang w:val="en-GB"/>
              </w:rPr>
              <w:t>thousand US $</w:t>
            </w:r>
          </w:p>
          <w:p>
            <w:pPr>
              <w:pStyle w:val="WWPlainText"/>
              <w:rPr/>
            </w:pPr>
            <w:r>
              <w:rPr>
                <w:lang w:val="en-GB"/>
              </w:rPr>
              <w:t>thousand US $</w:t>
            </w:r>
          </w:p>
        </w:tc>
        <w:tc>
          <w:tcPr>
            <w:tcW w:w="1276"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jc w:val="center"/>
              <w:rPr>
                <w:lang w:val="en-GB"/>
              </w:rPr>
            </w:pPr>
            <w:r>
              <w:rPr>
                <w:lang w:val="en-GB"/>
              </w:rPr>
              <w:t>10</w:t>
            </w:r>
          </w:p>
          <w:p>
            <w:pPr>
              <w:pStyle w:val="WWPlainText"/>
              <w:jc w:val="center"/>
              <w:rPr>
                <w:lang w:val="en-GB"/>
              </w:rPr>
            </w:pPr>
            <w:r>
              <w:rPr>
                <w:lang w:val="en-GB"/>
              </w:rPr>
            </w:r>
          </w:p>
          <w:p>
            <w:pPr>
              <w:pStyle w:val="WWPlainText"/>
              <w:jc w:val="center"/>
              <w:rPr>
                <w:lang w:val="en-GB"/>
              </w:rPr>
            </w:pPr>
            <w:r>
              <w:rPr>
                <w:lang w:val="en-GB"/>
              </w:rPr>
            </w:r>
          </w:p>
          <w:p>
            <w:pPr>
              <w:pStyle w:val="WWPlainText"/>
              <w:jc w:val="center"/>
              <w:rPr>
                <w:lang w:val="en-GB"/>
              </w:rPr>
            </w:pPr>
            <w:r>
              <w:rPr>
                <w:lang w:val="en-GB"/>
              </w:rPr>
            </w:r>
          </w:p>
          <w:p>
            <w:pPr>
              <w:pStyle w:val="WWPlainText"/>
              <w:jc w:val="center"/>
              <w:rPr>
                <w:lang w:val="en-GB"/>
              </w:rPr>
            </w:pPr>
            <w:r>
              <w:rPr>
                <w:lang w:val="en-GB"/>
              </w:rPr>
            </w:r>
          </w:p>
        </w:tc>
        <w:tc>
          <w:tcPr>
            <w:tcW w:w="122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jc w:val="center"/>
              <w:rPr>
                <w:lang w:val="en-GB"/>
              </w:rPr>
            </w:pPr>
            <w:r>
              <w:rPr>
                <w:lang w:val="en-GB"/>
              </w:rPr>
              <w:t>0</w:t>
            </w:r>
          </w:p>
          <w:p>
            <w:pPr>
              <w:pStyle w:val="WWPlainText"/>
              <w:jc w:val="center"/>
              <w:rPr>
                <w:lang w:val="en-GB"/>
              </w:rPr>
            </w:pPr>
            <w:r>
              <w:rPr>
                <w:lang w:val="en-GB"/>
              </w:rPr>
            </w:r>
          </w:p>
          <w:p>
            <w:pPr>
              <w:pStyle w:val="WWPlainText"/>
              <w:jc w:val="center"/>
              <w:rPr>
                <w:lang w:val="en-GB"/>
              </w:rPr>
            </w:pPr>
            <w:r>
              <w:rPr>
                <w:lang w:val="en-GB"/>
              </w:rPr>
            </w:r>
          </w:p>
          <w:p>
            <w:pPr>
              <w:pStyle w:val="WWPlainText"/>
              <w:jc w:val="center"/>
              <w:rPr>
                <w:lang w:val="en-GB"/>
              </w:rPr>
            </w:pPr>
            <w:r>
              <w:rPr>
                <w:lang w:val="en-GB"/>
              </w:rPr>
            </w:r>
          </w:p>
          <w:p>
            <w:pPr>
              <w:pStyle w:val="WWPlainText"/>
              <w:jc w:val="center"/>
              <w:rPr>
                <w:lang w:val="en-GB"/>
              </w:rPr>
            </w:pPr>
            <w:r>
              <w:rPr>
                <w:lang w:val="en-GB"/>
              </w:rPr>
            </w:r>
          </w:p>
        </w:tc>
        <w:tc>
          <w:tcPr>
            <w:tcW w:w="1114"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WWPlainText"/>
              <w:jc w:val="center"/>
              <w:rPr>
                <w:lang w:val="en-GB"/>
              </w:rPr>
            </w:pPr>
            <w:r>
              <w:rPr>
                <w:lang w:val="en-GB"/>
              </w:rPr>
              <w:t>5</w:t>
            </w:r>
          </w:p>
          <w:p>
            <w:pPr>
              <w:pStyle w:val="WWPlainText"/>
              <w:jc w:val="center"/>
              <w:rPr>
                <w:lang w:val="en-GB"/>
              </w:rPr>
            </w:pPr>
            <w:r>
              <w:rPr>
                <w:lang w:val="en-GB"/>
              </w:rPr>
            </w:r>
          </w:p>
          <w:p>
            <w:pPr>
              <w:pStyle w:val="WWPlainText"/>
              <w:jc w:val="center"/>
              <w:rPr>
                <w:lang w:val="en-GB"/>
              </w:rPr>
            </w:pPr>
            <w:r>
              <w:rPr>
                <w:lang w:val="en-GB"/>
              </w:rPr>
            </w:r>
          </w:p>
          <w:p>
            <w:pPr>
              <w:pStyle w:val="WWPlainText"/>
              <w:jc w:val="center"/>
              <w:rPr>
                <w:lang w:val="en-GB"/>
              </w:rPr>
            </w:pPr>
            <w:r>
              <w:rPr>
                <w:lang w:val="en-GB"/>
              </w:rPr>
            </w:r>
          </w:p>
          <w:p>
            <w:pPr>
              <w:pStyle w:val="WWPlainText"/>
              <w:jc w:val="center"/>
              <w:rPr>
                <w:lang w:val="en-GB"/>
              </w:rPr>
            </w:pPr>
            <w:r>
              <w:rPr>
                <w:lang w:val="en-GB"/>
              </w:rPr>
            </w:r>
          </w:p>
        </w:tc>
        <w:tc>
          <w:tcPr>
            <w:tcW w:w="11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WWPlainText"/>
              <w:jc w:val="center"/>
              <w:rPr>
                <w:bCs/>
                <w:lang w:val="en-GB"/>
              </w:rPr>
            </w:pPr>
            <w:r>
              <w:rPr>
                <w:bCs/>
                <w:lang w:val="en-GB"/>
              </w:rPr>
              <w:t>5</w:t>
            </w:r>
          </w:p>
          <w:p>
            <w:pPr>
              <w:pStyle w:val="WWPlainText"/>
              <w:jc w:val="center"/>
              <w:rPr>
                <w:bCs/>
                <w:lang w:val="en-GB"/>
              </w:rPr>
            </w:pPr>
            <w:r>
              <w:rPr>
                <w:bCs/>
                <w:lang w:val="en-GB"/>
              </w:rPr>
            </w:r>
          </w:p>
          <w:p>
            <w:pPr>
              <w:pStyle w:val="WWPlainText"/>
              <w:jc w:val="center"/>
              <w:rPr>
                <w:bCs/>
                <w:lang w:val="en-GB"/>
              </w:rPr>
            </w:pPr>
            <w:r>
              <w:rPr>
                <w:bCs/>
                <w:lang w:val="en-GB"/>
              </w:rPr>
            </w:r>
          </w:p>
          <w:p>
            <w:pPr>
              <w:pStyle w:val="WWPlainText"/>
              <w:jc w:val="center"/>
              <w:rPr>
                <w:bCs/>
                <w:lang w:val="en-GB"/>
              </w:rPr>
            </w:pPr>
            <w:r>
              <w:rPr>
                <w:bCs/>
                <w:lang w:val="en-GB"/>
              </w:rPr>
            </w:r>
          </w:p>
          <w:p>
            <w:pPr>
              <w:pStyle w:val="WWPlainText"/>
              <w:jc w:val="center"/>
              <w:rPr>
                <w:bCs/>
                <w:lang w:val="en-GB"/>
              </w:rPr>
            </w:pPr>
            <w:r>
              <w:rPr>
                <w:bCs/>
                <w:lang w:val="en-GB"/>
              </w:rPr>
            </w:r>
          </w:p>
        </w:tc>
      </w:tr>
    </w:tbl>
    <w:p>
      <w:pPr>
        <w:pStyle w:val="WWPlainText"/>
        <w:rPr>
          <w:b/>
          <w:b/>
          <w:u w:val="single"/>
        </w:rPr>
      </w:pPr>
      <w:r>
        <w:rPr>
          <w:b/>
          <w:u w:val="single"/>
        </w:rPr>
      </w:r>
    </w:p>
    <w:p>
      <w:pPr>
        <w:pStyle w:val="WWPlainText"/>
        <w:rPr>
          <w:b/>
          <w:b/>
          <w:u w:val="single"/>
        </w:rPr>
      </w:pPr>
      <w:r>
        <w:rPr>
          <w:b/>
          <w:u w:val="single"/>
        </w:rPr>
      </w:r>
    </w:p>
    <w:p>
      <w:pPr>
        <w:pStyle w:val="WWPlainText"/>
        <w:jc w:val="center"/>
        <w:rPr>
          <w:b/>
          <w:b/>
          <w:u w:val="single"/>
          <w:lang w:val="en-US"/>
        </w:rPr>
      </w:pPr>
      <w:r>
        <w:rPr>
          <w:b/>
          <w:u w:val="single"/>
          <w:lang w:val="en-US"/>
        </w:rPr>
        <w:t>Cost calculation from JINR budget.</w:t>
      </w:r>
    </w:p>
    <w:p>
      <w:pPr>
        <w:pStyle w:val="WWPlainText"/>
        <w:rPr>
          <w:b/>
          <w:b/>
          <w:u w:val="single"/>
          <w:lang w:val="en-US"/>
        </w:rPr>
      </w:pPr>
      <w:r>
        <w:rPr>
          <w:b/>
          <w:u w:val="single"/>
          <w:lang w:val="en-US"/>
        </w:rPr>
      </w:r>
    </w:p>
    <w:tbl>
      <w:tblPr>
        <w:tblW w:w="8061" w:type="dxa"/>
        <w:jc w:val="left"/>
        <w:tblInd w:w="800" w:type="dxa"/>
        <w:tblBorders>
          <w:top w:val="single" w:sz="2" w:space="0" w:color="000001"/>
          <w:left w:val="single" w:sz="2" w:space="0" w:color="000001"/>
          <w:bottom w:val="single" w:sz="2" w:space="0" w:color="000001"/>
          <w:insideH w:val="single" w:sz="2" w:space="0" w:color="000001"/>
        </w:tblBorders>
        <w:tblCellMar>
          <w:top w:w="0" w:type="dxa"/>
          <w:left w:w="-2" w:type="dxa"/>
          <w:bottom w:w="0" w:type="dxa"/>
          <w:right w:w="0" w:type="dxa"/>
        </w:tblCellMar>
        <w:tblLook w:val="0000" w:noVBand="0" w:noHBand="0" w:lastColumn="0" w:firstColumn="0" w:lastRow="0" w:firstRow="0"/>
      </w:tblPr>
      <w:tblGrid>
        <w:gridCol w:w="457"/>
        <w:gridCol w:w="3410"/>
        <w:gridCol w:w="811"/>
        <w:gridCol w:w="709"/>
        <w:gridCol w:w="711"/>
        <w:gridCol w:w="707"/>
        <w:gridCol w:w="1255"/>
      </w:tblGrid>
      <w:tr>
        <w:trPr>
          <w:trHeight w:val="869" w:hRule="atLeast"/>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vAlign w:val="center"/>
          </w:tcPr>
          <w:p>
            <w:pPr>
              <w:pStyle w:val="Iauiue1"/>
              <w:widowControl/>
              <w:jc w:val="center"/>
              <w:rPr/>
            </w:pPr>
            <w:r>
              <w:rPr>
                <w:b/>
                <w:lang w:val="en-US"/>
              </w:rPr>
              <w:t>№</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vAlign w:val="center"/>
          </w:tcPr>
          <w:p>
            <w:pPr>
              <w:pStyle w:val="Iauiue1"/>
              <w:widowControl/>
              <w:jc w:val="center"/>
              <w:rPr/>
            </w:pPr>
            <w:r>
              <w:rPr>
                <w:b/>
                <w:lang w:val="en-US"/>
              </w:rPr>
              <w:t>Expenses item</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vAlign w:val="center"/>
          </w:tcPr>
          <w:p>
            <w:pPr>
              <w:pStyle w:val="Iauiue1"/>
              <w:widowControl/>
              <w:jc w:val="center"/>
              <w:rPr/>
            </w:pPr>
            <w:r>
              <w:rPr>
                <w:b/>
                <w:lang w:val="en-US"/>
              </w:rPr>
              <w:t>Unit</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vAlign w:val="center"/>
          </w:tcPr>
          <w:p>
            <w:pPr>
              <w:pStyle w:val="Iauiue1"/>
              <w:widowControl/>
              <w:jc w:val="center"/>
              <w:rPr/>
            </w:pPr>
            <w:r>
              <w:rPr>
                <w:b/>
                <w:lang w:val="en-US"/>
              </w:rPr>
              <w:t>2019</w:t>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vAlign w:val="center"/>
          </w:tcPr>
          <w:p>
            <w:pPr>
              <w:pStyle w:val="Iauiue1"/>
              <w:widowControl/>
              <w:jc w:val="center"/>
              <w:rPr/>
            </w:pPr>
            <w:r>
              <w:rPr>
                <w:b/>
                <w:lang w:val="en-US"/>
              </w:rPr>
              <w:t>2020</w:t>
            </w:r>
          </w:p>
        </w:tc>
        <w:tc>
          <w:tcPr>
            <w:tcW w:w="707" w:type="dxa"/>
            <w:tcBorders>
              <w:top w:val="single" w:sz="2" w:space="0" w:color="000001"/>
              <w:left w:val="single" w:sz="2" w:space="0" w:color="000001"/>
              <w:bottom w:val="single" w:sz="4" w:space="0" w:color="000001"/>
              <w:insideH w:val="single" w:sz="4" w:space="0" w:color="000001"/>
            </w:tcBorders>
            <w:shd w:color="auto" w:fill="auto" w:val="clear"/>
            <w:tcMar>
              <w:left w:w="-2" w:type="dxa"/>
            </w:tcMar>
            <w:vAlign w:val="center"/>
          </w:tcPr>
          <w:p>
            <w:pPr>
              <w:pStyle w:val="Normal"/>
              <w:jc w:val="center"/>
              <w:rPr/>
            </w:pPr>
            <w:r>
              <w:rPr>
                <w:b/>
                <w:lang w:val="en-US"/>
              </w:rPr>
              <w:t>2021</w:t>
            </w:r>
          </w:p>
        </w:tc>
        <w:tc>
          <w:tcPr>
            <w:tcW w:w="125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2" w:type="dxa"/>
            </w:tcMar>
            <w:vAlign w:val="center"/>
          </w:tcPr>
          <w:p>
            <w:pPr>
              <w:pStyle w:val="Iauiue1"/>
              <w:widowControl/>
              <w:jc w:val="center"/>
              <w:rPr/>
            </w:pPr>
            <w:r>
              <w:rPr>
                <w:b/>
                <w:lang w:val="en-US"/>
              </w:rPr>
              <w:t>2019 – 2021</w:t>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b/>
                <w:b/>
                <w:lang w:val="en-US"/>
              </w:rPr>
            </w:pPr>
            <w:r>
              <w:rPr>
                <w:b/>
                <w:lang w:val="en-US"/>
              </w:rPr>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lang w:val="en-US"/>
              </w:rPr>
            </w:pPr>
            <w:r>
              <w:rPr>
                <w:lang w:val="en-US"/>
              </w:rPr>
              <w:t>Direct costs for the project</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lang w:val="en-US"/>
              </w:rPr>
            </w:pPr>
            <w:r>
              <w:rPr>
                <w:lang w:val="en-US"/>
              </w:rPr>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right"/>
              <w:rPr>
                <w:lang w:val="en-US"/>
              </w:rPr>
            </w:pPr>
            <w:r>
              <w:rPr>
                <w:lang w:val="en-US"/>
              </w:rPr>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right"/>
              <w:rPr>
                <w:lang w:val="en-US"/>
              </w:rPr>
            </w:pPr>
            <w:r>
              <w:rPr>
                <w:lang w:val="en-US"/>
              </w:rPr>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napToGrid w:val="false"/>
              <w:jc w:val="right"/>
              <w:rPr>
                <w:lang w:val="en-US"/>
              </w:rPr>
            </w:pPr>
            <w:r>
              <w:rPr>
                <w:lang w:val="en-US"/>
              </w:rPr>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snapToGrid w:val="false"/>
              <w:jc w:val="right"/>
              <w:rPr>
                <w:lang w:val="en-US"/>
              </w:rPr>
            </w:pPr>
            <w:r>
              <w:rPr>
                <w:lang w:val="en-US"/>
              </w:rPr>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0.</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lang w:val="en-US"/>
              </w:rPr>
              <w:t>Operational costs</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K USD</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t>35</w:t>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t>35</w:t>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jc w:val="center"/>
              <w:rPr/>
            </w:pPr>
            <w:r>
              <w:rPr/>
              <w:t>35</w:t>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jc w:val="center"/>
              <w:rPr/>
            </w:pPr>
            <w:r>
              <w:rPr/>
              <w:t>105</w:t>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1.</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lang w:val="en-US"/>
              </w:rPr>
              <w:t>Accelerators</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lang w:val="en-US"/>
              </w:rPr>
            </w:pPr>
            <w:r>
              <w:rPr>
                <w:lang w:val="en-US"/>
              </w:rPr>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napToGrid w:val="false"/>
              <w:jc w:val="center"/>
              <w:rPr>
                <w:lang w:val="en-US"/>
              </w:rPr>
            </w:pPr>
            <w:r>
              <w:rPr>
                <w:lang w:val="en-US"/>
              </w:rPr>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snapToGrid w:val="false"/>
              <w:jc w:val="center"/>
              <w:rPr>
                <w:lang w:val="en-US"/>
              </w:rPr>
            </w:pPr>
            <w:r>
              <w:rPr>
                <w:lang w:val="en-US"/>
              </w:rPr>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2.</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lang w:val="en-US"/>
              </w:rPr>
              <w:t xml:space="preserve">Design office </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lang w:val="en-US"/>
              </w:rPr>
            </w:pPr>
            <w:r>
              <w:rPr>
                <w:lang w:val="en-US"/>
              </w:rPr>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napToGrid w:val="false"/>
              <w:jc w:val="center"/>
              <w:rPr>
                <w:lang w:val="en-US"/>
              </w:rPr>
            </w:pPr>
            <w:r>
              <w:rPr>
                <w:lang w:val="en-US"/>
              </w:rPr>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snapToGrid w:val="false"/>
              <w:jc w:val="center"/>
              <w:rPr>
                <w:lang w:val="en-US"/>
              </w:rPr>
            </w:pPr>
            <w:r>
              <w:rPr>
                <w:lang w:val="en-US"/>
              </w:rPr>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3.</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lang w:val="en-US"/>
              </w:rPr>
              <w:t xml:space="preserve">Workshops </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lang w:val="en-US"/>
              </w:rPr>
            </w:pPr>
            <w:r>
              <w:rPr>
                <w:lang w:val="en-US"/>
              </w:rPr>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napToGrid w:val="false"/>
              <w:jc w:val="center"/>
              <w:rPr>
                <w:lang w:val="en-US"/>
              </w:rPr>
            </w:pPr>
            <w:r>
              <w:rPr>
                <w:lang w:val="en-US"/>
              </w:rPr>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snapToGrid w:val="false"/>
              <w:jc w:val="center"/>
              <w:rPr>
                <w:lang w:val="en-US"/>
              </w:rPr>
            </w:pPr>
            <w:r>
              <w:rPr>
                <w:lang w:val="en-US"/>
              </w:rPr>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4.</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lang w:val="en-US"/>
              </w:rPr>
              <w:t>Materials and consumables</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K USD</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t>5</w:t>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t>5</w:t>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jc w:val="center"/>
              <w:rPr/>
            </w:pPr>
            <w:r>
              <w:rPr/>
              <w:t>10</w:t>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jc w:val="center"/>
              <w:rPr/>
            </w:pPr>
            <w:r>
              <w:rPr/>
              <w:t>20</w:t>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5.</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lang w:val="en-US"/>
              </w:rPr>
              <w:t>Equipment</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K USD</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t>10</w:t>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t>10</w:t>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jc w:val="center"/>
              <w:rPr/>
            </w:pPr>
            <w:r>
              <w:rPr/>
              <w:t>15</w:t>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jc w:val="center"/>
              <w:rPr/>
            </w:pPr>
            <w:r>
              <w:rPr/>
              <w:t>35</w:t>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6.</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lang w:val="en-US"/>
              </w:rPr>
            </w:pPr>
            <w:r>
              <w:rPr>
                <w:lang w:val="en-US"/>
              </w:rPr>
              <w:t>Payments for R&amp;D works performed according contracts</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K USD</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napToGrid w:val="false"/>
              <w:jc w:val="center"/>
              <w:rPr>
                <w:lang w:val="en-US"/>
              </w:rPr>
            </w:pPr>
            <w:r>
              <w:rPr>
                <w:lang w:val="en-US"/>
              </w:rPr>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snapToGrid w:val="false"/>
              <w:jc w:val="center"/>
              <w:rPr>
                <w:lang w:val="en-US"/>
              </w:rPr>
            </w:pPr>
            <w:r>
              <w:rPr>
                <w:lang w:val="en-US"/>
              </w:rPr>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7.</w:t>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lang w:val="en-US"/>
              </w:rPr>
              <w:t>Travel expenses, including:</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K USD</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rFonts w:eastAsia="MS Mincho"/>
              </w:rPr>
              <w:t>53</w:t>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rFonts w:eastAsia="MS Mincho"/>
              </w:rPr>
              <w:t>53</w:t>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jc w:val="center"/>
              <w:rPr/>
            </w:pPr>
            <w:r>
              <w:rPr>
                <w:rFonts w:eastAsia="MS Mincho"/>
              </w:rPr>
              <w:t>114</w:t>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jc w:val="center"/>
              <w:rPr/>
            </w:pPr>
            <w:r>
              <w:rPr>
                <w:rFonts w:eastAsia="MS Mincho"/>
              </w:rPr>
              <w:t>220</w:t>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rFonts w:eastAsia="MS Mincho"/>
                <w:lang w:val="en-US"/>
              </w:rPr>
            </w:pPr>
            <w:r>
              <w:rPr>
                <w:rFonts w:eastAsia="MS Mincho"/>
                <w:lang w:val="en-US"/>
              </w:rPr>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ind w:left="0" w:hanging="0"/>
              <w:jc w:val="center"/>
              <w:rPr>
                <w:lang w:val="en-US"/>
              </w:rPr>
            </w:pPr>
            <w:r>
              <w:rPr>
                <w:lang w:val="en-US"/>
              </w:rPr>
              <w:t xml:space="preserve">                         </w:t>
            </w:r>
            <w:r>
              <w:rPr>
                <w:lang w:val="en-US"/>
              </w:rPr>
              <w:t>a) to countries a) outside the ruble zone</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K USD</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right"/>
              <w:rPr/>
            </w:pPr>
            <w:r>
              <w:rPr>
                <w:rFonts w:eastAsia="MS Mincho"/>
                <w:i/>
              </w:rPr>
              <w:t>50</w:t>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right"/>
              <w:rPr/>
            </w:pPr>
            <w:r>
              <w:rPr>
                <w:rFonts w:eastAsia="MS Mincho"/>
                <w:i/>
              </w:rPr>
              <w:t>50</w:t>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jc w:val="right"/>
              <w:rPr/>
            </w:pPr>
            <w:r>
              <w:rPr>
                <w:rFonts w:eastAsia="MS Mincho"/>
                <w:i/>
              </w:rPr>
              <w:t>110</w:t>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jc w:val="right"/>
              <w:rPr/>
            </w:pPr>
            <w:r>
              <w:rPr>
                <w:rFonts w:eastAsia="MS Mincho"/>
                <w:i/>
              </w:rPr>
              <w:t>21</w:t>
            </w:r>
            <w:bookmarkStart w:id="30" w:name="_GoBack"/>
            <w:bookmarkEnd w:id="30"/>
            <w:r>
              <w:rPr>
                <w:rFonts w:eastAsia="MS Mincho"/>
                <w:i/>
              </w:rPr>
              <w:t>0</w:t>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rFonts w:eastAsia="MS Mincho"/>
                <w:i/>
                <w:i/>
                <w:lang w:val="en-US"/>
              </w:rPr>
            </w:pPr>
            <w:r>
              <w:rPr>
                <w:rFonts w:eastAsia="MS Mincho"/>
                <w:i/>
                <w:lang w:val="en-US"/>
              </w:rPr>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lang w:val="en-US"/>
              </w:rPr>
            </w:pPr>
            <w:r>
              <w:rPr>
                <w:lang w:val="en-US"/>
              </w:rPr>
              <w:t>b) to the ruble zone countries</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lang w:val="en-US"/>
              </w:rPr>
              <w:t>K USD</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right"/>
              <w:rPr/>
            </w:pPr>
            <w:r>
              <w:rPr>
                <w:rFonts w:eastAsia="MS Mincho"/>
                <w:i/>
              </w:rPr>
              <w:t>3</w:t>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right"/>
              <w:rPr/>
            </w:pPr>
            <w:r>
              <w:rPr>
                <w:rFonts w:eastAsia="MS Mincho"/>
                <w:i/>
              </w:rPr>
              <w:t>3</w:t>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jc w:val="right"/>
              <w:rPr/>
            </w:pPr>
            <w:r>
              <w:rPr>
                <w:rFonts w:eastAsia="MS Mincho"/>
                <w:i/>
              </w:rPr>
              <w:t>4</w:t>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jc w:val="right"/>
              <w:rPr/>
            </w:pPr>
            <w:r>
              <w:rPr>
                <w:rFonts w:eastAsia="MS Mincho"/>
                <w:i/>
              </w:rPr>
              <w:t>10</w:t>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rFonts w:eastAsia="MS Mincho"/>
                <w:i/>
                <w:i/>
                <w:lang w:val="en-US"/>
              </w:rPr>
            </w:pPr>
            <w:r>
              <w:rPr>
                <w:rFonts w:eastAsia="MS Mincho"/>
                <w:i/>
                <w:lang w:val="en-US"/>
              </w:rPr>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lang w:val="en-US"/>
              </w:rPr>
              <w:t>c) according to protocols</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jc w:val="center"/>
              <w:rPr>
                <w:lang w:val="en-US"/>
              </w:rPr>
            </w:pPr>
            <w:r>
              <w:rPr>
                <w:lang w:val="en-US"/>
              </w:rPr>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snapToGrid w:val="false"/>
              <w:jc w:val="center"/>
              <w:rPr>
                <w:lang w:val="en-US"/>
              </w:rPr>
            </w:pPr>
            <w:r>
              <w:rPr>
                <w:lang w:val="en-US"/>
              </w:rPr>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napToGrid w:val="false"/>
              <w:jc w:val="center"/>
              <w:rPr>
                <w:lang w:val="en-US"/>
              </w:rPr>
            </w:pPr>
            <w:r>
              <w:rPr>
                <w:lang w:val="en-US"/>
              </w:rPr>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snapToGrid w:val="false"/>
              <w:jc w:val="center"/>
              <w:rPr>
                <w:lang w:val="en-US"/>
              </w:rPr>
            </w:pPr>
            <w:r>
              <w:rPr>
                <w:lang w:val="en-US"/>
              </w:rPr>
            </w:r>
          </w:p>
        </w:tc>
      </w:tr>
      <w:tr>
        <w:trPr>
          <w:cantSplit w:val="true"/>
        </w:trPr>
        <w:tc>
          <w:tcPr>
            <w:tcW w:w="457"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snapToGrid w:val="false"/>
              <w:rPr>
                <w:lang w:val="en-US"/>
              </w:rPr>
            </w:pPr>
            <w:r>
              <w:rPr>
                <w:lang w:val="en-US"/>
              </w:rPr>
            </w:r>
          </w:p>
        </w:tc>
        <w:tc>
          <w:tcPr>
            <w:tcW w:w="3410"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rPr/>
            </w:pPr>
            <w:r>
              <w:rPr>
                <w:b/>
                <w:lang w:val="en-US"/>
              </w:rPr>
              <w:t>Total direct expenses</w:t>
            </w:r>
          </w:p>
        </w:tc>
        <w:tc>
          <w:tcPr>
            <w:tcW w:w="8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Iauiue1"/>
              <w:widowControl/>
              <w:jc w:val="center"/>
              <w:rPr/>
            </w:pPr>
            <w:r>
              <w:rPr>
                <w:b/>
                <w:lang w:val="en-US"/>
              </w:rPr>
              <w:t>K USD</w:t>
            </w:r>
          </w:p>
        </w:tc>
        <w:tc>
          <w:tcPr>
            <w:tcW w:w="709"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b/>
              </w:rPr>
              <w:t>103</w:t>
            </w:r>
          </w:p>
        </w:tc>
        <w:tc>
          <w:tcPr>
            <w:tcW w:w="711" w:type="dxa"/>
            <w:tcBorders>
              <w:top w:val="single" w:sz="2" w:space="0" w:color="000001"/>
              <w:left w:val="single" w:sz="2" w:space="0" w:color="000001"/>
              <w:bottom w:val="single" w:sz="2" w:space="0" w:color="000001"/>
              <w:insideH w:val="single" w:sz="2" w:space="0" w:color="000001"/>
            </w:tcBorders>
            <w:shd w:color="auto" w:fill="auto" w:val="clear"/>
            <w:tcMar>
              <w:left w:w="-2" w:type="dxa"/>
            </w:tcMar>
          </w:tcPr>
          <w:p>
            <w:pPr>
              <w:pStyle w:val="Normal"/>
              <w:jc w:val="center"/>
              <w:rPr/>
            </w:pPr>
            <w:r>
              <w:rPr>
                <w:b/>
              </w:rPr>
              <w:t>103</w:t>
            </w:r>
          </w:p>
        </w:tc>
        <w:tc>
          <w:tcPr>
            <w:tcW w:w="70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jc w:val="center"/>
              <w:rPr/>
            </w:pPr>
            <w:r>
              <w:rPr>
                <w:b/>
              </w:rPr>
              <w:t>174</w:t>
            </w:r>
          </w:p>
        </w:tc>
        <w:tc>
          <w:tcPr>
            <w:tcW w:w="1255" w:type="dxa"/>
            <w:tcBorders>
              <w:top w:val="single" w:sz="2" w:space="0" w:color="000001"/>
              <w:left w:val="single" w:sz="4" w:space="0" w:color="000001"/>
              <w:bottom w:val="single" w:sz="2" w:space="0" w:color="000001"/>
              <w:right w:val="single" w:sz="2" w:space="0" w:color="000001"/>
              <w:insideH w:val="single" w:sz="2" w:space="0" w:color="000001"/>
              <w:insideV w:val="single" w:sz="2" w:space="0" w:color="000001"/>
            </w:tcBorders>
            <w:shd w:color="auto" w:fill="auto" w:val="clear"/>
            <w:tcMar>
              <w:left w:w="-5" w:type="dxa"/>
            </w:tcMar>
          </w:tcPr>
          <w:p>
            <w:pPr>
              <w:pStyle w:val="Normal"/>
              <w:jc w:val="center"/>
              <w:rPr/>
            </w:pPr>
            <w:r>
              <w:rPr>
                <w:b/>
              </w:rPr>
              <w:t>380</w:t>
            </w:r>
          </w:p>
        </w:tc>
      </w:tr>
    </w:tbl>
    <w:p>
      <w:pPr>
        <w:pStyle w:val="13"/>
        <w:jc w:val="both"/>
        <w:rPr/>
      </w:pPr>
      <w:r>
        <w:rPr/>
      </w:r>
      <w:r>
        <w:br w:type="page"/>
      </w:r>
    </w:p>
    <w:p>
      <w:pPr>
        <w:pStyle w:val="WWPlainText"/>
        <w:ind w:firstLine="720"/>
        <w:jc w:val="center"/>
        <w:rPr>
          <w:rFonts w:eastAsia="MS Mincho"/>
          <w:b/>
          <w:b/>
          <w:u w:val="single"/>
          <w:lang w:val="en-US"/>
        </w:rPr>
      </w:pPr>
      <w:r>
        <w:rPr>
          <w:b/>
          <w:u w:val="single"/>
        </w:rPr>
        <w:t xml:space="preserve"> </w:t>
      </w:r>
      <w:r>
        <w:rPr>
          <w:b/>
          <w:u w:val="single"/>
          <w:lang w:val="en-US"/>
        </w:rPr>
        <w:t>S</w:t>
      </w:r>
      <w:r>
        <w:rPr>
          <w:b/>
          <w:u w:val="single"/>
        </w:rPr>
        <w:t xml:space="preserve">chedule </w:t>
      </w:r>
    </w:p>
    <w:p>
      <w:pPr>
        <w:pStyle w:val="13"/>
        <w:ind w:firstLine="720"/>
        <w:rPr>
          <w:rFonts w:eastAsia="MS Mincho"/>
          <w:b/>
          <w:b/>
          <w:u w:val="single"/>
          <w:lang w:val="en-US"/>
        </w:rPr>
      </w:pPr>
      <w:r>
        <w:rPr>
          <w:rFonts w:eastAsia="MS Mincho"/>
          <w:b/>
          <w:u w:val="single"/>
          <w:lang w:val="en-US"/>
        </w:rPr>
      </w:r>
    </w:p>
    <w:p>
      <w:pPr>
        <w:pStyle w:val="13"/>
        <w:jc w:val="center"/>
        <w:rPr>
          <w:rFonts w:eastAsia="MS Mincho"/>
          <w:b/>
          <w:b/>
          <w:bCs/>
          <w:u w:val="single"/>
          <w:lang w:val="en-US"/>
        </w:rPr>
      </w:pPr>
      <w:r>
        <w:rPr>
          <w:rFonts w:eastAsia="MS Mincho"/>
          <w:b/>
          <w:bCs/>
          <w:u w:val="single"/>
          <w:lang w:val="en-US"/>
        </w:rPr>
      </w:r>
    </w:p>
    <w:tbl>
      <w:tblPr>
        <w:tblW w:w="9507" w:type="dxa"/>
        <w:jc w:val="left"/>
        <w:tblInd w:w="58" w:type="dxa"/>
        <w:tblBorders>
          <w:top w:val="single" w:sz="6" w:space="0" w:color="000001"/>
          <w:left w:val="single" w:sz="6" w:space="0" w:color="000001"/>
          <w:bottom w:val="single" w:sz="6" w:space="0" w:color="000001"/>
          <w:insideH w:val="single" w:sz="6" w:space="0" w:color="000001"/>
        </w:tblBorders>
        <w:tblCellMar>
          <w:top w:w="0" w:type="dxa"/>
          <w:left w:w="-7" w:type="dxa"/>
          <w:bottom w:w="0" w:type="dxa"/>
          <w:right w:w="30" w:type="dxa"/>
        </w:tblCellMar>
        <w:tblLook w:val="0000" w:noVBand="0" w:noHBand="0" w:lastColumn="0" w:firstColumn="0" w:lastRow="0" w:firstRow="0"/>
      </w:tblPr>
      <w:tblGrid>
        <w:gridCol w:w="423"/>
        <w:gridCol w:w="3822"/>
        <w:gridCol w:w="425"/>
        <w:gridCol w:w="426"/>
        <w:gridCol w:w="425"/>
        <w:gridCol w:w="430"/>
        <w:gridCol w:w="425"/>
        <w:gridCol w:w="426"/>
        <w:gridCol w:w="425"/>
        <w:gridCol w:w="425"/>
        <w:gridCol w:w="1"/>
        <w:gridCol w:w="424"/>
        <w:gridCol w:w="425"/>
        <w:gridCol w:w="425"/>
        <w:gridCol w:w="579"/>
      </w:tblGrid>
      <w:tr>
        <w:trPr>
          <w:trHeight w:val="240" w:hRule="atLeast"/>
        </w:trPr>
        <w:tc>
          <w:tcPr>
            <w:tcW w:w="423"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3822"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5261" w:type="dxa"/>
            <w:gridSpan w:val="1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7" w:type="dxa"/>
            </w:tcMar>
          </w:tcPr>
          <w:p>
            <w:pPr>
              <w:pStyle w:val="Normal"/>
              <w:widowControl w:val="false"/>
              <w:jc w:val="center"/>
              <w:rPr/>
            </w:pPr>
            <w:r>
              <w:rPr>
                <w:rFonts w:cs="Arial" w:ascii="Arial" w:hAnsi="Arial"/>
                <w:b/>
                <w:color w:val="000000"/>
              </w:rPr>
              <w:t>Year</w:t>
            </w:r>
          </w:p>
        </w:tc>
      </w:tr>
      <w:tr>
        <w:trPr>
          <w:trHeight w:val="240" w:hRule="atLeast"/>
        </w:trPr>
        <w:tc>
          <w:tcPr>
            <w:tcW w:w="423" w:type="dxa"/>
            <w:tcBorders>
              <w:top w:val="single" w:sz="6" w:space="0" w:color="000001"/>
              <w:left w:val="single" w:sz="6" w:space="0" w:color="000001"/>
              <w:bottom w:val="single" w:sz="2" w:space="0" w:color="000001"/>
              <w:insideH w:val="single" w:sz="2" w:space="0" w:color="000001"/>
            </w:tcBorders>
            <w:shd w:color="auto" w:fill="auto" w:val="clear"/>
            <w:tcMar>
              <w:left w:w="-7" w:type="dxa"/>
            </w:tcMar>
          </w:tcPr>
          <w:p>
            <w:pPr>
              <w:pStyle w:val="Normal"/>
              <w:widowControl w:val="false"/>
              <w:jc w:val="center"/>
              <w:rPr/>
            </w:pPr>
            <w:r>
              <w:rPr>
                <w:rFonts w:cs="Arial" w:ascii="Arial" w:hAnsi="Arial"/>
                <w:b/>
                <w:color w:val="000000"/>
              </w:rPr>
              <w:t>##</w:t>
            </w:r>
          </w:p>
        </w:tc>
        <w:tc>
          <w:tcPr>
            <w:tcW w:w="3822" w:type="dxa"/>
            <w:tcBorders>
              <w:top w:val="single" w:sz="6" w:space="0" w:color="000001"/>
              <w:left w:val="single" w:sz="6" w:space="0" w:color="000001"/>
              <w:bottom w:val="single" w:sz="2" w:space="0" w:color="000001"/>
              <w:insideH w:val="single" w:sz="2" w:space="0" w:color="000001"/>
            </w:tcBorders>
            <w:shd w:color="auto" w:fill="auto" w:val="clear"/>
            <w:tcMar>
              <w:left w:w="-7" w:type="dxa"/>
            </w:tcMar>
          </w:tcPr>
          <w:p>
            <w:pPr>
              <w:pStyle w:val="Normal"/>
              <w:widowControl w:val="false"/>
              <w:jc w:val="center"/>
              <w:rPr/>
            </w:pPr>
            <w:r>
              <w:rPr>
                <w:b/>
                <w:color w:val="000000"/>
                <w:lang w:val="en-US"/>
              </w:rPr>
              <w:t>Item</w:t>
            </w:r>
          </w:p>
        </w:tc>
        <w:tc>
          <w:tcPr>
            <w:tcW w:w="1706" w:type="dxa"/>
            <w:gridSpan w:val="4"/>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ind w:left="0" w:firstLine="319"/>
              <w:jc w:val="center"/>
              <w:rPr/>
            </w:pPr>
            <w:r>
              <w:rPr>
                <w:rFonts w:cs="Arial" w:ascii="Arial" w:hAnsi="Arial"/>
                <w:b/>
                <w:color w:val="000000"/>
              </w:rPr>
              <w:t>2019</w:t>
            </w:r>
          </w:p>
        </w:tc>
        <w:tc>
          <w:tcPr>
            <w:tcW w:w="1702" w:type="dxa"/>
            <w:gridSpan w:val="5"/>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2020</w:t>
            </w:r>
          </w:p>
        </w:tc>
        <w:tc>
          <w:tcPr>
            <w:tcW w:w="1853" w:type="dxa"/>
            <w:gridSpan w:val="4"/>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7" w:type="dxa"/>
            </w:tcMar>
          </w:tcPr>
          <w:p>
            <w:pPr>
              <w:pStyle w:val="Normal"/>
              <w:widowControl w:val="false"/>
              <w:jc w:val="center"/>
              <w:rPr/>
            </w:pPr>
            <w:r>
              <w:rPr>
                <w:rFonts w:cs="Arial" w:ascii="Arial" w:hAnsi="Arial"/>
                <w:b/>
                <w:color w:val="000000"/>
              </w:rPr>
              <w:t>2021</w:t>
            </w:r>
          </w:p>
        </w:tc>
      </w:tr>
      <w:tr>
        <w:trPr>
          <w:trHeight w:val="240" w:hRule="atLeast"/>
        </w:trPr>
        <w:tc>
          <w:tcPr>
            <w:tcW w:w="423" w:type="dxa"/>
            <w:tcBorders>
              <w:top w:val="single" w:sz="2"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b/>
                <w:b/>
                <w:color w:val="000000"/>
              </w:rPr>
            </w:pPr>
            <w:r>
              <w:rPr>
                <w:rFonts w:cs="Arial" w:ascii="Arial" w:hAnsi="Arial"/>
                <w:b/>
                <w:color w:val="000000"/>
              </w:rPr>
            </w:r>
          </w:p>
        </w:tc>
        <w:tc>
          <w:tcPr>
            <w:tcW w:w="3822" w:type="dxa"/>
            <w:tcBorders>
              <w:top w:val="single" w:sz="2"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b/>
                <w:b/>
                <w:color w:val="000000"/>
              </w:rPr>
            </w:pPr>
            <w:r>
              <w:rPr>
                <w:rFonts w:cs="Arial" w:ascii="Arial" w:hAnsi="Arial"/>
                <w:b/>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w:t>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III</w:t>
            </w:r>
          </w:p>
        </w:tc>
        <w:tc>
          <w:tcPr>
            <w:tcW w:w="430"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IV</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w:t>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III</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IV</w:t>
            </w:r>
          </w:p>
        </w:tc>
        <w:tc>
          <w:tcPr>
            <w:tcW w:w="425"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III</w:t>
            </w:r>
          </w:p>
        </w:tc>
        <w:tc>
          <w:tcPr>
            <w:tcW w:w="5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7" w:type="dxa"/>
            </w:tcMar>
          </w:tcPr>
          <w:p>
            <w:pPr>
              <w:pStyle w:val="Normal"/>
              <w:widowControl w:val="false"/>
              <w:jc w:val="center"/>
              <w:rPr/>
            </w:pPr>
            <w:r>
              <w:rPr>
                <w:rFonts w:cs="Arial" w:ascii="Arial" w:hAnsi="Arial"/>
                <w:b/>
                <w:color w:val="000000"/>
              </w:rPr>
              <w:t>IV</w:t>
            </w:r>
          </w:p>
        </w:tc>
      </w:tr>
      <w:tr>
        <w:trPr>
          <w:trHeight w:val="240" w:hRule="atLeast"/>
        </w:trPr>
        <w:tc>
          <w:tcPr>
            <w:tcW w:w="423" w:type="dxa"/>
            <w:tcBorders>
              <w:top w:val="single" w:sz="2"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right"/>
              <w:rPr/>
            </w:pPr>
            <w:r>
              <w:rPr>
                <w:rFonts w:cs="Arial" w:ascii="Arial" w:hAnsi="Arial"/>
                <w:color w:val="000000"/>
              </w:rPr>
              <w:t>1</w:t>
            </w:r>
          </w:p>
        </w:tc>
        <w:tc>
          <w:tcPr>
            <w:tcW w:w="3822" w:type="dxa"/>
            <w:tcBorders>
              <w:top w:val="single" w:sz="2"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lang w:val="en-US"/>
              </w:rPr>
            </w:pPr>
            <w:r>
              <w:rPr>
                <w:color w:val="000000"/>
                <w:lang w:val="en-US"/>
              </w:rPr>
              <w:t>Calibration of the straw detectors</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30"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5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r>
      <w:tr>
        <w:trPr>
          <w:trHeight w:val="240" w:hRule="atLeast"/>
        </w:trPr>
        <w:tc>
          <w:tcPr>
            <w:tcW w:w="423"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right"/>
              <w:rPr/>
            </w:pPr>
            <w:r>
              <w:rPr>
                <w:rFonts w:cs="Arial" w:ascii="Arial" w:hAnsi="Arial"/>
                <w:color w:val="000000"/>
              </w:rPr>
              <w:t>2</w:t>
            </w:r>
          </w:p>
        </w:tc>
        <w:tc>
          <w:tcPr>
            <w:tcW w:w="3822"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pPr>
            <w:r>
              <w:rPr>
                <w:color w:val="000000"/>
                <w:lang w:val="en-US"/>
              </w:rPr>
              <w:t>Data taking</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30"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5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r>
      <w:tr>
        <w:trPr>
          <w:trHeight w:val="240" w:hRule="atLeast"/>
        </w:trPr>
        <w:tc>
          <w:tcPr>
            <w:tcW w:w="423"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right"/>
              <w:rPr/>
            </w:pPr>
            <w:r>
              <w:rPr>
                <w:rFonts w:cs="Arial" w:ascii="Arial" w:hAnsi="Arial"/>
                <w:color w:val="000000"/>
              </w:rPr>
              <w:t>3</w:t>
            </w:r>
          </w:p>
        </w:tc>
        <w:tc>
          <w:tcPr>
            <w:tcW w:w="3822"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lang w:val="en-US"/>
              </w:rPr>
            </w:pPr>
            <w:r>
              <w:rPr>
                <w:color w:val="000000"/>
                <w:lang w:val="en-US"/>
              </w:rPr>
              <w:t xml:space="preserve">Data processing and analysis of collected data </w:t>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30"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5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r>
      <w:tr>
        <w:trPr>
          <w:trHeight w:val="240" w:hRule="atLeast"/>
        </w:trPr>
        <w:tc>
          <w:tcPr>
            <w:tcW w:w="423"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right"/>
              <w:rPr/>
            </w:pPr>
            <w:r>
              <w:rPr>
                <w:rFonts w:eastAsia="Arial" w:cs="Arial" w:ascii="Arial" w:hAnsi="Arial"/>
                <w:color w:val="000000"/>
                <w:lang w:val="en-US"/>
              </w:rPr>
              <w:t xml:space="preserve">   </w:t>
            </w:r>
            <w:r>
              <w:rPr>
                <w:rFonts w:cs="Arial" w:ascii="Arial" w:hAnsi="Arial"/>
                <w:color w:val="000000"/>
              </w:rPr>
              <w:t>4</w:t>
            </w:r>
          </w:p>
        </w:tc>
        <w:tc>
          <w:tcPr>
            <w:tcW w:w="3822"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lang w:val="en-US"/>
              </w:rPr>
            </w:pPr>
            <w:r>
              <w:rPr>
                <w:color w:val="000000"/>
                <w:lang w:val="en-US"/>
              </w:rPr>
              <w:t>Participation in a simulation of mass production</w:t>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30"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5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r>
      <w:tr>
        <w:trPr>
          <w:trHeight w:val="240" w:hRule="atLeast"/>
        </w:trPr>
        <w:tc>
          <w:tcPr>
            <w:tcW w:w="423"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right"/>
              <w:rPr/>
            </w:pPr>
            <w:r>
              <w:rPr>
                <w:rFonts w:cs="Arial" w:ascii="Arial" w:hAnsi="Arial"/>
                <w:color w:val="000000"/>
              </w:rPr>
              <w:t>5</w:t>
            </w:r>
          </w:p>
        </w:tc>
        <w:tc>
          <w:tcPr>
            <w:tcW w:w="3822"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lang w:val="en-US"/>
              </w:rPr>
            </w:pPr>
            <w:r>
              <w:rPr>
                <w:color w:val="000000"/>
                <w:lang w:val="en-US"/>
              </w:rPr>
              <w:t>Monitoring of straw detectors during the runs</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30"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5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r>
    </w:tbl>
    <w:p>
      <w:pPr>
        <w:pStyle w:val="13"/>
        <w:jc w:val="center"/>
        <w:rPr/>
      </w:pPr>
      <w:r>
        <w:rPr/>
      </w:r>
    </w:p>
    <w:sectPr>
      <w:footerReference w:type="even" r:id="rId18"/>
      <w:footerReference w:type="default" r:id="rId19"/>
      <w:type w:val="nextPage"/>
      <w:pgSz w:w="11906" w:h="16838"/>
      <w:pgMar w:left="1440" w:right="746" w:header="0" w:top="1077" w:footer="720" w:bottom="777" w:gutter="0"/>
      <w:pgNumType w:fmt="decimal"/>
      <w:formProt w:val="false"/>
      <w:textDirection w:val="lrTb"/>
      <w:docGrid w:type="default" w:linePitch="44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OpenSymbol">
    <w:altName w:val="Arial Unicode MS"/>
    <w:charset w:val="01"/>
    <w:family w:val="roman"/>
    <w:pitch w:val="variable"/>
  </w:font>
  <w:font w:name="Wingdings 2">
    <w:charset w:val="01"/>
    <w:family w:val="roman"/>
    <w:pitch w:val="variable"/>
  </w:font>
  <w:font w:name="Courier New">
    <w:charset w:val="01"/>
    <w:family w:val="roman"/>
    <w:pitch w:val="variable"/>
  </w:font>
  <w:font w:name="Wingdings">
    <w:charset w:val="01"/>
    <w:family w:val="roman"/>
    <w:pitch w:val="variable"/>
  </w:font>
  <w:font w:name="PMingLiU">
    <w:charset w:val="01"/>
    <w:family w:val="roman"/>
    <w:pitch w:val="variable"/>
  </w:font>
  <w:font w:name="Tahoma">
    <w:charset w:val="01"/>
    <w:family w:val="roman"/>
    <w:pitch w:val="variable"/>
  </w:font>
  <w:font w:name="Liberation Sans">
    <w:altName w:val="Arial"/>
    <w:charset w:val="01"/>
    <w:family w:val="swiss"/>
    <w:pitch w:val="variable"/>
  </w:font>
  <w:font w:name="Times">
    <w:altName w:val="Times New Roman"/>
    <w:charset w:val="01"/>
    <w:family w:val="roman"/>
    <w:pitch w:val="variable"/>
  </w:font>
  <w:font w:name="DejaVu Sans Mono">
    <w:charset w:val="01"/>
    <w:family w:val="roman"/>
    <w:pitch w:val="variable"/>
  </w:font>
  <w:font w:name="sans-serif">
    <w:altName w:val="Arial"/>
    <w:charset w:val="01"/>
    <w:family w:val="roman"/>
    <w:pitch w:val="variable"/>
  </w:font>
  <w:font w:name="serif">
    <w:charset w:val="01"/>
    <w:family w:val="roman"/>
    <w:pitch w:val="variable"/>
  </w:font>
  <w:font w:name="Arial">
    <w:charset w:val="01"/>
    <w:family w:val="roman"/>
    <w:pitch w:val="variable"/>
  </w:font>
  <w:font w:name="Symbol">
    <w:charset w:val="02"/>
    <w:family w:val="auto"/>
    <w:pitch w:val="default"/>
  </w:font>
  <w:font w:name="OpenSymbol">
    <w:altName w:val="Arial Unicode MS"/>
    <w:charset w:val="01"/>
    <w:family w:val="auto"/>
    <w:pitch w:val="variable"/>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mc:AlternateContent>
        <mc:Choice Requires="wps">
          <w:drawing>
            <wp:anchor behindDoc="1" distT="0" distB="0" distL="0" distR="0" simplePos="0" locked="0" layoutInCell="1" allowOverlap="1" relativeHeight="19" wp14:anchorId="49EB4D82">
              <wp:simplePos x="0" y="0"/>
              <wp:positionH relativeFrom="page">
                <wp:posOffset>6933565</wp:posOffset>
              </wp:positionH>
              <wp:positionV relativeFrom="paragraph">
                <wp:posOffset>635</wp:posOffset>
              </wp:positionV>
              <wp:extent cx="149860" cy="172085"/>
              <wp:effectExtent l="0" t="0" r="0" b="0"/>
              <wp:wrapSquare wrapText="bothSides"/>
              <wp:docPr id="17" name="Изображение1"/>
              <a:graphic xmlns:a="http://schemas.openxmlformats.org/drawingml/2006/main">
                <a:graphicData uri="http://schemas.microsoft.com/office/word/2010/wordprocessingShape">
                  <wps:wsp>
                    <wps:cNvSpPr/>
                    <wps:spPr>
                      <a:xfrm>
                        <a:off x="0" y="0"/>
                        <a:ext cx="149400" cy="171360"/>
                      </a:xfrm>
                      <a:prstGeom prst="rect">
                        <a:avLst/>
                      </a:prstGeom>
                      <a:solidFill>
                        <a:srgbClr val="ffffff"/>
                      </a:solidFill>
                      <a:ln>
                        <a:noFill/>
                      </a:ln>
                    </wps:spPr>
                    <wps:style>
                      <a:lnRef idx="0"/>
                      <a:fillRef idx="0"/>
                      <a:effectRef idx="0"/>
                      <a:fontRef idx="minor"/>
                    </wps:style>
                    <wps:txbx>
                      <w:txbxContent>
                        <w:p>
                          <w:pPr>
                            <w:pStyle w:val="Footer"/>
                            <w:rPr>
                              <w:color w:val="000000"/>
                            </w:rPr>
                          </w:pPr>
                          <w:r>
                            <w:rPr>
                              <w:color w:val="000000"/>
                            </w:rPr>
                            <w:fldChar w:fldCharType="begin"/>
                          </w:r>
                          <w:r>
                            <w:instrText> PAGE </w:instrText>
                          </w:r>
                          <w:r>
                            <w:fldChar w:fldCharType="separate"/>
                          </w:r>
                          <w:r>
                            <w:t>14</w:t>
                          </w:r>
                          <w:r>
                            <w:fldChar w:fldCharType="end"/>
                          </w:r>
                        </w:p>
                      </w:txbxContent>
                    </wps:txbx>
                    <wps:bodyPr lIns="0" rIns="0" tIns="0" bIns="0">
                      <a:noAutofit/>
                    </wps:bodyPr>
                  </wps:wsp>
                </a:graphicData>
              </a:graphic>
            </wp:anchor>
          </w:drawing>
        </mc:Choice>
        <mc:Fallback>
          <w:pict>
            <v:rect id="shape_0" ID="Изображение1" fillcolor="white" stroked="f" style="position:absolute;margin-left:545.95pt;margin-top:0.05pt;width:11.7pt;height:13.45pt;mso-position-horizontal-relative:page" wp14:anchorId="49EB4D82">
              <w10:wrap type="square"/>
              <v:fill o:detectmouseclick="t" type="solid" color2="black"/>
              <v:stroke color="#3465a4" joinstyle="round" endcap="flat"/>
              <v:textbox>
                <w:txbxContent>
                  <w:p>
                    <w:pPr>
                      <w:pStyle w:val="Footer"/>
                      <w:rPr>
                        <w:color w:val="000000"/>
                      </w:rPr>
                    </w:pPr>
                    <w:r>
                      <w:rPr>
                        <w:color w:val="000000"/>
                      </w:rPr>
                      <w:fldChar w:fldCharType="begin"/>
                    </w:r>
                    <w:r>
                      <w:instrText> PAGE </w:instrText>
                    </w:r>
                    <w:r>
                      <w:fldChar w:fldCharType="separate"/>
                    </w:r>
                    <w:r>
                      <w:t>14</w:t>
                    </w:r>
                    <w: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vanish/>
      </w:rPr>
    </w:pPr>
    <w:r>
      <w:rPr>
        <w:vanish/>
      </w:rPr>
      <mc:AlternateContent>
        <mc:Choice Requires="wps">
          <w:drawing>
            <wp:anchor behindDoc="1" distT="0" distB="0" distL="0" distR="0" simplePos="0" locked="0" layoutInCell="1" allowOverlap="1" relativeHeight="11" wp14:anchorId="78636411">
              <wp:simplePos x="0" y="0"/>
              <wp:positionH relativeFrom="page">
                <wp:posOffset>0</wp:posOffset>
              </wp:positionH>
              <wp:positionV relativeFrom="paragraph">
                <wp:posOffset>635</wp:posOffset>
              </wp:positionV>
              <wp:extent cx="85725" cy="17780"/>
              <wp:effectExtent l="0" t="0" r="0" b="0"/>
              <wp:wrapSquare wrapText="bothSides"/>
              <wp:docPr id="19" name="Изображение2"/>
              <a:graphic xmlns:a="http://schemas.openxmlformats.org/drawingml/2006/main">
                <a:graphicData uri="http://schemas.microsoft.com/office/word/2010/wordprocessingShape">
                  <wps:wsp>
                    <wps:cNvSpPr/>
                    <wps:spPr>
                      <a:xfrm>
                        <a:off x="0" y="0"/>
                        <a:ext cx="84960" cy="17280"/>
                      </a:xfrm>
                      <a:prstGeom prst="rect">
                        <a:avLst/>
                      </a:prstGeom>
                      <a:solidFill>
                        <a:srgbClr val="ffffff"/>
                      </a:solidFill>
                      <a:ln>
                        <a:noFill/>
                      </a:ln>
                    </wps:spPr>
                    <wps:style>
                      <a:lnRef idx="0"/>
                      <a:fillRef idx="0"/>
                      <a:effectRef idx="0"/>
                      <a:fontRef idx="minor"/>
                    </wps:style>
                    <wps:txbx>
                      <w:txbxContent>
                        <w:p>
                          <w:pPr>
                            <w:pStyle w:val="Footer"/>
                            <w:rPr>
                              <w:color w:val="000000"/>
                            </w:rPr>
                          </w:pPr>
                          <w:r>
                            <w:rPr>
                              <w:color w:val="000000"/>
                            </w:rPr>
                            <w:fldChar w:fldCharType="begin"/>
                          </w:r>
                          <w:r>
                            <w:instrText> PAGE </w:instrText>
                          </w:r>
                          <w:r>
                            <w:fldChar w:fldCharType="separate"/>
                          </w:r>
                          <w:r>
                            <w:t>0</w:t>
                          </w:r>
                          <w:r>
                            <w:fldChar w:fldCharType="end"/>
                          </w:r>
                        </w:p>
                      </w:txbxContent>
                    </wps:txbx>
                    <wps:bodyPr lIns="0" rIns="0" tIns="0" bIns="0">
                      <a:noAutofit/>
                    </wps:bodyPr>
                  </wps:wsp>
                </a:graphicData>
              </a:graphic>
            </wp:anchor>
          </w:drawing>
        </mc:Choice>
        <mc:Fallback>
          <w:pict>
            <v:rect id="shape_0" ID="Изображение2" fillcolor="white" stroked="f" style="position:absolute;margin-left:0pt;margin-top:0.05pt;width:6.65pt;height:1.3pt;mso-position-horizontal-relative:page" wp14:anchorId="78636411">
              <w10:wrap type="square"/>
              <v:fill o:detectmouseclick="t" type="solid" color2="black"/>
              <v:stroke color="#3465a4" joinstyle="round" endcap="flat"/>
              <v:textbox>
                <w:txbxContent>
                  <w:p>
                    <w:pPr>
                      <w:pStyle w:val="Footer"/>
                      <w:rPr>
                        <w:color w:val="000000"/>
                      </w:rPr>
                    </w:pPr>
                    <w:r>
                      <w:rPr>
                        <w:color w:val="000000"/>
                      </w:rPr>
                      <w:fldChar w:fldCharType="begin"/>
                    </w:r>
                    <w:r>
                      <w:instrText> PAGE </w:instrText>
                    </w:r>
                    <w:r>
                      <w:fldChar w:fldCharType="separate"/>
                    </w:r>
                    <w:r>
                      <w:t>0</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Symbol"/>
        <w:color w:val="000000"/>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rPr>
        <w:rFonts w:eastAsia="Wingdings" w:cs="Calibri"/>
        <w:lang w:val="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720"/>
        </w:tabs>
        <w:ind w:left="720" w:hanging="360"/>
      </w:pPr>
      <w:rPr>
        <w:rFonts w:ascii="Symbol" w:hAnsi="Symbol" w:cs="Symbol" w:hint="default"/>
        <w:b/>
        <w:rFonts w:cs="Symbol"/>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ind w:left="720" w:hanging="360"/>
      </w:pPr>
    </w:lvl>
    <w:lvl w:ilvl="1">
      <w:start w:val="1"/>
      <w:numFmt w:val="bullet"/>
      <w:lvlText w:val=""/>
      <w:lvlJc w:val="left"/>
      <w:pPr>
        <w:ind w:left="360" w:hanging="360"/>
      </w:pPr>
      <w:rPr>
        <w:rFonts w:ascii="Symbol" w:hAnsi="Symbol" w:cs="Symbol" w:hint="default"/>
        <w:rFonts w:cs="Symbol"/>
        <w:color w:val="000000"/>
        <w:lang w:val="en-US"/>
      </w:r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5">
    <w:lvl w:ilvl="0">
      <w:start w:val="1"/>
      <w:numFmt w:val="bullet"/>
      <w:lvlText w:val=""/>
      <w:lvlJc w:val="left"/>
      <w:pPr>
        <w:tabs>
          <w:tab w:val="num" w:pos="720"/>
        </w:tabs>
        <w:ind w:left="720" w:hanging="360"/>
      </w:pPr>
      <w:rPr>
        <w:rFonts w:ascii="Symbol" w:hAnsi="Symbol" w:cs="Symbol" w:hint="default"/>
        <w:sz w:val="18"/>
        <w:b/>
        <w:szCs w:val="18"/>
        <w:rFonts w:cs="Symbol"/>
        <w:color w:val="00000A"/>
        <w:lang w:val="en-US"/>
      </w:rPr>
    </w:lvl>
    <w:lvl w:ilvl="1">
      <w:start w:val="1"/>
      <w:numFmt w:val="bullet"/>
      <w:lvlText w:val="◦"/>
      <w:lvlJc w:val="left"/>
      <w:pPr>
        <w:tabs>
          <w:tab w:val="num" w:pos="1080"/>
        </w:tabs>
        <w:ind w:left="1080" w:hanging="360"/>
      </w:pPr>
      <w:rPr>
        <w:rFonts w:ascii="OpenSymbol" w:hAnsi="OpenSymbol" w:cs="OpenSymbol" w:hint="default"/>
        <w:sz w:val="18"/>
        <w:szCs w:val="18"/>
        <w:rFonts w:cs="StarSymbol"/>
      </w:rPr>
    </w:lvl>
    <w:lvl w:ilvl="2">
      <w:start w:val="1"/>
      <w:numFmt w:val="bullet"/>
      <w:lvlText w:val="▪"/>
      <w:lvlJc w:val="left"/>
      <w:pPr>
        <w:tabs>
          <w:tab w:val="num" w:pos="1440"/>
        </w:tabs>
        <w:ind w:left="1440" w:hanging="360"/>
      </w:pPr>
      <w:rPr>
        <w:rFonts w:ascii="OpenSymbol" w:hAnsi="OpenSymbol" w:cs="OpenSymbol" w:hint="default"/>
        <w:sz w:val="18"/>
        <w:szCs w:val="18"/>
        <w:rFonts w:cs="StarSymbol"/>
      </w:rPr>
    </w:lvl>
    <w:lvl w:ilvl="3">
      <w:start w:val="1"/>
      <w:numFmt w:val="bullet"/>
      <w:lvlText w:val=""/>
      <w:lvlJc w:val="left"/>
      <w:pPr>
        <w:tabs>
          <w:tab w:val="num" w:pos="1800"/>
        </w:tabs>
        <w:ind w:left="1800" w:hanging="360"/>
      </w:pPr>
      <w:rPr>
        <w:rFonts w:ascii="Wingdings 2" w:hAnsi="Wingdings 2" w:cs="Wingdings 2" w:hint="default"/>
        <w:sz w:val="18"/>
        <w:szCs w:val="18"/>
        <w:rFonts w:cs="StarSymbol"/>
      </w:rPr>
    </w:lvl>
    <w:lvl w:ilvl="4">
      <w:start w:val="1"/>
      <w:numFmt w:val="bullet"/>
      <w:lvlText w:val="◦"/>
      <w:lvlJc w:val="left"/>
      <w:pPr>
        <w:tabs>
          <w:tab w:val="num" w:pos="2160"/>
        </w:tabs>
        <w:ind w:left="2160" w:hanging="360"/>
      </w:pPr>
      <w:rPr>
        <w:rFonts w:ascii="OpenSymbol" w:hAnsi="OpenSymbol" w:cs="OpenSymbol" w:hint="default"/>
        <w:sz w:val="18"/>
        <w:szCs w:val="18"/>
        <w:rFonts w:cs="StarSymbol"/>
      </w:rPr>
    </w:lvl>
    <w:lvl w:ilvl="5">
      <w:start w:val="1"/>
      <w:numFmt w:val="bullet"/>
      <w:lvlText w:val="▪"/>
      <w:lvlJc w:val="left"/>
      <w:pPr>
        <w:tabs>
          <w:tab w:val="num" w:pos="2520"/>
        </w:tabs>
        <w:ind w:left="2520" w:hanging="360"/>
      </w:pPr>
      <w:rPr>
        <w:rFonts w:ascii="OpenSymbol" w:hAnsi="OpenSymbol" w:cs="OpenSymbol" w:hint="default"/>
        <w:sz w:val="18"/>
        <w:szCs w:val="18"/>
        <w:rFonts w:cs="StarSymbol"/>
      </w:rPr>
    </w:lvl>
    <w:lvl w:ilvl="6">
      <w:start w:val="1"/>
      <w:numFmt w:val="bullet"/>
      <w:lvlText w:val=""/>
      <w:lvlJc w:val="left"/>
      <w:pPr>
        <w:tabs>
          <w:tab w:val="num" w:pos="2880"/>
        </w:tabs>
        <w:ind w:left="2880" w:hanging="360"/>
      </w:pPr>
      <w:rPr>
        <w:rFonts w:ascii="Wingdings 2" w:hAnsi="Wingdings 2" w:cs="Wingdings 2" w:hint="default"/>
        <w:sz w:val="18"/>
        <w:szCs w:val="18"/>
        <w:rFonts w:cs="StarSymbol"/>
      </w:rPr>
    </w:lvl>
    <w:lvl w:ilvl="7">
      <w:start w:val="1"/>
      <w:numFmt w:val="bullet"/>
      <w:lvlText w:val="◦"/>
      <w:lvlJc w:val="left"/>
      <w:pPr>
        <w:tabs>
          <w:tab w:val="num" w:pos="3240"/>
        </w:tabs>
        <w:ind w:left="3240" w:hanging="360"/>
      </w:pPr>
      <w:rPr>
        <w:rFonts w:ascii="OpenSymbol" w:hAnsi="OpenSymbol" w:cs="OpenSymbol" w:hint="default"/>
        <w:sz w:val="18"/>
        <w:szCs w:val="18"/>
        <w:rFonts w:cs="StarSymbol"/>
      </w:rPr>
    </w:lvl>
    <w:lvl w:ilvl="8">
      <w:start w:val="1"/>
      <w:numFmt w:val="bullet"/>
      <w:lvlText w:val="▪"/>
      <w:lvlJc w:val="left"/>
      <w:pPr>
        <w:tabs>
          <w:tab w:val="num" w:pos="3600"/>
        </w:tabs>
        <w:ind w:left="3600" w:hanging="360"/>
      </w:pPr>
      <w:rPr>
        <w:rFonts w:ascii="OpenSymbol" w:hAnsi="OpenSymbol" w:cs="OpenSymbol" w:hint="default"/>
        <w:sz w:val="18"/>
        <w:szCs w:val="18"/>
        <w:rFonts w:cs="StarSymbol"/>
      </w:rPr>
    </w:lvl>
  </w:abstractNum>
  <w:abstractNum w:abstractNumId="6">
    <w:lvl w:ilvl="0">
      <w:start w:val="1"/>
      <w:numFmt w:val="bullet"/>
      <w:lvlText w:val=""/>
      <w:lvlJc w:val="left"/>
      <w:pPr>
        <w:ind w:left="720" w:hanging="360"/>
      </w:pPr>
      <w:rPr>
        <w:rFonts w:ascii="Symbol" w:hAnsi="Symbol" w:cs="Symbol" w:hint="default"/>
        <w:szCs w:val="24"/>
        <w:rFonts w:cs="Symbol"/>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ind w:left="720" w:hanging="360"/>
      </w:pPr>
      <w:rPr>
        <w:rFonts w:ascii="Symbol" w:hAnsi="Symbol" w:cs="Symbol" w:hint="default"/>
        <w:b/>
        <w:rFonts w:cs="Symbol"/>
        <w:color w:val="000000"/>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720"/>
        </w:tabs>
        <w:ind w:left="720" w:hanging="360"/>
      </w:pPr>
      <w:rPr>
        <w:spacing w:val="0"/>
        <w:b/>
        <w:iCs/>
        <w:bCs/>
        <w:rFonts w:ascii="Times New Roman" w:hAnsi="Times New Roman" w:eastAsia="MS Mincho" w:cs="Times New Roman"/>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50"/>
  <w:displayBackgroundShape/>
  <w:embedSystemFonts/>
  <w:defaultTabStop w:val="720"/>
  <w:autoHyphenation w:val="false"/>
  <w:evenAndOddHeader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qFormat="1"/>
    <w:lsdException w:name="heading 4" w:uiPriority="9" w:semiHidden="0" w:unhideWhenUsed="0" w:qFormat="1"/>
    <w:lsdException w:name="heading 5" w:uiPriority="9" w:qFormat="1"/>
    <w:lsdException w:name="heading 6" w:uiPriority="9" w:qFormat="1"/>
    <w:lsdException w:name="heading 7" w:uiPriority="9"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44340"/>
    <w:pPr>
      <w:widowControl/>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Heading1">
    <w:name w:val="Heading 1"/>
    <w:basedOn w:val="Normal"/>
    <w:qFormat/>
    <w:rsid w:val="00c44340"/>
    <w:pPr>
      <w:spacing w:before="28" w:after="28"/>
      <w:outlineLvl w:val="0"/>
    </w:pPr>
    <w:rPr/>
  </w:style>
  <w:style w:type="paragraph" w:styleId="Heading2">
    <w:name w:val="Heading 2"/>
    <w:basedOn w:val="Normal"/>
    <w:qFormat/>
    <w:rsid w:val="00c44340"/>
    <w:pPr>
      <w:keepNext/>
      <w:tabs>
        <w:tab w:val="left" w:pos="0" w:leader="none"/>
      </w:tabs>
      <w:ind w:left="576" w:hanging="576"/>
      <w:outlineLvl w:val="1"/>
    </w:pPr>
    <w:rPr/>
  </w:style>
  <w:style w:type="paragraph" w:styleId="Heading4">
    <w:name w:val="Heading 4"/>
    <w:basedOn w:val="Normal"/>
    <w:qFormat/>
    <w:rsid w:val="00c44340"/>
    <w:pPr>
      <w:keepNext/>
      <w:tabs>
        <w:tab w:val="left" w:pos="0" w:leader="none"/>
      </w:tabs>
      <w:spacing w:before="240" w:after="60"/>
      <w:ind w:left="864" w:hanging="864"/>
      <w:outlineLvl w:val="3"/>
    </w:pPr>
    <w:rPr/>
  </w:style>
  <w:style w:type="paragraph" w:styleId="Heading7">
    <w:name w:val="Heading 7"/>
    <w:basedOn w:val="Normal"/>
    <w:qFormat/>
    <w:rsid w:val="00c44340"/>
    <w:pPr>
      <w:keepNext/>
      <w:tabs>
        <w:tab w:val="left" w:pos="0" w:leader="none"/>
      </w:tabs>
      <w:ind w:left="720" w:firstLine="720"/>
      <w:jc w:val="both"/>
      <w:outlineLvl w:val="6"/>
    </w:pPr>
    <w:rPr/>
  </w:style>
  <w:style w:type="character" w:styleId="DefaultParagraphFont" w:default="1">
    <w:name w:val="Default Paragraph Font"/>
    <w:uiPriority w:val="1"/>
    <w:semiHidden/>
    <w:unhideWhenUsed/>
    <w:qFormat/>
    <w:rPr/>
  </w:style>
  <w:style w:type="character" w:styleId="WW8Num1z0" w:customStyle="1">
    <w:name w:val="WW8Num1z0"/>
    <w:qFormat/>
    <w:rsid w:val="00c44340"/>
    <w:rPr/>
  </w:style>
  <w:style w:type="character" w:styleId="WW8Num1z1" w:customStyle="1">
    <w:name w:val="WW8Num1z1"/>
    <w:qFormat/>
    <w:rsid w:val="00c44340"/>
    <w:rPr/>
  </w:style>
  <w:style w:type="character" w:styleId="WW8Num1z2" w:customStyle="1">
    <w:name w:val="WW8Num1z2"/>
    <w:qFormat/>
    <w:rsid w:val="00c44340"/>
    <w:rPr/>
  </w:style>
  <w:style w:type="character" w:styleId="WW8Num1z3" w:customStyle="1">
    <w:name w:val="WW8Num1z3"/>
    <w:qFormat/>
    <w:rsid w:val="00c44340"/>
    <w:rPr/>
  </w:style>
  <w:style w:type="character" w:styleId="WW8Num1z4" w:customStyle="1">
    <w:name w:val="WW8Num1z4"/>
    <w:qFormat/>
    <w:rsid w:val="00c44340"/>
    <w:rPr/>
  </w:style>
  <w:style w:type="character" w:styleId="WW8Num1z5" w:customStyle="1">
    <w:name w:val="WW8Num1z5"/>
    <w:qFormat/>
    <w:rsid w:val="00c44340"/>
    <w:rPr/>
  </w:style>
  <w:style w:type="character" w:styleId="WW8Num1z6" w:customStyle="1">
    <w:name w:val="WW8Num1z6"/>
    <w:qFormat/>
    <w:rsid w:val="00c44340"/>
    <w:rPr/>
  </w:style>
  <w:style w:type="character" w:styleId="WW8Num1z7" w:customStyle="1">
    <w:name w:val="WW8Num1z7"/>
    <w:qFormat/>
    <w:rsid w:val="00c44340"/>
    <w:rPr/>
  </w:style>
  <w:style w:type="character" w:styleId="WW8Num1z8" w:customStyle="1">
    <w:name w:val="WW8Num1z8"/>
    <w:qFormat/>
    <w:rsid w:val="00c44340"/>
    <w:rPr/>
  </w:style>
  <w:style w:type="character" w:styleId="WW8Num2z0" w:customStyle="1">
    <w:name w:val="WW8Num2z0"/>
    <w:qFormat/>
    <w:rsid w:val="00c44340"/>
    <w:rPr>
      <w:rFonts w:ascii="Symbol" w:hAnsi="Symbol" w:cs="Symbol"/>
      <w:color w:val="000000"/>
      <w:lang w:val="en-US"/>
    </w:rPr>
  </w:style>
  <w:style w:type="character" w:styleId="WW8Num2z1" w:customStyle="1">
    <w:name w:val="WW8Num2z1"/>
    <w:qFormat/>
    <w:rsid w:val="00c44340"/>
    <w:rPr/>
  </w:style>
  <w:style w:type="character" w:styleId="WW8Num2z2" w:customStyle="1">
    <w:name w:val="WW8Num2z2"/>
    <w:qFormat/>
    <w:rsid w:val="00c44340"/>
    <w:rPr/>
  </w:style>
  <w:style w:type="character" w:styleId="WW8Num2z3" w:customStyle="1">
    <w:name w:val="WW8Num2z3"/>
    <w:qFormat/>
    <w:rsid w:val="00c44340"/>
    <w:rPr/>
  </w:style>
  <w:style w:type="character" w:styleId="WW8Num2z4" w:customStyle="1">
    <w:name w:val="WW8Num2z4"/>
    <w:qFormat/>
    <w:rsid w:val="00c44340"/>
    <w:rPr/>
  </w:style>
  <w:style w:type="character" w:styleId="WW8Num2z5" w:customStyle="1">
    <w:name w:val="WW8Num2z5"/>
    <w:qFormat/>
    <w:rsid w:val="00c44340"/>
    <w:rPr/>
  </w:style>
  <w:style w:type="character" w:styleId="WW8Num2z6" w:customStyle="1">
    <w:name w:val="WW8Num2z6"/>
    <w:qFormat/>
    <w:rsid w:val="00c44340"/>
    <w:rPr/>
  </w:style>
  <w:style w:type="character" w:styleId="WW8Num2z7" w:customStyle="1">
    <w:name w:val="WW8Num2z7"/>
    <w:qFormat/>
    <w:rsid w:val="00c44340"/>
    <w:rPr/>
  </w:style>
  <w:style w:type="character" w:styleId="WW8Num2z8" w:customStyle="1">
    <w:name w:val="WW8Num2z8"/>
    <w:qFormat/>
    <w:rsid w:val="00c44340"/>
    <w:rPr/>
  </w:style>
  <w:style w:type="character" w:styleId="WW8Num3z0" w:customStyle="1">
    <w:name w:val="WW8Num3z0"/>
    <w:qFormat/>
    <w:rsid w:val="00c44340"/>
    <w:rPr/>
  </w:style>
  <w:style w:type="character" w:styleId="WW8Num3z1" w:customStyle="1">
    <w:name w:val="WW8Num3z1"/>
    <w:qFormat/>
    <w:rsid w:val="00c44340"/>
    <w:rPr>
      <w:rFonts w:eastAsia="Wingdings" w:cs="Calibri"/>
      <w:lang w:val="en-US"/>
    </w:rPr>
  </w:style>
  <w:style w:type="character" w:styleId="WW8Num3z2" w:customStyle="1">
    <w:name w:val="WW8Num3z2"/>
    <w:qFormat/>
    <w:rsid w:val="00c44340"/>
    <w:rPr/>
  </w:style>
  <w:style w:type="character" w:styleId="WW8Num3z3" w:customStyle="1">
    <w:name w:val="WW8Num3z3"/>
    <w:qFormat/>
    <w:rsid w:val="00c44340"/>
    <w:rPr/>
  </w:style>
  <w:style w:type="character" w:styleId="WW8Num3z4" w:customStyle="1">
    <w:name w:val="WW8Num3z4"/>
    <w:qFormat/>
    <w:rsid w:val="00c44340"/>
    <w:rPr/>
  </w:style>
  <w:style w:type="character" w:styleId="WW8Num3z5" w:customStyle="1">
    <w:name w:val="WW8Num3z5"/>
    <w:qFormat/>
    <w:rsid w:val="00c44340"/>
    <w:rPr/>
  </w:style>
  <w:style w:type="character" w:styleId="WW8Num3z6" w:customStyle="1">
    <w:name w:val="WW8Num3z6"/>
    <w:qFormat/>
    <w:rsid w:val="00c44340"/>
    <w:rPr/>
  </w:style>
  <w:style w:type="character" w:styleId="WW8Num3z7" w:customStyle="1">
    <w:name w:val="WW8Num3z7"/>
    <w:qFormat/>
    <w:rsid w:val="00c44340"/>
    <w:rPr/>
  </w:style>
  <w:style w:type="character" w:styleId="WW8Num3z8" w:customStyle="1">
    <w:name w:val="WW8Num3z8"/>
    <w:qFormat/>
    <w:rsid w:val="00c44340"/>
    <w:rPr/>
  </w:style>
  <w:style w:type="character" w:styleId="WW8Num4z0" w:customStyle="1">
    <w:name w:val="WW8Num4z0"/>
    <w:qFormat/>
    <w:rsid w:val="00c44340"/>
    <w:rPr>
      <w:rFonts w:ascii="Symbol" w:hAnsi="Symbol" w:cs="Symbol"/>
      <w:lang w:val="en-US"/>
    </w:rPr>
  </w:style>
  <w:style w:type="character" w:styleId="WW8Num4z1" w:customStyle="1">
    <w:name w:val="WW8Num4z1"/>
    <w:qFormat/>
    <w:rsid w:val="00c44340"/>
    <w:rPr/>
  </w:style>
  <w:style w:type="character" w:styleId="WW8Num4z2" w:customStyle="1">
    <w:name w:val="WW8Num4z2"/>
    <w:qFormat/>
    <w:rsid w:val="00c44340"/>
    <w:rPr/>
  </w:style>
  <w:style w:type="character" w:styleId="WW8Num4z3" w:customStyle="1">
    <w:name w:val="WW8Num4z3"/>
    <w:qFormat/>
    <w:rsid w:val="00c44340"/>
    <w:rPr/>
  </w:style>
  <w:style w:type="character" w:styleId="WW8Num4z4" w:customStyle="1">
    <w:name w:val="WW8Num4z4"/>
    <w:qFormat/>
    <w:rsid w:val="00c44340"/>
    <w:rPr/>
  </w:style>
  <w:style w:type="character" w:styleId="WW8Num4z5" w:customStyle="1">
    <w:name w:val="WW8Num4z5"/>
    <w:qFormat/>
    <w:rsid w:val="00c44340"/>
    <w:rPr/>
  </w:style>
  <w:style w:type="character" w:styleId="WW8Num4z6" w:customStyle="1">
    <w:name w:val="WW8Num4z6"/>
    <w:qFormat/>
    <w:rsid w:val="00c44340"/>
    <w:rPr/>
  </w:style>
  <w:style w:type="character" w:styleId="WW8Num4z7" w:customStyle="1">
    <w:name w:val="WW8Num4z7"/>
    <w:qFormat/>
    <w:rsid w:val="00c44340"/>
    <w:rPr/>
  </w:style>
  <w:style w:type="character" w:styleId="WW8Num4z8" w:customStyle="1">
    <w:name w:val="WW8Num4z8"/>
    <w:qFormat/>
    <w:rsid w:val="00c44340"/>
    <w:rPr/>
  </w:style>
  <w:style w:type="character" w:styleId="WW8Num5z0" w:customStyle="1">
    <w:name w:val="WW8Num5z0"/>
    <w:qFormat/>
    <w:rsid w:val="00c44340"/>
    <w:rPr/>
  </w:style>
  <w:style w:type="character" w:styleId="WW8Num5z1" w:customStyle="1">
    <w:name w:val="WW8Num5z1"/>
    <w:qFormat/>
    <w:rsid w:val="00c44340"/>
    <w:rPr>
      <w:rFonts w:ascii="Symbol" w:hAnsi="Symbol" w:cs="Symbol"/>
      <w:color w:val="000000"/>
      <w:lang w:val="en-US"/>
    </w:rPr>
  </w:style>
  <w:style w:type="character" w:styleId="WW8Num5z2" w:customStyle="1">
    <w:name w:val="WW8Num5z2"/>
    <w:qFormat/>
    <w:rsid w:val="00c44340"/>
    <w:rPr/>
  </w:style>
  <w:style w:type="character" w:styleId="WW8Num5z3" w:customStyle="1">
    <w:name w:val="WW8Num5z3"/>
    <w:qFormat/>
    <w:rsid w:val="00c44340"/>
    <w:rPr/>
  </w:style>
  <w:style w:type="character" w:styleId="WW8Num5z4" w:customStyle="1">
    <w:name w:val="WW8Num5z4"/>
    <w:qFormat/>
    <w:rsid w:val="00c44340"/>
    <w:rPr/>
  </w:style>
  <w:style w:type="character" w:styleId="WW8Num5z5" w:customStyle="1">
    <w:name w:val="WW8Num5z5"/>
    <w:qFormat/>
    <w:rsid w:val="00c44340"/>
    <w:rPr/>
  </w:style>
  <w:style w:type="character" w:styleId="WW8Num5z6" w:customStyle="1">
    <w:name w:val="WW8Num5z6"/>
    <w:qFormat/>
    <w:rsid w:val="00c44340"/>
    <w:rPr/>
  </w:style>
  <w:style w:type="character" w:styleId="WW8Num5z7" w:customStyle="1">
    <w:name w:val="WW8Num5z7"/>
    <w:qFormat/>
    <w:rsid w:val="00c44340"/>
    <w:rPr/>
  </w:style>
  <w:style w:type="character" w:styleId="WW8Num5z8" w:customStyle="1">
    <w:name w:val="WW8Num5z8"/>
    <w:qFormat/>
    <w:rsid w:val="00c44340"/>
    <w:rPr/>
  </w:style>
  <w:style w:type="character" w:styleId="WW8Num6z0" w:customStyle="1">
    <w:name w:val="WW8Num6z0"/>
    <w:qFormat/>
    <w:rsid w:val="00c44340"/>
    <w:rPr>
      <w:rFonts w:ascii="Symbol" w:hAnsi="Symbol" w:cs="Symbol"/>
      <w:color w:val="00000A"/>
      <w:sz w:val="18"/>
      <w:szCs w:val="18"/>
      <w:lang w:val="en-US"/>
    </w:rPr>
  </w:style>
  <w:style w:type="character" w:styleId="WW8Num6z1" w:customStyle="1">
    <w:name w:val="WW8Num6z1"/>
    <w:qFormat/>
    <w:rsid w:val="00c44340"/>
    <w:rPr>
      <w:rFonts w:ascii="OpenSymbol" w:hAnsi="OpenSymbol" w:cs="StarSymbol"/>
      <w:sz w:val="18"/>
      <w:szCs w:val="18"/>
    </w:rPr>
  </w:style>
  <w:style w:type="character" w:styleId="WW8Num6z3" w:customStyle="1">
    <w:name w:val="WW8Num6z3"/>
    <w:qFormat/>
    <w:rsid w:val="00c44340"/>
    <w:rPr>
      <w:rFonts w:ascii="Wingdings 2" w:hAnsi="Wingdings 2" w:cs="StarSymbol"/>
      <w:sz w:val="18"/>
      <w:szCs w:val="18"/>
    </w:rPr>
  </w:style>
  <w:style w:type="character" w:styleId="WW8Num7z0" w:customStyle="1">
    <w:name w:val="WW8Num7z0"/>
    <w:qFormat/>
    <w:rsid w:val="00c44340"/>
    <w:rPr>
      <w:rFonts w:ascii="Symbol" w:hAnsi="Symbol" w:cs="Symbol"/>
      <w:szCs w:val="24"/>
      <w:lang w:val="en-US"/>
    </w:rPr>
  </w:style>
  <w:style w:type="character" w:styleId="WW8Num8z0" w:customStyle="1">
    <w:name w:val="WW8Num8z0"/>
    <w:qFormat/>
    <w:rsid w:val="00c44340"/>
    <w:rPr>
      <w:rFonts w:ascii="Symbol" w:hAnsi="Symbol" w:cs="Symbol"/>
      <w:color w:val="000000"/>
      <w:lang w:val="en-US"/>
    </w:rPr>
  </w:style>
  <w:style w:type="character" w:styleId="WW8Num9z0" w:customStyle="1">
    <w:name w:val="WW8Num9z0"/>
    <w:qFormat/>
    <w:rsid w:val="00c44340"/>
    <w:rPr>
      <w:rFonts w:ascii="Times New Roman" w:hAnsi="Times New Roman" w:eastAsia="MS Mincho" w:cs="Times New Roman"/>
      <w:bCs/>
      <w:iCs/>
      <w:spacing w:val="0"/>
      <w:lang w:val="en-US"/>
    </w:rPr>
  </w:style>
  <w:style w:type="character" w:styleId="WW8Num9z1" w:customStyle="1">
    <w:name w:val="WW8Num9z1"/>
    <w:qFormat/>
    <w:rsid w:val="00c44340"/>
    <w:rPr/>
  </w:style>
  <w:style w:type="character" w:styleId="WW8Num9z2" w:customStyle="1">
    <w:name w:val="WW8Num9z2"/>
    <w:qFormat/>
    <w:rsid w:val="00c44340"/>
    <w:rPr/>
  </w:style>
  <w:style w:type="character" w:styleId="WW8Num9z3" w:customStyle="1">
    <w:name w:val="WW8Num9z3"/>
    <w:qFormat/>
    <w:rsid w:val="00c44340"/>
    <w:rPr/>
  </w:style>
  <w:style w:type="character" w:styleId="WW8Num9z4" w:customStyle="1">
    <w:name w:val="WW8Num9z4"/>
    <w:qFormat/>
    <w:rsid w:val="00c44340"/>
    <w:rPr/>
  </w:style>
  <w:style w:type="character" w:styleId="WW8Num9z5" w:customStyle="1">
    <w:name w:val="WW8Num9z5"/>
    <w:qFormat/>
    <w:rsid w:val="00c44340"/>
    <w:rPr/>
  </w:style>
  <w:style w:type="character" w:styleId="WW8Num9z6" w:customStyle="1">
    <w:name w:val="WW8Num9z6"/>
    <w:qFormat/>
    <w:rsid w:val="00c44340"/>
    <w:rPr/>
  </w:style>
  <w:style w:type="character" w:styleId="WW8Num9z7" w:customStyle="1">
    <w:name w:val="WW8Num9z7"/>
    <w:qFormat/>
    <w:rsid w:val="00c44340"/>
    <w:rPr/>
  </w:style>
  <w:style w:type="character" w:styleId="WW8Num9z8" w:customStyle="1">
    <w:name w:val="WW8Num9z8"/>
    <w:qFormat/>
    <w:rsid w:val="00c44340"/>
    <w:rPr/>
  </w:style>
  <w:style w:type="character" w:styleId="1" w:customStyle="1">
    <w:name w:val="Основной шрифт абзаца1"/>
    <w:qFormat/>
    <w:rsid w:val="00c44340"/>
    <w:rPr/>
  </w:style>
  <w:style w:type="character" w:styleId="WW8Num6z2" w:customStyle="1">
    <w:name w:val="WW8Num6z2"/>
    <w:qFormat/>
    <w:rsid w:val="00c44340"/>
    <w:rPr/>
  </w:style>
  <w:style w:type="character" w:styleId="WW8Num6z4" w:customStyle="1">
    <w:name w:val="WW8Num6z4"/>
    <w:qFormat/>
    <w:rsid w:val="00c44340"/>
    <w:rPr/>
  </w:style>
  <w:style w:type="character" w:styleId="WW8Num6z5" w:customStyle="1">
    <w:name w:val="WW8Num6z5"/>
    <w:qFormat/>
    <w:rsid w:val="00c44340"/>
    <w:rPr/>
  </w:style>
  <w:style w:type="character" w:styleId="WW8Num6z6" w:customStyle="1">
    <w:name w:val="WW8Num6z6"/>
    <w:qFormat/>
    <w:rsid w:val="00c44340"/>
    <w:rPr/>
  </w:style>
  <w:style w:type="character" w:styleId="WW8Num6z7" w:customStyle="1">
    <w:name w:val="WW8Num6z7"/>
    <w:qFormat/>
    <w:rsid w:val="00c44340"/>
    <w:rPr/>
  </w:style>
  <w:style w:type="character" w:styleId="WW8Num6z8" w:customStyle="1">
    <w:name w:val="WW8Num6z8"/>
    <w:qFormat/>
    <w:rsid w:val="00c44340"/>
    <w:rPr/>
  </w:style>
  <w:style w:type="character" w:styleId="WW8Num7z1" w:customStyle="1">
    <w:name w:val="WW8Num7z1"/>
    <w:qFormat/>
    <w:rsid w:val="00c44340"/>
    <w:rPr/>
  </w:style>
  <w:style w:type="character" w:styleId="WW8Num7z2" w:customStyle="1">
    <w:name w:val="WW8Num7z2"/>
    <w:qFormat/>
    <w:rsid w:val="00c44340"/>
    <w:rPr/>
  </w:style>
  <w:style w:type="character" w:styleId="WW8Num7z3" w:customStyle="1">
    <w:name w:val="WW8Num7z3"/>
    <w:qFormat/>
    <w:rsid w:val="00c44340"/>
    <w:rPr/>
  </w:style>
  <w:style w:type="character" w:styleId="WW8Num7z4" w:customStyle="1">
    <w:name w:val="WW8Num7z4"/>
    <w:qFormat/>
    <w:rsid w:val="00c44340"/>
    <w:rPr/>
  </w:style>
  <w:style w:type="character" w:styleId="WW8Num7z5" w:customStyle="1">
    <w:name w:val="WW8Num7z5"/>
    <w:qFormat/>
    <w:rsid w:val="00c44340"/>
    <w:rPr/>
  </w:style>
  <w:style w:type="character" w:styleId="WW8Num7z6" w:customStyle="1">
    <w:name w:val="WW8Num7z6"/>
    <w:qFormat/>
    <w:rsid w:val="00c44340"/>
    <w:rPr/>
  </w:style>
  <w:style w:type="character" w:styleId="WW8Num7z7" w:customStyle="1">
    <w:name w:val="WW8Num7z7"/>
    <w:qFormat/>
    <w:rsid w:val="00c44340"/>
    <w:rPr/>
  </w:style>
  <w:style w:type="character" w:styleId="WW8Num7z8" w:customStyle="1">
    <w:name w:val="WW8Num7z8"/>
    <w:qFormat/>
    <w:rsid w:val="00c44340"/>
    <w:rPr/>
  </w:style>
  <w:style w:type="character" w:styleId="WW8Num8z1" w:customStyle="1">
    <w:name w:val="WW8Num8z1"/>
    <w:qFormat/>
    <w:rsid w:val="00c44340"/>
    <w:rPr/>
  </w:style>
  <w:style w:type="character" w:styleId="WW8Num8z3" w:customStyle="1">
    <w:name w:val="WW8Num8z3"/>
    <w:qFormat/>
    <w:rsid w:val="00c44340"/>
    <w:rPr/>
  </w:style>
  <w:style w:type="character" w:styleId="WW8Num10z0" w:customStyle="1">
    <w:name w:val="WW8Num10z0"/>
    <w:qFormat/>
    <w:rsid w:val="00c44340"/>
    <w:rPr/>
  </w:style>
  <w:style w:type="character" w:styleId="WW8Num8z2" w:customStyle="1">
    <w:name w:val="WW8Num8z2"/>
    <w:qFormat/>
    <w:rsid w:val="00c44340"/>
    <w:rPr/>
  </w:style>
  <w:style w:type="character" w:styleId="WW8Num8z4" w:customStyle="1">
    <w:name w:val="WW8Num8z4"/>
    <w:qFormat/>
    <w:rsid w:val="00c44340"/>
    <w:rPr/>
  </w:style>
  <w:style w:type="character" w:styleId="WW8Num8z5" w:customStyle="1">
    <w:name w:val="WW8Num8z5"/>
    <w:qFormat/>
    <w:rsid w:val="00c44340"/>
    <w:rPr/>
  </w:style>
  <w:style w:type="character" w:styleId="WW8Num8z6" w:customStyle="1">
    <w:name w:val="WW8Num8z6"/>
    <w:qFormat/>
    <w:rsid w:val="00c44340"/>
    <w:rPr/>
  </w:style>
  <w:style w:type="character" w:styleId="WW8Num8z7" w:customStyle="1">
    <w:name w:val="WW8Num8z7"/>
    <w:qFormat/>
    <w:rsid w:val="00c44340"/>
    <w:rPr/>
  </w:style>
  <w:style w:type="character" w:styleId="WW8Num8z8" w:customStyle="1">
    <w:name w:val="WW8Num8z8"/>
    <w:qFormat/>
    <w:rsid w:val="00c44340"/>
    <w:rPr/>
  </w:style>
  <w:style w:type="character" w:styleId="WW8Num10z1" w:customStyle="1">
    <w:name w:val="WW8Num10z1"/>
    <w:qFormat/>
    <w:rsid w:val="00c44340"/>
    <w:rPr/>
  </w:style>
  <w:style w:type="character" w:styleId="WW8Num11z0" w:customStyle="1">
    <w:name w:val="WW8Num11z0"/>
    <w:qFormat/>
    <w:rsid w:val="00c44340"/>
    <w:rPr/>
  </w:style>
  <w:style w:type="character" w:styleId="WW8Num11z1" w:customStyle="1">
    <w:name w:val="WW8Num11z1"/>
    <w:qFormat/>
    <w:rsid w:val="00c44340"/>
    <w:rPr/>
  </w:style>
  <w:style w:type="character" w:styleId="WW8Num11z3" w:customStyle="1">
    <w:name w:val="WW8Num11z3"/>
    <w:qFormat/>
    <w:rsid w:val="00c44340"/>
    <w:rPr/>
  </w:style>
  <w:style w:type="character" w:styleId="WW8Num12z0" w:customStyle="1">
    <w:name w:val="WW8Num12z0"/>
    <w:qFormat/>
    <w:rsid w:val="00c44340"/>
    <w:rPr/>
  </w:style>
  <w:style w:type="character" w:styleId="WW8Num12z1" w:customStyle="1">
    <w:name w:val="WW8Num12z1"/>
    <w:qFormat/>
    <w:rsid w:val="00c44340"/>
    <w:rPr/>
  </w:style>
  <w:style w:type="character" w:styleId="WW8Num12z3" w:customStyle="1">
    <w:name w:val="WW8Num12z3"/>
    <w:qFormat/>
    <w:rsid w:val="00c44340"/>
    <w:rPr/>
  </w:style>
  <w:style w:type="character" w:styleId="WW8Num13z0" w:customStyle="1">
    <w:name w:val="WW8Num13z0"/>
    <w:qFormat/>
    <w:rsid w:val="00c44340"/>
    <w:rPr>
      <w:lang w:val="en-US"/>
    </w:rPr>
  </w:style>
  <w:style w:type="character" w:styleId="WW8Num13z1" w:customStyle="1">
    <w:name w:val="WW8Num13z1"/>
    <w:qFormat/>
    <w:rsid w:val="00c44340"/>
    <w:rPr/>
  </w:style>
  <w:style w:type="character" w:styleId="WW8Num13z2" w:customStyle="1">
    <w:name w:val="WW8Num13z2"/>
    <w:qFormat/>
    <w:rsid w:val="00c44340"/>
    <w:rPr/>
  </w:style>
  <w:style w:type="character" w:styleId="WW8Num13z3" w:customStyle="1">
    <w:name w:val="WW8Num13z3"/>
    <w:qFormat/>
    <w:rsid w:val="00c44340"/>
    <w:rPr/>
  </w:style>
  <w:style w:type="character" w:styleId="WW8Num13z4" w:customStyle="1">
    <w:name w:val="WW8Num13z4"/>
    <w:qFormat/>
    <w:rsid w:val="00c44340"/>
    <w:rPr/>
  </w:style>
  <w:style w:type="character" w:styleId="WW8Num13z5" w:customStyle="1">
    <w:name w:val="WW8Num13z5"/>
    <w:qFormat/>
    <w:rsid w:val="00c44340"/>
    <w:rPr/>
  </w:style>
  <w:style w:type="character" w:styleId="WW8Num13z6" w:customStyle="1">
    <w:name w:val="WW8Num13z6"/>
    <w:qFormat/>
    <w:rsid w:val="00c44340"/>
    <w:rPr/>
  </w:style>
  <w:style w:type="character" w:styleId="WW8Num13z7" w:customStyle="1">
    <w:name w:val="WW8Num13z7"/>
    <w:qFormat/>
    <w:rsid w:val="00c44340"/>
    <w:rPr/>
  </w:style>
  <w:style w:type="character" w:styleId="WW8Num13z8" w:customStyle="1">
    <w:name w:val="WW8Num13z8"/>
    <w:qFormat/>
    <w:rsid w:val="00c44340"/>
    <w:rPr/>
  </w:style>
  <w:style w:type="character" w:styleId="WW8Num14z0" w:customStyle="1">
    <w:name w:val="WW8Num14z0"/>
    <w:qFormat/>
    <w:rsid w:val="00c44340"/>
    <w:rPr/>
  </w:style>
  <w:style w:type="character" w:styleId="WW8Num14z1" w:customStyle="1">
    <w:name w:val="WW8Num14z1"/>
    <w:qFormat/>
    <w:rsid w:val="00c44340"/>
    <w:rPr/>
  </w:style>
  <w:style w:type="character" w:styleId="WW8Num14z3" w:customStyle="1">
    <w:name w:val="WW8Num14z3"/>
    <w:qFormat/>
    <w:rsid w:val="00c44340"/>
    <w:rPr/>
  </w:style>
  <w:style w:type="character" w:styleId="WW8Num15z0" w:customStyle="1">
    <w:name w:val="WW8Num15z0"/>
    <w:qFormat/>
    <w:rsid w:val="00c44340"/>
    <w:rPr/>
  </w:style>
  <w:style w:type="character" w:styleId="WW8Num15z1" w:customStyle="1">
    <w:name w:val="WW8Num15z1"/>
    <w:qFormat/>
    <w:rsid w:val="00c44340"/>
    <w:rPr/>
  </w:style>
  <w:style w:type="character" w:styleId="WW8Num15z3" w:customStyle="1">
    <w:name w:val="WW8Num15z3"/>
    <w:qFormat/>
    <w:rsid w:val="00c44340"/>
    <w:rPr/>
  </w:style>
  <w:style w:type="character" w:styleId="WW8Num16z0" w:customStyle="1">
    <w:name w:val="WW8Num16z0"/>
    <w:qFormat/>
    <w:rsid w:val="00c44340"/>
    <w:rPr/>
  </w:style>
  <w:style w:type="character" w:styleId="WW8Num16z1" w:customStyle="1">
    <w:name w:val="WW8Num16z1"/>
    <w:qFormat/>
    <w:rsid w:val="00c44340"/>
    <w:rPr>
      <w:rFonts w:ascii="Courier New" w:hAnsi="Courier New" w:cs="Courier New"/>
    </w:rPr>
  </w:style>
  <w:style w:type="character" w:styleId="WW8Num16z2" w:customStyle="1">
    <w:name w:val="WW8Num16z2"/>
    <w:qFormat/>
    <w:rsid w:val="00c44340"/>
    <w:rPr>
      <w:rFonts w:ascii="Wingdings" w:hAnsi="Wingdings" w:cs="Wingdings"/>
    </w:rPr>
  </w:style>
  <w:style w:type="character" w:styleId="WW8Num17z0" w:customStyle="1">
    <w:name w:val="WW8Num17z0"/>
    <w:qFormat/>
    <w:rsid w:val="00c44340"/>
    <w:rPr/>
  </w:style>
  <w:style w:type="character" w:styleId="WW8Num17z1" w:customStyle="1">
    <w:name w:val="WW8Num17z1"/>
    <w:qFormat/>
    <w:rsid w:val="00c44340"/>
    <w:rPr>
      <w:rFonts w:ascii="Courier New" w:hAnsi="Courier New" w:cs="Courier New"/>
    </w:rPr>
  </w:style>
  <w:style w:type="character" w:styleId="WW8Num17z2" w:customStyle="1">
    <w:name w:val="WW8Num17z2"/>
    <w:qFormat/>
    <w:rsid w:val="00c44340"/>
    <w:rPr>
      <w:rFonts w:ascii="Wingdings" w:hAnsi="Wingdings" w:cs="Wingdings"/>
    </w:rPr>
  </w:style>
  <w:style w:type="character" w:styleId="WWDefaultParagraphFont" w:customStyle="1">
    <w:name w:val="WW-Default Paragraph Font"/>
    <w:qFormat/>
    <w:rsid w:val="00c44340"/>
    <w:rPr/>
  </w:style>
  <w:style w:type="character" w:styleId="Style10" w:customStyle="1">
    <w:name w:val="Интернет-ссылка"/>
    <w:qFormat/>
    <w:rsid w:val="00c44340"/>
    <w:rPr/>
  </w:style>
  <w:style w:type="character" w:styleId="11" w:customStyle="1">
    <w:name w:val="Просмотренная гиперссылка1"/>
    <w:qFormat/>
    <w:rsid w:val="00c44340"/>
    <w:rPr/>
  </w:style>
  <w:style w:type="character" w:styleId="FootnoteReference1" w:customStyle="1">
    <w:name w:val="Footnote Reference1"/>
    <w:qFormat/>
    <w:rsid w:val="00c44340"/>
    <w:rPr/>
  </w:style>
  <w:style w:type="character" w:styleId="PageNumber1" w:customStyle="1">
    <w:name w:val="Page Number1"/>
    <w:basedOn w:val="1"/>
    <w:qFormat/>
    <w:rsid w:val="00c44340"/>
    <w:rPr/>
  </w:style>
  <w:style w:type="character" w:styleId="FootnoteCharacters" w:customStyle="1">
    <w:name w:val="Footnote Characters"/>
    <w:qFormat/>
    <w:rsid w:val="00c44340"/>
    <w:rPr/>
  </w:style>
  <w:style w:type="character" w:styleId="WWAbsatzStandardschriftart" w:customStyle="1">
    <w:name w:val="WW-Absatz-Standardschriftart"/>
    <w:qFormat/>
    <w:rsid w:val="00c44340"/>
    <w:rPr/>
  </w:style>
  <w:style w:type="character" w:styleId="7" w:customStyle="1">
    <w:name w:val="Заголовок 7 Знак"/>
    <w:qFormat/>
    <w:rsid w:val="00c44340"/>
    <w:rPr>
      <w:sz w:val="24"/>
    </w:rPr>
  </w:style>
  <w:style w:type="character" w:styleId="WW8Num10z2" w:customStyle="1">
    <w:name w:val="WW8Num10z2"/>
    <w:qFormat/>
    <w:rsid w:val="00c44340"/>
    <w:rPr/>
  </w:style>
  <w:style w:type="character" w:styleId="WW8Num11z2" w:customStyle="1">
    <w:name w:val="WW8Num11z2"/>
    <w:qFormat/>
    <w:rsid w:val="00c44340"/>
    <w:rPr>
      <w:rFonts w:ascii="Wingdings" w:hAnsi="Wingdings" w:cs="Wingdings"/>
    </w:rPr>
  </w:style>
  <w:style w:type="character" w:styleId="WW8Num12z2" w:customStyle="1">
    <w:name w:val="WW8Num12z2"/>
    <w:qFormat/>
    <w:rsid w:val="00c44340"/>
    <w:rPr>
      <w:rFonts w:ascii="Wingdings" w:hAnsi="Wingdings" w:cs="Wingdings"/>
    </w:rPr>
  </w:style>
  <w:style w:type="character" w:styleId="WW8Num18z0" w:customStyle="1">
    <w:name w:val="WW8Num18z0"/>
    <w:qFormat/>
    <w:rsid w:val="00c44340"/>
    <w:rPr>
      <w:rFonts w:ascii="Symbol" w:hAnsi="Symbol" w:cs="Symbol"/>
    </w:rPr>
  </w:style>
  <w:style w:type="character" w:styleId="WW8Num18z1" w:customStyle="1">
    <w:name w:val="WW8Num18z1"/>
    <w:qFormat/>
    <w:rsid w:val="00c44340"/>
    <w:rPr>
      <w:rFonts w:ascii="Courier New" w:hAnsi="Courier New" w:cs="Courier New"/>
    </w:rPr>
  </w:style>
  <w:style w:type="character" w:styleId="WW8Num18z2" w:customStyle="1">
    <w:name w:val="WW8Num18z2"/>
    <w:qFormat/>
    <w:rsid w:val="00c44340"/>
    <w:rPr>
      <w:rFonts w:ascii="Wingdings" w:hAnsi="Wingdings" w:cs="Wingdings"/>
    </w:rPr>
  </w:style>
  <w:style w:type="character" w:styleId="WW8Num19z0" w:customStyle="1">
    <w:name w:val="WW8Num19z0"/>
    <w:qFormat/>
    <w:rsid w:val="00c44340"/>
    <w:rPr>
      <w:rFonts w:ascii="Times New Roman" w:hAnsi="Times New Roman" w:cs="Times New Roman"/>
    </w:rPr>
  </w:style>
  <w:style w:type="character" w:styleId="WW8Num20z0" w:customStyle="1">
    <w:name w:val="WW8Num20z0"/>
    <w:qFormat/>
    <w:rsid w:val="00c44340"/>
    <w:rPr>
      <w:rFonts w:ascii="Symbol" w:hAnsi="Symbol" w:cs="Symbol"/>
    </w:rPr>
  </w:style>
  <w:style w:type="character" w:styleId="WW8Num20z1" w:customStyle="1">
    <w:name w:val="WW8Num20z1"/>
    <w:qFormat/>
    <w:rsid w:val="00c44340"/>
    <w:rPr>
      <w:rFonts w:ascii="Courier New" w:hAnsi="Courier New" w:cs="Courier New"/>
    </w:rPr>
  </w:style>
  <w:style w:type="character" w:styleId="WW8Num20z2" w:customStyle="1">
    <w:name w:val="WW8Num20z2"/>
    <w:qFormat/>
    <w:rsid w:val="00c44340"/>
    <w:rPr>
      <w:rFonts w:ascii="Wingdings" w:hAnsi="Wingdings" w:cs="Wingdings"/>
    </w:rPr>
  </w:style>
  <w:style w:type="character" w:styleId="WW8Num21z0" w:customStyle="1">
    <w:name w:val="WW8Num21z0"/>
    <w:qFormat/>
    <w:rsid w:val="00c44340"/>
    <w:rPr>
      <w:rFonts w:ascii="Times New Roman" w:hAnsi="Times New Roman" w:cs="Times New Roman"/>
    </w:rPr>
  </w:style>
  <w:style w:type="character" w:styleId="WW8Num22z0" w:customStyle="1">
    <w:name w:val="WW8Num22z0"/>
    <w:qFormat/>
    <w:rsid w:val="00c44340"/>
    <w:rPr>
      <w:rFonts w:ascii="Times New Roman" w:hAnsi="Times New Roman" w:cs="Times New Roman"/>
    </w:rPr>
  </w:style>
  <w:style w:type="character" w:styleId="WW8Num24z0" w:customStyle="1">
    <w:name w:val="WW8Num24z0"/>
    <w:qFormat/>
    <w:rsid w:val="00c44340"/>
    <w:rPr>
      <w:rFonts w:ascii="Times New Roman" w:hAnsi="Times New Roman" w:cs="Times New Roman"/>
    </w:rPr>
  </w:style>
  <w:style w:type="character" w:styleId="WW8Num25z0" w:customStyle="1">
    <w:name w:val="WW8Num25z0"/>
    <w:qFormat/>
    <w:rsid w:val="00c44340"/>
    <w:rPr>
      <w:rFonts w:ascii="Times New Roman" w:hAnsi="Times New Roman" w:cs="Times New Roman"/>
    </w:rPr>
  </w:style>
  <w:style w:type="character" w:styleId="WW8NumSt22z0" w:customStyle="1">
    <w:name w:val="WW8NumSt22z0"/>
    <w:qFormat/>
    <w:rsid w:val="00c44340"/>
    <w:rPr>
      <w:rFonts w:ascii="Times New Roman" w:hAnsi="Times New Roman" w:cs="Times New Roman"/>
    </w:rPr>
  </w:style>
  <w:style w:type="character" w:styleId="WW8NumSt23z0" w:customStyle="1">
    <w:name w:val="WW8NumSt23z0"/>
    <w:qFormat/>
    <w:rsid w:val="00c44340"/>
    <w:rPr>
      <w:rFonts w:ascii="Times New Roman" w:hAnsi="Times New Roman" w:cs="Times New Roman"/>
    </w:rPr>
  </w:style>
  <w:style w:type="character" w:styleId="WW8NumSt25z0" w:customStyle="1">
    <w:name w:val="WW8NumSt25z0"/>
    <w:qFormat/>
    <w:rsid w:val="00c44340"/>
    <w:rPr>
      <w:rFonts w:ascii="Times New Roman" w:hAnsi="Times New Roman" w:cs="Times New Roman"/>
    </w:rPr>
  </w:style>
  <w:style w:type="character" w:styleId="WW8NumSt26z0" w:customStyle="1">
    <w:name w:val="WW8NumSt26z0"/>
    <w:qFormat/>
    <w:rsid w:val="00c44340"/>
    <w:rPr>
      <w:rFonts w:ascii="Times New Roman" w:hAnsi="Times New Roman" w:cs="Times New Roman"/>
    </w:rPr>
  </w:style>
  <w:style w:type="character" w:styleId="WW8NumSt27z0" w:customStyle="1">
    <w:name w:val="WW8NumSt27z0"/>
    <w:qFormat/>
    <w:rsid w:val="00c44340"/>
    <w:rPr>
      <w:rFonts w:ascii="Times New Roman" w:hAnsi="Times New Roman" w:cs="Times New Roman"/>
    </w:rPr>
  </w:style>
  <w:style w:type="character" w:styleId="WW8NumSt28z0" w:customStyle="1">
    <w:name w:val="WW8NumSt28z0"/>
    <w:qFormat/>
    <w:rsid w:val="00c44340"/>
    <w:rPr>
      <w:rFonts w:ascii="Times New Roman" w:hAnsi="Times New Roman" w:cs="Times New Roman"/>
    </w:rPr>
  </w:style>
  <w:style w:type="character" w:styleId="WWDefaultParagraphFont1" w:customStyle="1">
    <w:name w:val="WW-Default Paragraph Font1"/>
    <w:qFormat/>
    <w:rsid w:val="00c44340"/>
    <w:rPr/>
  </w:style>
  <w:style w:type="character" w:styleId="WWDefaultParagraphFont11" w:customStyle="1">
    <w:name w:val="WW-Default Paragraph Font11"/>
    <w:qFormat/>
    <w:rsid w:val="00c44340"/>
    <w:rPr/>
  </w:style>
  <w:style w:type="character" w:styleId="WWFootnoteCharacters" w:customStyle="1">
    <w:name w:val="WW-Footnote Characters"/>
    <w:qFormat/>
    <w:rsid w:val="00c44340"/>
    <w:rPr>
      <w:vertAlign w:val="superscript"/>
    </w:rPr>
  </w:style>
  <w:style w:type="character" w:styleId="RTFNum221" w:customStyle="1">
    <w:name w:val="RTF_Num 22 1"/>
    <w:qFormat/>
    <w:rsid w:val="00c44340"/>
    <w:rPr/>
  </w:style>
  <w:style w:type="character" w:styleId="RTFNum222" w:customStyle="1">
    <w:name w:val="RTF_Num 22 2"/>
    <w:qFormat/>
    <w:rsid w:val="00c44340"/>
    <w:rPr/>
  </w:style>
  <w:style w:type="character" w:styleId="RTFNum223" w:customStyle="1">
    <w:name w:val="RTF_Num 22 3"/>
    <w:qFormat/>
    <w:rsid w:val="00c44340"/>
    <w:rPr/>
  </w:style>
  <w:style w:type="character" w:styleId="RTFNum224" w:customStyle="1">
    <w:name w:val="RTF_Num 22 4"/>
    <w:qFormat/>
    <w:rsid w:val="00c44340"/>
    <w:rPr/>
  </w:style>
  <w:style w:type="character" w:styleId="RTFNum225" w:customStyle="1">
    <w:name w:val="RTF_Num 22 5"/>
    <w:qFormat/>
    <w:rsid w:val="00c44340"/>
    <w:rPr/>
  </w:style>
  <w:style w:type="character" w:styleId="RTFNum226" w:customStyle="1">
    <w:name w:val="RTF_Num 22 6"/>
    <w:qFormat/>
    <w:rsid w:val="00c44340"/>
    <w:rPr/>
  </w:style>
  <w:style w:type="character" w:styleId="RTFNum227" w:customStyle="1">
    <w:name w:val="RTF_Num 22 7"/>
    <w:qFormat/>
    <w:rsid w:val="00c44340"/>
    <w:rPr/>
  </w:style>
  <w:style w:type="character" w:styleId="RTFNum228" w:customStyle="1">
    <w:name w:val="RTF_Num 22 8"/>
    <w:qFormat/>
    <w:rsid w:val="00c44340"/>
    <w:rPr/>
  </w:style>
  <w:style w:type="character" w:styleId="RTFNum229" w:customStyle="1">
    <w:name w:val="RTF_Num 22 9"/>
    <w:qFormat/>
    <w:rsid w:val="00c44340"/>
    <w:rPr/>
  </w:style>
  <w:style w:type="character" w:styleId="RTFNum91" w:customStyle="1">
    <w:name w:val="RTF_Num 9 1"/>
    <w:qFormat/>
    <w:rsid w:val="00c44340"/>
    <w:rPr/>
  </w:style>
  <w:style w:type="character" w:styleId="RTFNum92" w:customStyle="1">
    <w:name w:val="RTF_Num 9 2"/>
    <w:qFormat/>
    <w:rsid w:val="00c44340"/>
    <w:rPr/>
  </w:style>
  <w:style w:type="character" w:styleId="RTFNum93" w:customStyle="1">
    <w:name w:val="RTF_Num 9 3"/>
    <w:qFormat/>
    <w:rsid w:val="00c44340"/>
    <w:rPr/>
  </w:style>
  <w:style w:type="character" w:styleId="RTFNum94" w:customStyle="1">
    <w:name w:val="RTF_Num 9 4"/>
    <w:qFormat/>
    <w:rsid w:val="00c44340"/>
    <w:rPr/>
  </w:style>
  <w:style w:type="character" w:styleId="RTFNum95" w:customStyle="1">
    <w:name w:val="RTF_Num 9 5"/>
    <w:qFormat/>
    <w:rsid w:val="00c44340"/>
    <w:rPr/>
  </w:style>
  <w:style w:type="character" w:styleId="RTFNum96" w:customStyle="1">
    <w:name w:val="RTF_Num 9 6"/>
    <w:qFormat/>
    <w:rsid w:val="00c44340"/>
    <w:rPr/>
  </w:style>
  <w:style w:type="character" w:styleId="RTFNum97" w:customStyle="1">
    <w:name w:val="RTF_Num 9 7"/>
    <w:qFormat/>
    <w:rsid w:val="00c44340"/>
    <w:rPr/>
  </w:style>
  <w:style w:type="character" w:styleId="RTFNum98" w:customStyle="1">
    <w:name w:val="RTF_Num 9 8"/>
    <w:qFormat/>
    <w:rsid w:val="00c44340"/>
    <w:rPr/>
  </w:style>
  <w:style w:type="character" w:styleId="RTFNum99" w:customStyle="1">
    <w:name w:val="RTF_Num 9 9"/>
    <w:qFormat/>
    <w:rsid w:val="00c44340"/>
    <w:rPr/>
  </w:style>
  <w:style w:type="character" w:styleId="RTFNum231" w:customStyle="1">
    <w:name w:val="RTF_Num 23 1"/>
    <w:qFormat/>
    <w:rsid w:val="00c44340"/>
    <w:rPr/>
  </w:style>
  <w:style w:type="character" w:styleId="RTFNum232" w:customStyle="1">
    <w:name w:val="RTF_Num 23 2"/>
    <w:qFormat/>
    <w:rsid w:val="00c44340"/>
    <w:rPr/>
  </w:style>
  <w:style w:type="character" w:styleId="RTFNum233" w:customStyle="1">
    <w:name w:val="RTF_Num 23 3"/>
    <w:qFormat/>
    <w:rsid w:val="00c44340"/>
    <w:rPr/>
  </w:style>
  <w:style w:type="character" w:styleId="RTFNum234" w:customStyle="1">
    <w:name w:val="RTF_Num 23 4"/>
    <w:qFormat/>
    <w:rsid w:val="00c44340"/>
    <w:rPr/>
  </w:style>
  <w:style w:type="character" w:styleId="RTFNum235" w:customStyle="1">
    <w:name w:val="RTF_Num 23 5"/>
    <w:qFormat/>
    <w:rsid w:val="00c44340"/>
    <w:rPr/>
  </w:style>
  <w:style w:type="character" w:styleId="RTFNum236" w:customStyle="1">
    <w:name w:val="RTF_Num 23 6"/>
    <w:qFormat/>
    <w:rsid w:val="00c44340"/>
    <w:rPr/>
  </w:style>
  <w:style w:type="character" w:styleId="RTFNum237" w:customStyle="1">
    <w:name w:val="RTF_Num 23 7"/>
    <w:qFormat/>
    <w:rsid w:val="00c44340"/>
    <w:rPr/>
  </w:style>
  <w:style w:type="character" w:styleId="RTFNum238" w:customStyle="1">
    <w:name w:val="RTF_Num 23 8"/>
    <w:qFormat/>
    <w:rsid w:val="00c44340"/>
    <w:rPr/>
  </w:style>
  <w:style w:type="character" w:styleId="RTFNum239" w:customStyle="1">
    <w:name w:val="RTF_Num 23 9"/>
    <w:qFormat/>
    <w:rsid w:val="00c44340"/>
    <w:rPr/>
  </w:style>
  <w:style w:type="character" w:styleId="RTFNum171" w:customStyle="1">
    <w:name w:val="RTF_Num 17 1"/>
    <w:qFormat/>
    <w:rsid w:val="00c44340"/>
    <w:rPr/>
  </w:style>
  <w:style w:type="character" w:styleId="RTFNum172" w:customStyle="1">
    <w:name w:val="RTF_Num 17 2"/>
    <w:qFormat/>
    <w:rsid w:val="00c44340"/>
    <w:rPr/>
  </w:style>
  <w:style w:type="character" w:styleId="RTFNum173" w:customStyle="1">
    <w:name w:val="RTF_Num 17 3"/>
    <w:qFormat/>
    <w:rsid w:val="00c44340"/>
    <w:rPr/>
  </w:style>
  <w:style w:type="character" w:styleId="RTFNum174" w:customStyle="1">
    <w:name w:val="RTF_Num 17 4"/>
    <w:qFormat/>
    <w:rsid w:val="00c44340"/>
    <w:rPr/>
  </w:style>
  <w:style w:type="character" w:styleId="RTFNum175" w:customStyle="1">
    <w:name w:val="RTF_Num 17 5"/>
    <w:qFormat/>
    <w:rsid w:val="00c44340"/>
    <w:rPr/>
  </w:style>
  <w:style w:type="character" w:styleId="RTFNum176" w:customStyle="1">
    <w:name w:val="RTF_Num 17 6"/>
    <w:qFormat/>
    <w:rsid w:val="00c44340"/>
    <w:rPr/>
  </w:style>
  <w:style w:type="character" w:styleId="RTFNum177" w:customStyle="1">
    <w:name w:val="RTF_Num 17 7"/>
    <w:qFormat/>
    <w:rsid w:val="00c44340"/>
    <w:rPr/>
  </w:style>
  <w:style w:type="character" w:styleId="RTFNum178" w:customStyle="1">
    <w:name w:val="RTF_Num 17 8"/>
    <w:qFormat/>
    <w:rsid w:val="00c44340"/>
    <w:rPr/>
  </w:style>
  <w:style w:type="character" w:styleId="RTFNum179" w:customStyle="1">
    <w:name w:val="RTF_Num 17 9"/>
    <w:qFormat/>
    <w:rsid w:val="00c44340"/>
    <w:rPr/>
  </w:style>
  <w:style w:type="character" w:styleId="RTFNum51" w:customStyle="1">
    <w:name w:val="RTF_Num 5 1"/>
    <w:qFormat/>
    <w:rsid w:val="00c44340"/>
    <w:rPr/>
  </w:style>
  <w:style w:type="character" w:styleId="RTFNum52" w:customStyle="1">
    <w:name w:val="RTF_Num 5 2"/>
    <w:qFormat/>
    <w:rsid w:val="00c44340"/>
    <w:rPr/>
  </w:style>
  <w:style w:type="character" w:styleId="RTFNum53" w:customStyle="1">
    <w:name w:val="RTF_Num 5 3"/>
    <w:qFormat/>
    <w:rsid w:val="00c44340"/>
    <w:rPr/>
  </w:style>
  <w:style w:type="character" w:styleId="RTFNum54" w:customStyle="1">
    <w:name w:val="RTF_Num 5 4"/>
    <w:qFormat/>
    <w:rsid w:val="00c44340"/>
    <w:rPr/>
  </w:style>
  <w:style w:type="character" w:styleId="RTFNum55" w:customStyle="1">
    <w:name w:val="RTF_Num 5 5"/>
    <w:qFormat/>
    <w:rsid w:val="00c44340"/>
    <w:rPr/>
  </w:style>
  <w:style w:type="character" w:styleId="RTFNum56" w:customStyle="1">
    <w:name w:val="RTF_Num 5 6"/>
    <w:qFormat/>
    <w:rsid w:val="00c44340"/>
    <w:rPr/>
  </w:style>
  <w:style w:type="character" w:styleId="RTFNum57" w:customStyle="1">
    <w:name w:val="RTF_Num 5 7"/>
    <w:qFormat/>
    <w:rsid w:val="00c44340"/>
    <w:rPr/>
  </w:style>
  <w:style w:type="character" w:styleId="RTFNum58" w:customStyle="1">
    <w:name w:val="RTF_Num 5 8"/>
    <w:qFormat/>
    <w:rsid w:val="00c44340"/>
    <w:rPr/>
  </w:style>
  <w:style w:type="character" w:styleId="RTFNum59" w:customStyle="1">
    <w:name w:val="RTF_Num 5 9"/>
    <w:qFormat/>
    <w:rsid w:val="00c44340"/>
    <w:rPr/>
  </w:style>
  <w:style w:type="character" w:styleId="RTFNum81" w:customStyle="1">
    <w:name w:val="RTF_Num 8 1"/>
    <w:qFormat/>
    <w:rsid w:val="00c44340"/>
    <w:rPr/>
  </w:style>
  <w:style w:type="character" w:styleId="RTFNum82" w:customStyle="1">
    <w:name w:val="RTF_Num 8 2"/>
    <w:qFormat/>
    <w:rsid w:val="00c44340"/>
    <w:rPr/>
  </w:style>
  <w:style w:type="character" w:styleId="RTFNum83" w:customStyle="1">
    <w:name w:val="RTF_Num 8 3"/>
    <w:qFormat/>
    <w:rsid w:val="00c44340"/>
    <w:rPr/>
  </w:style>
  <w:style w:type="character" w:styleId="RTFNum84" w:customStyle="1">
    <w:name w:val="RTF_Num 8 4"/>
    <w:qFormat/>
    <w:rsid w:val="00c44340"/>
    <w:rPr/>
  </w:style>
  <w:style w:type="character" w:styleId="RTFNum85" w:customStyle="1">
    <w:name w:val="RTF_Num 8 5"/>
    <w:qFormat/>
    <w:rsid w:val="00c44340"/>
    <w:rPr/>
  </w:style>
  <w:style w:type="character" w:styleId="RTFNum86" w:customStyle="1">
    <w:name w:val="RTF_Num 8 6"/>
    <w:qFormat/>
    <w:rsid w:val="00c44340"/>
    <w:rPr/>
  </w:style>
  <w:style w:type="character" w:styleId="RTFNum87" w:customStyle="1">
    <w:name w:val="RTF_Num 8 7"/>
    <w:qFormat/>
    <w:rsid w:val="00c44340"/>
    <w:rPr/>
  </w:style>
  <w:style w:type="character" w:styleId="RTFNum88" w:customStyle="1">
    <w:name w:val="RTF_Num 8 8"/>
    <w:qFormat/>
    <w:rsid w:val="00c44340"/>
    <w:rPr/>
  </w:style>
  <w:style w:type="character" w:styleId="RTFNum89" w:customStyle="1">
    <w:name w:val="RTF_Num 8 9"/>
    <w:qFormat/>
    <w:rsid w:val="00c44340"/>
    <w:rPr/>
  </w:style>
  <w:style w:type="character" w:styleId="RTFNum61" w:customStyle="1">
    <w:name w:val="RTF_Num 6 1"/>
    <w:qFormat/>
    <w:rsid w:val="00c44340"/>
    <w:rPr/>
  </w:style>
  <w:style w:type="character" w:styleId="RTFNum62" w:customStyle="1">
    <w:name w:val="RTF_Num 6 2"/>
    <w:qFormat/>
    <w:rsid w:val="00c44340"/>
    <w:rPr/>
  </w:style>
  <w:style w:type="character" w:styleId="RTFNum63" w:customStyle="1">
    <w:name w:val="RTF_Num 6 3"/>
    <w:qFormat/>
    <w:rsid w:val="00c44340"/>
    <w:rPr/>
  </w:style>
  <w:style w:type="character" w:styleId="RTFNum64" w:customStyle="1">
    <w:name w:val="RTF_Num 6 4"/>
    <w:qFormat/>
    <w:rsid w:val="00c44340"/>
    <w:rPr/>
  </w:style>
  <w:style w:type="character" w:styleId="RTFNum65" w:customStyle="1">
    <w:name w:val="RTF_Num 6 5"/>
    <w:qFormat/>
    <w:rsid w:val="00c44340"/>
    <w:rPr/>
  </w:style>
  <w:style w:type="character" w:styleId="RTFNum66" w:customStyle="1">
    <w:name w:val="RTF_Num 6 6"/>
    <w:qFormat/>
    <w:rsid w:val="00c44340"/>
    <w:rPr/>
  </w:style>
  <w:style w:type="character" w:styleId="RTFNum67" w:customStyle="1">
    <w:name w:val="RTF_Num 6 7"/>
    <w:qFormat/>
    <w:rsid w:val="00c44340"/>
    <w:rPr/>
  </w:style>
  <w:style w:type="character" w:styleId="RTFNum68" w:customStyle="1">
    <w:name w:val="RTF_Num 6 8"/>
    <w:qFormat/>
    <w:rsid w:val="00c44340"/>
    <w:rPr/>
  </w:style>
  <w:style w:type="character" w:styleId="RTFNum69" w:customStyle="1">
    <w:name w:val="RTF_Num 6 9"/>
    <w:qFormat/>
    <w:rsid w:val="00c44340"/>
    <w:rPr/>
  </w:style>
  <w:style w:type="character" w:styleId="RTFNum131" w:customStyle="1">
    <w:name w:val="RTF_Num 13 1"/>
    <w:qFormat/>
    <w:rsid w:val="00c44340"/>
    <w:rPr/>
  </w:style>
  <w:style w:type="character" w:styleId="RTFNum132" w:customStyle="1">
    <w:name w:val="RTF_Num 13 2"/>
    <w:qFormat/>
    <w:rsid w:val="00c44340"/>
    <w:rPr/>
  </w:style>
  <w:style w:type="character" w:styleId="RTFNum133" w:customStyle="1">
    <w:name w:val="RTF_Num 13 3"/>
    <w:qFormat/>
    <w:rsid w:val="00c44340"/>
    <w:rPr/>
  </w:style>
  <w:style w:type="character" w:styleId="RTFNum134" w:customStyle="1">
    <w:name w:val="RTF_Num 13 4"/>
    <w:qFormat/>
    <w:rsid w:val="00c44340"/>
    <w:rPr/>
  </w:style>
  <w:style w:type="character" w:styleId="RTFNum135" w:customStyle="1">
    <w:name w:val="RTF_Num 13 5"/>
    <w:qFormat/>
    <w:rsid w:val="00c44340"/>
    <w:rPr/>
  </w:style>
  <w:style w:type="character" w:styleId="RTFNum136" w:customStyle="1">
    <w:name w:val="RTF_Num 13 6"/>
    <w:qFormat/>
    <w:rsid w:val="00c44340"/>
    <w:rPr/>
  </w:style>
  <w:style w:type="character" w:styleId="RTFNum137" w:customStyle="1">
    <w:name w:val="RTF_Num 13 7"/>
    <w:qFormat/>
    <w:rsid w:val="00c44340"/>
    <w:rPr/>
  </w:style>
  <w:style w:type="character" w:styleId="RTFNum138" w:customStyle="1">
    <w:name w:val="RTF_Num 13 8"/>
    <w:qFormat/>
    <w:rsid w:val="00c44340"/>
    <w:rPr/>
  </w:style>
  <w:style w:type="character" w:styleId="RTFNum139" w:customStyle="1">
    <w:name w:val="RTF_Num 13 9"/>
    <w:qFormat/>
    <w:rsid w:val="00c44340"/>
    <w:rPr/>
  </w:style>
  <w:style w:type="character" w:styleId="RTFNum331" w:customStyle="1">
    <w:name w:val="RTF_Num 33 1"/>
    <w:qFormat/>
    <w:rsid w:val="00c44340"/>
    <w:rPr/>
  </w:style>
  <w:style w:type="character" w:styleId="RTFNum332" w:customStyle="1">
    <w:name w:val="RTF_Num 33 2"/>
    <w:qFormat/>
    <w:rsid w:val="00c44340"/>
    <w:rPr/>
  </w:style>
  <w:style w:type="character" w:styleId="RTFNum333" w:customStyle="1">
    <w:name w:val="RTF_Num 33 3"/>
    <w:qFormat/>
    <w:rsid w:val="00c44340"/>
    <w:rPr/>
  </w:style>
  <w:style w:type="character" w:styleId="RTFNum334" w:customStyle="1">
    <w:name w:val="RTF_Num 33 4"/>
    <w:qFormat/>
    <w:rsid w:val="00c44340"/>
    <w:rPr/>
  </w:style>
  <w:style w:type="character" w:styleId="RTFNum335" w:customStyle="1">
    <w:name w:val="RTF_Num 33 5"/>
    <w:qFormat/>
    <w:rsid w:val="00c44340"/>
    <w:rPr/>
  </w:style>
  <w:style w:type="character" w:styleId="RTFNum336" w:customStyle="1">
    <w:name w:val="RTF_Num 33 6"/>
    <w:qFormat/>
    <w:rsid w:val="00c44340"/>
    <w:rPr/>
  </w:style>
  <w:style w:type="character" w:styleId="RTFNum337" w:customStyle="1">
    <w:name w:val="RTF_Num 33 7"/>
    <w:qFormat/>
    <w:rsid w:val="00c44340"/>
    <w:rPr/>
  </w:style>
  <w:style w:type="character" w:styleId="RTFNum338" w:customStyle="1">
    <w:name w:val="RTF_Num 33 8"/>
    <w:qFormat/>
    <w:rsid w:val="00c44340"/>
    <w:rPr/>
  </w:style>
  <w:style w:type="character" w:styleId="RTFNum339" w:customStyle="1">
    <w:name w:val="RTF_Num 33 9"/>
    <w:qFormat/>
    <w:rsid w:val="00c44340"/>
    <w:rPr/>
  </w:style>
  <w:style w:type="character" w:styleId="Style11" w:customStyle="1">
    <w:name w:val="Маркеры списка"/>
    <w:qFormat/>
    <w:rsid w:val="00c44340"/>
    <w:rPr/>
  </w:style>
  <w:style w:type="character" w:styleId="Style12" w:customStyle="1">
    <w:name w:val="Выделение"/>
    <w:qFormat/>
    <w:rsid w:val="00c44340"/>
    <w:rPr>
      <w:i/>
      <w:iCs/>
    </w:rPr>
  </w:style>
  <w:style w:type="character" w:styleId="Style13" w:customStyle="1">
    <w:name w:val="Подзаголовок Знак"/>
    <w:qFormat/>
    <w:rsid w:val="00c44340"/>
    <w:rPr/>
  </w:style>
  <w:style w:type="character" w:styleId="Strong">
    <w:name w:val="Strong"/>
    <w:qFormat/>
    <w:rsid w:val="00c44340"/>
    <w:rPr/>
  </w:style>
  <w:style w:type="character" w:styleId="Longtext" w:customStyle="1">
    <w:name w:val="long_text"/>
    <w:basedOn w:val="1"/>
    <w:qFormat/>
    <w:rsid w:val="00c44340"/>
    <w:rPr/>
  </w:style>
  <w:style w:type="character" w:styleId="Hps" w:customStyle="1">
    <w:name w:val="hps"/>
    <w:basedOn w:val="1"/>
    <w:qFormat/>
    <w:rsid w:val="00c44340"/>
    <w:rPr/>
  </w:style>
  <w:style w:type="character" w:styleId="AbsatzStandardschriftart" w:customStyle="1">
    <w:name w:val="Absatz-Standardschriftart"/>
    <w:qFormat/>
    <w:rsid w:val="00c44340"/>
    <w:rPr/>
  </w:style>
  <w:style w:type="character" w:styleId="WWAbsatzStandardschriftart1" w:customStyle="1">
    <w:name w:val="WW-Absatz-Standardschriftart1"/>
    <w:qFormat/>
    <w:rsid w:val="00c44340"/>
    <w:rPr/>
  </w:style>
  <w:style w:type="character" w:styleId="WWAbsatzStandardschriftart11" w:customStyle="1">
    <w:name w:val="WW-Absatz-Standardschriftart11"/>
    <w:qFormat/>
    <w:rsid w:val="00c44340"/>
    <w:rPr/>
  </w:style>
  <w:style w:type="character" w:styleId="WW8Num14z2" w:customStyle="1">
    <w:name w:val="WW8Num14z2"/>
    <w:qFormat/>
    <w:rsid w:val="00c44340"/>
    <w:rPr>
      <w:rFonts w:ascii="Wingdings" w:hAnsi="Wingdings" w:cs="Wingdings"/>
    </w:rPr>
  </w:style>
  <w:style w:type="character" w:styleId="WW8Num18z3" w:customStyle="1">
    <w:name w:val="WW8Num18z3"/>
    <w:qFormat/>
    <w:rsid w:val="00c44340"/>
    <w:rPr>
      <w:rFonts w:ascii="Symbol" w:hAnsi="Symbol" w:cs="Symbol"/>
    </w:rPr>
  </w:style>
  <w:style w:type="character" w:styleId="WW8Num22z1" w:customStyle="1">
    <w:name w:val="WW8Num22z1"/>
    <w:qFormat/>
    <w:rsid w:val="00c44340"/>
    <w:rPr>
      <w:rFonts w:ascii="Courier New" w:hAnsi="Courier New" w:cs="Courier New"/>
    </w:rPr>
  </w:style>
  <w:style w:type="character" w:styleId="WW8Num22z2" w:customStyle="1">
    <w:name w:val="WW8Num22z2"/>
    <w:qFormat/>
    <w:rsid w:val="00c44340"/>
    <w:rPr>
      <w:rFonts w:ascii="Wingdings" w:hAnsi="Wingdings" w:cs="Wingdings"/>
    </w:rPr>
  </w:style>
  <w:style w:type="character" w:styleId="WW8Num22z3" w:customStyle="1">
    <w:name w:val="WW8Num22z3"/>
    <w:qFormat/>
    <w:rsid w:val="00c44340"/>
    <w:rPr>
      <w:rFonts w:ascii="Symbol" w:hAnsi="Symbol" w:cs="Symbol"/>
    </w:rPr>
  </w:style>
  <w:style w:type="character" w:styleId="WWAbsatzStandardschriftart111" w:customStyle="1">
    <w:name w:val="WW-Absatz-Standardschriftart111"/>
    <w:qFormat/>
    <w:rsid w:val="00c44340"/>
    <w:rPr/>
  </w:style>
  <w:style w:type="character" w:styleId="WWDefaultParagraphFont111" w:customStyle="1">
    <w:name w:val="WW-Default Paragraph Font111"/>
    <w:qFormat/>
    <w:rsid w:val="00c44340"/>
    <w:rPr/>
  </w:style>
  <w:style w:type="character" w:styleId="WWInternetLink" w:customStyle="1">
    <w:name w:val="WW-Internet Link"/>
    <w:qFormat/>
    <w:rsid w:val="00c44340"/>
    <w:rPr/>
  </w:style>
  <w:style w:type="character" w:styleId="FollowedHyperlink">
    <w:name w:val="FollowedHyperlink"/>
    <w:qFormat/>
    <w:rsid w:val="00c44340"/>
    <w:rPr/>
  </w:style>
  <w:style w:type="character" w:styleId="Style14" w:customStyle="1">
    <w:name w:val="Текст сноски Знак"/>
    <w:qFormat/>
    <w:rsid w:val="00c44340"/>
    <w:rPr/>
  </w:style>
  <w:style w:type="character" w:styleId="Style15" w:customStyle="1">
    <w:name w:val="Основной текст Знак"/>
    <w:qFormat/>
    <w:rsid w:val="00c44340"/>
    <w:rPr>
      <w:sz w:val="24"/>
      <w:szCs w:val="24"/>
    </w:rPr>
  </w:style>
  <w:style w:type="character" w:styleId="Style16" w:customStyle="1">
    <w:name w:val="Основной текст с отступом Знак"/>
    <w:qFormat/>
    <w:rsid w:val="00c44340"/>
    <w:rPr/>
  </w:style>
  <w:style w:type="character" w:styleId="Style17" w:customStyle="1">
    <w:name w:val="Текст выноски Знак"/>
    <w:qFormat/>
    <w:rsid w:val="00c44340"/>
    <w:rPr/>
  </w:style>
  <w:style w:type="character" w:styleId="ListLabel1" w:customStyle="1">
    <w:name w:val="ListLabel 1"/>
    <w:qFormat/>
    <w:rsid w:val="00c44340"/>
    <w:rPr>
      <w:sz w:val="20"/>
    </w:rPr>
  </w:style>
  <w:style w:type="character" w:styleId="ListLabel2" w:customStyle="1">
    <w:name w:val="ListLabel 2"/>
    <w:qFormat/>
    <w:rsid w:val="00c44340"/>
    <w:rPr>
      <w:rFonts w:eastAsia="Times New Roman" w:cs="Times New Roman"/>
    </w:rPr>
  </w:style>
  <w:style w:type="character" w:styleId="ListLabel3" w:customStyle="1">
    <w:name w:val="ListLabel 3"/>
    <w:qFormat/>
    <w:rsid w:val="00c44340"/>
    <w:rPr>
      <w:rFonts w:cs="Courier New"/>
    </w:rPr>
  </w:style>
  <w:style w:type="character" w:styleId="Pagenumber">
    <w:name w:val="page number"/>
    <w:qFormat/>
    <w:rsid w:val="00c44340"/>
    <w:rPr/>
  </w:style>
  <w:style w:type="character" w:styleId="Style18" w:customStyle="1">
    <w:name w:val="Символ нумерации"/>
    <w:qFormat/>
    <w:rsid w:val="00c44340"/>
    <w:rPr/>
  </w:style>
  <w:style w:type="character" w:styleId="HeaderChar" w:customStyle="1">
    <w:name w:val="Header Char"/>
    <w:qFormat/>
    <w:rsid w:val="00c44340"/>
    <w:rPr/>
  </w:style>
  <w:style w:type="character" w:styleId="NoSpacingChar" w:customStyle="1">
    <w:name w:val="No Spacing Char"/>
    <w:qFormat/>
    <w:rsid w:val="00c44340"/>
    <w:rPr>
      <w:rFonts w:ascii="PMingLiU" w:hAnsi="PMingLiU" w:eastAsia="ＭＳ 明朝" w:cs="PMingLiU"/>
      <w:sz w:val="22"/>
      <w:szCs w:val="22"/>
      <w:lang w:val="en-US"/>
    </w:rPr>
  </w:style>
  <w:style w:type="character" w:styleId="12" w:customStyle="1">
    <w:name w:val="Текст выноски Знак1"/>
    <w:basedOn w:val="DefaultParagraphFont"/>
    <w:uiPriority w:val="99"/>
    <w:semiHidden/>
    <w:qFormat/>
    <w:rsid w:val="00c15bbb"/>
    <w:rPr>
      <w:rFonts w:ascii="Tahoma" w:hAnsi="Tahoma" w:cs="Tahoma"/>
      <w:sz w:val="16"/>
      <w:szCs w:val="16"/>
      <w:lang w:eastAsia="zh-CN"/>
    </w:rPr>
  </w:style>
  <w:style w:type="character" w:styleId="ListLabel4" w:customStyle="1">
    <w:name w:val="ListLabel 4"/>
    <w:qFormat/>
    <w:rPr>
      <w:rFonts w:cs="Symbol"/>
      <w:color w:val="000000"/>
      <w:lang w:val="en-US"/>
    </w:rPr>
  </w:style>
  <w:style w:type="character" w:styleId="ListLabel5" w:customStyle="1">
    <w:name w:val="ListLabel 5"/>
    <w:qFormat/>
    <w:rPr>
      <w:rFonts w:eastAsia="Wingdings" w:cs="Calibri"/>
      <w:lang w:val="en-US"/>
    </w:rPr>
  </w:style>
  <w:style w:type="character" w:styleId="ListLabel6" w:customStyle="1">
    <w:name w:val="ListLabel 6"/>
    <w:qFormat/>
    <w:rPr>
      <w:rFonts w:ascii="Symbol" w:hAnsi="Symbol" w:cs="Symbol"/>
      <w:b/>
      <w:lang w:val="en-US"/>
    </w:rPr>
  </w:style>
  <w:style w:type="character" w:styleId="ListLabel7" w:customStyle="1">
    <w:name w:val="ListLabel 7"/>
    <w:qFormat/>
    <w:rPr>
      <w:rFonts w:cs="Symbol"/>
      <w:color w:val="000000"/>
      <w:lang w:val="en-US"/>
    </w:rPr>
  </w:style>
  <w:style w:type="character" w:styleId="ListLabel8" w:customStyle="1">
    <w:name w:val="ListLabel 8"/>
    <w:qFormat/>
    <w:rPr>
      <w:rFonts w:cs="Symbol"/>
      <w:b/>
      <w:color w:val="00000A"/>
      <w:sz w:val="18"/>
      <w:szCs w:val="18"/>
      <w:lang w:val="en-US"/>
    </w:rPr>
  </w:style>
  <w:style w:type="character" w:styleId="ListLabel9" w:customStyle="1">
    <w:name w:val="ListLabel 9"/>
    <w:qFormat/>
    <w:rPr>
      <w:rFonts w:cs="StarSymbol"/>
      <w:sz w:val="18"/>
      <w:szCs w:val="18"/>
    </w:rPr>
  </w:style>
  <w:style w:type="character" w:styleId="ListLabel10" w:customStyle="1">
    <w:name w:val="ListLabel 10"/>
    <w:qFormat/>
    <w:rPr>
      <w:rFonts w:cs="StarSymbol"/>
      <w:sz w:val="18"/>
      <w:szCs w:val="18"/>
    </w:rPr>
  </w:style>
  <w:style w:type="character" w:styleId="ListLabel11" w:customStyle="1">
    <w:name w:val="ListLabel 11"/>
    <w:qFormat/>
    <w:rPr>
      <w:rFonts w:cs="StarSymbol"/>
      <w:sz w:val="18"/>
      <w:szCs w:val="18"/>
    </w:rPr>
  </w:style>
  <w:style w:type="character" w:styleId="ListLabel12" w:customStyle="1">
    <w:name w:val="ListLabel 12"/>
    <w:qFormat/>
    <w:rPr>
      <w:rFonts w:cs="StarSymbol"/>
      <w:sz w:val="18"/>
      <w:szCs w:val="18"/>
    </w:rPr>
  </w:style>
  <w:style w:type="character" w:styleId="ListLabel13" w:customStyle="1">
    <w:name w:val="ListLabel 13"/>
    <w:qFormat/>
    <w:rPr>
      <w:rFonts w:cs="StarSymbol"/>
      <w:sz w:val="18"/>
      <w:szCs w:val="18"/>
    </w:rPr>
  </w:style>
  <w:style w:type="character" w:styleId="ListLabel14" w:customStyle="1">
    <w:name w:val="ListLabel 14"/>
    <w:qFormat/>
    <w:rPr>
      <w:rFonts w:cs="StarSymbol"/>
      <w:sz w:val="18"/>
      <w:szCs w:val="18"/>
    </w:rPr>
  </w:style>
  <w:style w:type="character" w:styleId="ListLabel15" w:customStyle="1">
    <w:name w:val="ListLabel 15"/>
    <w:qFormat/>
    <w:rPr>
      <w:rFonts w:cs="StarSymbol"/>
      <w:sz w:val="18"/>
      <w:szCs w:val="18"/>
    </w:rPr>
  </w:style>
  <w:style w:type="character" w:styleId="ListLabel16" w:customStyle="1">
    <w:name w:val="ListLabel 16"/>
    <w:qFormat/>
    <w:rPr>
      <w:rFonts w:cs="StarSymbol"/>
      <w:sz w:val="18"/>
      <w:szCs w:val="18"/>
    </w:rPr>
  </w:style>
  <w:style w:type="character" w:styleId="ListLabel17" w:customStyle="1">
    <w:name w:val="ListLabel 17"/>
    <w:qFormat/>
    <w:rPr>
      <w:rFonts w:cs="Symbol"/>
      <w:szCs w:val="24"/>
      <w:lang w:val="en-US"/>
    </w:rPr>
  </w:style>
  <w:style w:type="character" w:styleId="ListLabel18" w:customStyle="1">
    <w:name w:val="ListLabel 18"/>
    <w:qFormat/>
    <w:rPr>
      <w:rFonts w:cs="Symbol"/>
      <w:b/>
      <w:color w:val="000000"/>
      <w:lang w:val="en-US"/>
    </w:rPr>
  </w:style>
  <w:style w:type="character" w:styleId="ListLabel19" w:customStyle="1">
    <w:name w:val="ListLabel 19"/>
    <w:qFormat/>
    <w:rPr>
      <w:rFonts w:ascii="Times New Roman" w:hAnsi="Times New Roman" w:eastAsia="MS Mincho" w:cs="Times New Roman"/>
      <w:b/>
      <w:bCs/>
      <w:iCs/>
      <w:spacing w:val="0"/>
      <w:lang w:val="en-US"/>
    </w:rPr>
  </w:style>
  <w:style w:type="character" w:styleId="ListLabel20" w:customStyle="1">
    <w:name w:val="ListLabel 20"/>
    <w:qFormat/>
    <w:rPr>
      <w:rFonts w:cs="Symbol"/>
      <w:color w:val="000000"/>
      <w:lang w:val="en-US"/>
    </w:rPr>
  </w:style>
  <w:style w:type="character" w:styleId="ListLabel21" w:customStyle="1">
    <w:name w:val="ListLabel 21"/>
    <w:qFormat/>
    <w:rPr>
      <w:rFonts w:eastAsia="Wingdings" w:cs="Calibri"/>
      <w:lang w:val="en-US"/>
    </w:rPr>
  </w:style>
  <w:style w:type="character" w:styleId="ListLabel22" w:customStyle="1">
    <w:name w:val="ListLabel 22"/>
    <w:qFormat/>
    <w:rPr>
      <w:rFonts w:ascii="Symbol" w:hAnsi="Symbol" w:cs="Symbol"/>
      <w:b/>
      <w:lang w:val="en-US"/>
    </w:rPr>
  </w:style>
  <w:style w:type="character" w:styleId="ListLabel23" w:customStyle="1">
    <w:name w:val="ListLabel 23"/>
    <w:qFormat/>
    <w:rPr>
      <w:rFonts w:cs="Symbol"/>
      <w:color w:val="000000"/>
      <w:lang w:val="en-US"/>
    </w:rPr>
  </w:style>
  <w:style w:type="character" w:styleId="ListLabel24" w:customStyle="1">
    <w:name w:val="ListLabel 24"/>
    <w:qFormat/>
    <w:rPr>
      <w:rFonts w:cs="Symbol"/>
      <w:b/>
      <w:color w:val="00000A"/>
      <w:sz w:val="18"/>
      <w:szCs w:val="18"/>
      <w:lang w:val="en-US"/>
    </w:rPr>
  </w:style>
  <w:style w:type="character" w:styleId="ListLabel25" w:customStyle="1">
    <w:name w:val="ListLabel 25"/>
    <w:qFormat/>
    <w:rPr>
      <w:rFonts w:cs="StarSymbol"/>
      <w:sz w:val="18"/>
      <w:szCs w:val="18"/>
    </w:rPr>
  </w:style>
  <w:style w:type="character" w:styleId="ListLabel26" w:customStyle="1">
    <w:name w:val="ListLabel 26"/>
    <w:qFormat/>
    <w:rPr>
      <w:rFonts w:cs="StarSymbol"/>
      <w:sz w:val="18"/>
      <w:szCs w:val="18"/>
    </w:rPr>
  </w:style>
  <w:style w:type="character" w:styleId="ListLabel27" w:customStyle="1">
    <w:name w:val="ListLabel 27"/>
    <w:qFormat/>
    <w:rPr>
      <w:rFonts w:cs="StarSymbol"/>
      <w:sz w:val="18"/>
      <w:szCs w:val="18"/>
    </w:rPr>
  </w:style>
  <w:style w:type="character" w:styleId="ListLabel28" w:customStyle="1">
    <w:name w:val="ListLabel 28"/>
    <w:qFormat/>
    <w:rPr>
      <w:rFonts w:cs="StarSymbol"/>
      <w:sz w:val="18"/>
      <w:szCs w:val="18"/>
    </w:rPr>
  </w:style>
  <w:style w:type="character" w:styleId="ListLabel29" w:customStyle="1">
    <w:name w:val="ListLabel 29"/>
    <w:qFormat/>
    <w:rPr>
      <w:rFonts w:cs="StarSymbol"/>
      <w:sz w:val="18"/>
      <w:szCs w:val="18"/>
    </w:rPr>
  </w:style>
  <w:style w:type="character" w:styleId="ListLabel30" w:customStyle="1">
    <w:name w:val="ListLabel 30"/>
    <w:qFormat/>
    <w:rPr>
      <w:rFonts w:cs="StarSymbol"/>
      <w:sz w:val="18"/>
      <w:szCs w:val="18"/>
    </w:rPr>
  </w:style>
  <w:style w:type="character" w:styleId="ListLabel31" w:customStyle="1">
    <w:name w:val="ListLabel 31"/>
    <w:qFormat/>
    <w:rPr>
      <w:rFonts w:cs="StarSymbol"/>
      <w:sz w:val="18"/>
      <w:szCs w:val="18"/>
    </w:rPr>
  </w:style>
  <w:style w:type="character" w:styleId="ListLabel32" w:customStyle="1">
    <w:name w:val="ListLabel 32"/>
    <w:qFormat/>
    <w:rPr>
      <w:rFonts w:cs="StarSymbol"/>
      <w:sz w:val="18"/>
      <w:szCs w:val="18"/>
    </w:rPr>
  </w:style>
  <w:style w:type="character" w:styleId="ListLabel33" w:customStyle="1">
    <w:name w:val="ListLabel 33"/>
    <w:qFormat/>
    <w:rPr>
      <w:rFonts w:cs="Symbol"/>
      <w:szCs w:val="24"/>
      <w:lang w:val="en-US"/>
    </w:rPr>
  </w:style>
  <w:style w:type="character" w:styleId="ListLabel34" w:customStyle="1">
    <w:name w:val="ListLabel 34"/>
    <w:qFormat/>
    <w:rPr>
      <w:rFonts w:cs="Symbol"/>
      <w:b/>
      <w:color w:val="000000"/>
      <w:lang w:val="en-US"/>
    </w:rPr>
  </w:style>
  <w:style w:type="character" w:styleId="ListLabel35" w:customStyle="1">
    <w:name w:val="ListLabel 35"/>
    <w:qFormat/>
    <w:rPr>
      <w:rFonts w:ascii="Times New Roman" w:hAnsi="Times New Roman" w:eastAsia="MS Mincho" w:cs="Times New Roman"/>
      <w:b/>
      <w:bCs/>
      <w:iCs/>
      <w:spacing w:val="0"/>
      <w:lang w:val="en-US"/>
    </w:rPr>
  </w:style>
  <w:style w:type="character" w:styleId="ListLabel36" w:customStyle="1">
    <w:name w:val="ListLabel 36"/>
    <w:qFormat/>
    <w:rPr>
      <w:rFonts w:cs="Symbol"/>
      <w:color w:val="000000"/>
      <w:lang w:val="en-US"/>
    </w:rPr>
  </w:style>
  <w:style w:type="character" w:styleId="ListLabel37" w:customStyle="1">
    <w:name w:val="ListLabel 37"/>
    <w:qFormat/>
    <w:rPr>
      <w:rFonts w:eastAsia="Wingdings" w:cs="Calibri"/>
      <w:lang w:val="en-US"/>
    </w:rPr>
  </w:style>
  <w:style w:type="character" w:styleId="ListLabel38" w:customStyle="1">
    <w:name w:val="ListLabel 38"/>
    <w:qFormat/>
    <w:rPr>
      <w:rFonts w:ascii="Symbol" w:hAnsi="Symbol" w:cs="Symbol"/>
      <w:b/>
      <w:lang w:val="en-US"/>
    </w:rPr>
  </w:style>
  <w:style w:type="character" w:styleId="ListLabel39" w:customStyle="1">
    <w:name w:val="ListLabel 39"/>
    <w:qFormat/>
    <w:rPr>
      <w:rFonts w:cs="Symbol"/>
      <w:color w:val="000000"/>
      <w:lang w:val="en-US"/>
    </w:rPr>
  </w:style>
  <w:style w:type="character" w:styleId="ListLabel40" w:customStyle="1">
    <w:name w:val="ListLabel 40"/>
    <w:qFormat/>
    <w:rPr>
      <w:rFonts w:cs="Symbol"/>
      <w:b/>
      <w:color w:val="00000A"/>
      <w:sz w:val="18"/>
      <w:szCs w:val="18"/>
      <w:lang w:val="en-US"/>
    </w:rPr>
  </w:style>
  <w:style w:type="character" w:styleId="ListLabel41" w:customStyle="1">
    <w:name w:val="ListLabel 41"/>
    <w:qFormat/>
    <w:rPr>
      <w:rFonts w:cs="StarSymbol"/>
      <w:sz w:val="18"/>
      <w:szCs w:val="18"/>
    </w:rPr>
  </w:style>
  <w:style w:type="character" w:styleId="ListLabel42" w:customStyle="1">
    <w:name w:val="ListLabel 42"/>
    <w:qFormat/>
    <w:rPr>
      <w:rFonts w:cs="StarSymbol"/>
      <w:sz w:val="18"/>
      <w:szCs w:val="18"/>
    </w:rPr>
  </w:style>
  <w:style w:type="character" w:styleId="ListLabel43" w:customStyle="1">
    <w:name w:val="ListLabel 43"/>
    <w:qFormat/>
    <w:rPr>
      <w:rFonts w:cs="StarSymbol"/>
      <w:sz w:val="18"/>
      <w:szCs w:val="18"/>
    </w:rPr>
  </w:style>
  <w:style w:type="character" w:styleId="ListLabel44" w:customStyle="1">
    <w:name w:val="ListLabel 44"/>
    <w:qFormat/>
    <w:rPr>
      <w:rFonts w:cs="StarSymbol"/>
      <w:sz w:val="18"/>
      <w:szCs w:val="18"/>
    </w:rPr>
  </w:style>
  <w:style w:type="character" w:styleId="ListLabel45" w:customStyle="1">
    <w:name w:val="ListLabel 45"/>
    <w:qFormat/>
    <w:rPr>
      <w:rFonts w:cs="StarSymbol"/>
      <w:sz w:val="18"/>
      <w:szCs w:val="18"/>
    </w:rPr>
  </w:style>
  <w:style w:type="character" w:styleId="ListLabel46" w:customStyle="1">
    <w:name w:val="ListLabel 46"/>
    <w:qFormat/>
    <w:rPr>
      <w:rFonts w:cs="StarSymbol"/>
      <w:sz w:val="18"/>
      <w:szCs w:val="18"/>
    </w:rPr>
  </w:style>
  <w:style w:type="character" w:styleId="ListLabel47" w:customStyle="1">
    <w:name w:val="ListLabel 47"/>
    <w:qFormat/>
    <w:rPr>
      <w:rFonts w:cs="StarSymbol"/>
      <w:sz w:val="18"/>
      <w:szCs w:val="18"/>
    </w:rPr>
  </w:style>
  <w:style w:type="character" w:styleId="ListLabel48" w:customStyle="1">
    <w:name w:val="ListLabel 48"/>
    <w:qFormat/>
    <w:rPr>
      <w:rFonts w:cs="StarSymbol"/>
      <w:sz w:val="18"/>
      <w:szCs w:val="18"/>
    </w:rPr>
  </w:style>
  <w:style w:type="character" w:styleId="ListLabel49" w:customStyle="1">
    <w:name w:val="ListLabel 49"/>
    <w:qFormat/>
    <w:rPr>
      <w:rFonts w:cs="Symbol"/>
      <w:szCs w:val="24"/>
      <w:lang w:val="en-US"/>
    </w:rPr>
  </w:style>
  <w:style w:type="character" w:styleId="ListLabel50" w:customStyle="1">
    <w:name w:val="ListLabel 50"/>
    <w:qFormat/>
    <w:rPr>
      <w:rFonts w:cs="Symbol"/>
      <w:b/>
      <w:color w:val="000000"/>
      <w:lang w:val="en-US"/>
    </w:rPr>
  </w:style>
  <w:style w:type="character" w:styleId="ListLabel51" w:customStyle="1">
    <w:name w:val="ListLabel 51"/>
    <w:qFormat/>
    <w:rPr>
      <w:rFonts w:ascii="Times New Roman" w:hAnsi="Times New Roman" w:eastAsia="MS Mincho" w:cs="Times New Roman"/>
      <w:b/>
      <w:bCs/>
      <w:iCs/>
      <w:spacing w:val="0"/>
      <w:lang w:val="en-US"/>
    </w:rPr>
  </w:style>
  <w:style w:type="character" w:styleId="ListLabel52" w:customStyle="1">
    <w:name w:val="ListLabel 52"/>
    <w:qFormat/>
    <w:rPr>
      <w:rFonts w:cs="Symbol"/>
      <w:color w:val="000000"/>
      <w:lang w:val="en-US"/>
    </w:rPr>
  </w:style>
  <w:style w:type="character" w:styleId="ListLabel53" w:customStyle="1">
    <w:name w:val="ListLabel 53"/>
    <w:qFormat/>
    <w:rPr>
      <w:rFonts w:eastAsia="Wingdings" w:cs="Calibri"/>
      <w:lang w:val="en-US"/>
    </w:rPr>
  </w:style>
  <w:style w:type="character" w:styleId="ListLabel54" w:customStyle="1">
    <w:name w:val="ListLabel 54"/>
    <w:qFormat/>
    <w:rPr>
      <w:rFonts w:ascii="Symbol" w:hAnsi="Symbol" w:cs="Symbol"/>
      <w:b/>
      <w:lang w:val="en-US"/>
    </w:rPr>
  </w:style>
  <w:style w:type="character" w:styleId="ListLabel55" w:customStyle="1">
    <w:name w:val="ListLabel 55"/>
    <w:qFormat/>
    <w:rPr>
      <w:rFonts w:cs="Symbol"/>
      <w:color w:val="000000"/>
      <w:lang w:val="en-US"/>
    </w:rPr>
  </w:style>
  <w:style w:type="character" w:styleId="ListLabel56" w:customStyle="1">
    <w:name w:val="ListLabel 56"/>
    <w:qFormat/>
    <w:rPr>
      <w:rFonts w:cs="Symbol"/>
      <w:b/>
      <w:color w:val="00000A"/>
      <w:sz w:val="18"/>
      <w:szCs w:val="18"/>
      <w:lang w:val="en-US"/>
    </w:rPr>
  </w:style>
  <w:style w:type="character" w:styleId="ListLabel57" w:customStyle="1">
    <w:name w:val="ListLabel 57"/>
    <w:qFormat/>
    <w:rPr>
      <w:rFonts w:cs="StarSymbol"/>
      <w:sz w:val="18"/>
      <w:szCs w:val="18"/>
    </w:rPr>
  </w:style>
  <w:style w:type="character" w:styleId="ListLabel58" w:customStyle="1">
    <w:name w:val="ListLabel 58"/>
    <w:qFormat/>
    <w:rPr>
      <w:rFonts w:cs="StarSymbol"/>
      <w:sz w:val="18"/>
      <w:szCs w:val="18"/>
    </w:rPr>
  </w:style>
  <w:style w:type="character" w:styleId="ListLabel59" w:customStyle="1">
    <w:name w:val="ListLabel 59"/>
    <w:qFormat/>
    <w:rPr>
      <w:rFonts w:cs="StarSymbol"/>
      <w:sz w:val="18"/>
      <w:szCs w:val="18"/>
    </w:rPr>
  </w:style>
  <w:style w:type="character" w:styleId="ListLabel60" w:customStyle="1">
    <w:name w:val="ListLabel 60"/>
    <w:qFormat/>
    <w:rPr>
      <w:rFonts w:cs="StarSymbol"/>
      <w:sz w:val="18"/>
      <w:szCs w:val="18"/>
    </w:rPr>
  </w:style>
  <w:style w:type="character" w:styleId="ListLabel61" w:customStyle="1">
    <w:name w:val="ListLabel 61"/>
    <w:qFormat/>
    <w:rPr>
      <w:rFonts w:cs="StarSymbol"/>
      <w:sz w:val="18"/>
      <w:szCs w:val="18"/>
    </w:rPr>
  </w:style>
  <w:style w:type="character" w:styleId="ListLabel62" w:customStyle="1">
    <w:name w:val="ListLabel 62"/>
    <w:qFormat/>
    <w:rPr>
      <w:rFonts w:cs="StarSymbol"/>
      <w:sz w:val="18"/>
      <w:szCs w:val="18"/>
    </w:rPr>
  </w:style>
  <w:style w:type="character" w:styleId="ListLabel63" w:customStyle="1">
    <w:name w:val="ListLabel 63"/>
    <w:qFormat/>
    <w:rPr>
      <w:rFonts w:cs="StarSymbol"/>
      <w:sz w:val="18"/>
      <w:szCs w:val="18"/>
    </w:rPr>
  </w:style>
  <w:style w:type="character" w:styleId="ListLabel64" w:customStyle="1">
    <w:name w:val="ListLabel 64"/>
    <w:qFormat/>
    <w:rPr>
      <w:rFonts w:cs="StarSymbol"/>
      <w:sz w:val="18"/>
      <w:szCs w:val="18"/>
    </w:rPr>
  </w:style>
  <w:style w:type="character" w:styleId="ListLabel65" w:customStyle="1">
    <w:name w:val="ListLabel 65"/>
    <w:qFormat/>
    <w:rPr>
      <w:rFonts w:cs="Symbol"/>
      <w:szCs w:val="24"/>
      <w:lang w:val="en-US"/>
    </w:rPr>
  </w:style>
  <w:style w:type="character" w:styleId="ListLabel66" w:customStyle="1">
    <w:name w:val="ListLabel 66"/>
    <w:qFormat/>
    <w:rPr>
      <w:rFonts w:cs="Symbol"/>
      <w:b/>
      <w:color w:val="000000"/>
      <w:lang w:val="en-US"/>
    </w:rPr>
  </w:style>
  <w:style w:type="character" w:styleId="ListLabel67" w:customStyle="1">
    <w:name w:val="ListLabel 67"/>
    <w:qFormat/>
    <w:rPr>
      <w:rFonts w:ascii="Times New Roman" w:hAnsi="Times New Roman" w:eastAsia="MS Mincho" w:cs="Times New Roman"/>
      <w:b/>
      <w:bCs/>
      <w:iCs/>
      <w:spacing w:val="0"/>
      <w:lang w:val="en-US"/>
    </w:rPr>
  </w:style>
  <w:style w:type="character" w:styleId="ListLabel68" w:customStyle="1">
    <w:name w:val="ListLabel 68"/>
    <w:qFormat/>
    <w:rPr>
      <w:rFonts w:cs="Symbol"/>
      <w:color w:val="000000"/>
      <w:lang w:val="en-US"/>
    </w:rPr>
  </w:style>
  <w:style w:type="character" w:styleId="ListLabel69" w:customStyle="1">
    <w:name w:val="ListLabel 69"/>
    <w:qFormat/>
    <w:rPr>
      <w:rFonts w:eastAsia="Wingdings" w:cs="Calibri"/>
      <w:lang w:val="en-US"/>
    </w:rPr>
  </w:style>
  <w:style w:type="character" w:styleId="ListLabel70" w:customStyle="1">
    <w:name w:val="ListLabel 70"/>
    <w:qFormat/>
    <w:rPr>
      <w:rFonts w:ascii="Symbol" w:hAnsi="Symbol" w:cs="Symbol"/>
      <w:b/>
      <w:lang w:val="en-US"/>
    </w:rPr>
  </w:style>
  <w:style w:type="character" w:styleId="ListLabel71" w:customStyle="1">
    <w:name w:val="ListLabel 71"/>
    <w:qFormat/>
    <w:rPr>
      <w:rFonts w:cs="Symbol"/>
      <w:color w:val="000000"/>
      <w:lang w:val="en-US"/>
    </w:rPr>
  </w:style>
  <w:style w:type="character" w:styleId="ListLabel72" w:customStyle="1">
    <w:name w:val="ListLabel 72"/>
    <w:qFormat/>
    <w:rPr>
      <w:rFonts w:cs="Symbol"/>
      <w:b/>
      <w:color w:val="00000A"/>
      <w:sz w:val="18"/>
      <w:szCs w:val="18"/>
      <w:lang w:val="en-US"/>
    </w:rPr>
  </w:style>
  <w:style w:type="character" w:styleId="ListLabel73" w:customStyle="1">
    <w:name w:val="ListLabel 73"/>
    <w:qFormat/>
    <w:rPr>
      <w:rFonts w:cs="StarSymbol"/>
      <w:sz w:val="18"/>
      <w:szCs w:val="18"/>
    </w:rPr>
  </w:style>
  <w:style w:type="character" w:styleId="ListLabel74" w:customStyle="1">
    <w:name w:val="ListLabel 74"/>
    <w:qFormat/>
    <w:rPr>
      <w:rFonts w:cs="StarSymbol"/>
      <w:sz w:val="18"/>
      <w:szCs w:val="18"/>
    </w:rPr>
  </w:style>
  <w:style w:type="character" w:styleId="ListLabel75" w:customStyle="1">
    <w:name w:val="ListLabel 75"/>
    <w:qFormat/>
    <w:rPr>
      <w:rFonts w:cs="StarSymbol"/>
      <w:sz w:val="18"/>
      <w:szCs w:val="18"/>
    </w:rPr>
  </w:style>
  <w:style w:type="character" w:styleId="ListLabel76" w:customStyle="1">
    <w:name w:val="ListLabel 76"/>
    <w:qFormat/>
    <w:rPr>
      <w:rFonts w:cs="StarSymbol"/>
      <w:sz w:val="18"/>
      <w:szCs w:val="18"/>
    </w:rPr>
  </w:style>
  <w:style w:type="character" w:styleId="ListLabel77" w:customStyle="1">
    <w:name w:val="ListLabel 77"/>
    <w:qFormat/>
    <w:rPr>
      <w:rFonts w:cs="StarSymbol"/>
      <w:sz w:val="18"/>
      <w:szCs w:val="18"/>
    </w:rPr>
  </w:style>
  <w:style w:type="character" w:styleId="ListLabel78" w:customStyle="1">
    <w:name w:val="ListLabel 78"/>
    <w:qFormat/>
    <w:rPr>
      <w:rFonts w:cs="StarSymbol"/>
      <w:sz w:val="18"/>
      <w:szCs w:val="18"/>
    </w:rPr>
  </w:style>
  <w:style w:type="character" w:styleId="ListLabel79" w:customStyle="1">
    <w:name w:val="ListLabel 79"/>
    <w:qFormat/>
    <w:rPr>
      <w:rFonts w:cs="StarSymbol"/>
      <w:sz w:val="18"/>
      <w:szCs w:val="18"/>
    </w:rPr>
  </w:style>
  <w:style w:type="character" w:styleId="ListLabel80" w:customStyle="1">
    <w:name w:val="ListLabel 80"/>
    <w:qFormat/>
    <w:rPr>
      <w:rFonts w:cs="StarSymbol"/>
      <w:sz w:val="18"/>
      <w:szCs w:val="18"/>
    </w:rPr>
  </w:style>
  <w:style w:type="character" w:styleId="ListLabel81" w:customStyle="1">
    <w:name w:val="ListLabel 81"/>
    <w:qFormat/>
    <w:rPr>
      <w:rFonts w:cs="Symbol"/>
      <w:szCs w:val="24"/>
      <w:lang w:val="en-US"/>
    </w:rPr>
  </w:style>
  <w:style w:type="character" w:styleId="ListLabel82" w:customStyle="1">
    <w:name w:val="ListLabel 82"/>
    <w:qFormat/>
    <w:rPr>
      <w:rFonts w:cs="Symbol"/>
      <w:b/>
      <w:color w:val="000000"/>
      <w:lang w:val="en-US"/>
    </w:rPr>
  </w:style>
  <w:style w:type="character" w:styleId="ListLabel83" w:customStyle="1">
    <w:name w:val="ListLabel 83"/>
    <w:qFormat/>
    <w:rPr>
      <w:rFonts w:ascii="Times New Roman" w:hAnsi="Times New Roman" w:eastAsia="MS Mincho" w:cs="Times New Roman"/>
      <w:b/>
      <w:bCs/>
      <w:iCs/>
      <w:spacing w:val="0"/>
      <w:lang w:val="en-US"/>
    </w:rPr>
  </w:style>
  <w:style w:type="character" w:styleId="ListLabel84">
    <w:name w:val="ListLabel 84"/>
    <w:qFormat/>
    <w:rPr>
      <w:rFonts w:cs="Symbol"/>
      <w:color w:val="000000"/>
      <w:lang w:val="en-US"/>
    </w:rPr>
  </w:style>
  <w:style w:type="character" w:styleId="ListLabel85">
    <w:name w:val="ListLabel 85"/>
    <w:qFormat/>
    <w:rPr>
      <w:rFonts w:eastAsia="Wingdings" w:cs="Calibri"/>
      <w:lang w:val="en-US"/>
    </w:rPr>
  </w:style>
  <w:style w:type="character" w:styleId="ListLabel86">
    <w:name w:val="ListLabel 86"/>
    <w:qFormat/>
    <w:rPr>
      <w:rFonts w:ascii="Symbol" w:hAnsi="Symbol" w:cs="Symbol"/>
      <w:b/>
      <w:lang w:val="en-US"/>
    </w:rPr>
  </w:style>
  <w:style w:type="character" w:styleId="ListLabel87">
    <w:name w:val="ListLabel 87"/>
    <w:qFormat/>
    <w:rPr>
      <w:rFonts w:cs="Symbol"/>
      <w:color w:val="000000"/>
      <w:lang w:val="en-US"/>
    </w:rPr>
  </w:style>
  <w:style w:type="character" w:styleId="ListLabel88">
    <w:name w:val="ListLabel 88"/>
    <w:qFormat/>
    <w:rPr>
      <w:rFonts w:cs="Symbol"/>
      <w:b/>
      <w:color w:val="00000A"/>
      <w:sz w:val="18"/>
      <w:szCs w:val="18"/>
      <w:lang w:val="en-US"/>
    </w:rPr>
  </w:style>
  <w:style w:type="character" w:styleId="ListLabel89">
    <w:name w:val="ListLabel 89"/>
    <w:qFormat/>
    <w:rPr>
      <w:rFonts w:cs="StarSymbol"/>
      <w:sz w:val="18"/>
      <w:szCs w:val="18"/>
    </w:rPr>
  </w:style>
  <w:style w:type="character" w:styleId="ListLabel90">
    <w:name w:val="ListLabel 90"/>
    <w:qFormat/>
    <w:rPr>
      <w:rFonts w:cs="StarSymbol"/>
      <w:sz w:val="18"/>
      <w:szCs w:val="18"/>
    </w:rPr>
  </w:style>
  <w:style w:type="character" w:styleId="ListLabel91">
    <w:name w:val="ListLabel 91"/>
    <w:qFormat/>
    <w:rPr>
      <w:rFonts w:cs="StarSymbol"/>
      <w:sz w:val="18"/>
      <w:szCs w:val="18"/>
    </w:rPr>
  </w:style>
  <w:style w:type="character" w:styleId="ListLabel92">
    <w:name w:val="ListLabel 92"/>
    <w:qFormat/>
    <w:rPr>
      <w:rFonts w:cs="StarSymbol"/>
      <w:sz w:val="18"/>
      <w:szCs w:val="18"/>
    </w:rPr>
  </w:style>
  <w:style w:type="character" w:styleId="ListLabel93">
    <w:name w:val="ListLabel 93"/>
    <w:qFormat/>
    <w:rPr>
      <w:rFonts w:cs="StarSymbol"/>
      <w:sz w:val="18"/>
      <w:szCs w:val="18"/>
    </w:rPr>
  </w:style>
  <w:style w:type="character" w:styleId="ListLabel94">
    <w:name w:val="ListLabel 94"/>
    <w:qFormat/>
    <w:rPr>
      <w:rFonts w:cs="StarSymbol"/>
      <w:sz w:val="18"/>
      <w:szCs w:val="18"/>
    </w:rPr>
  </w:style>
  <w:style w:type="character" w:styleId="ListLabel95">
    <w:name w:val="ListLabel 95"/>
    <w:qFormat/>
    <w:rPr>
      <w:rFonts w:cs="StarSymbol"/>
      <w:sz w:val="18"/>
      <w:szCs w:val="18"/>
    </w:rPr>
  </w:style>
  <w:style w:type="character" w:styleId="ListLabel96">
    <w:name w:val="ListLabel 96"/>
    <w:qFormat/>
    <w:rPr>
      <w:rFonts w:cs="StarSymbol"/>
      <w:sz w:val="18"/>
      <w:szCs w:val="18"/>
    </w:rPr>
  </w:style>
  <w:style w:type="character" w:styleId="ListLabel97">
    <w:name w:val="ListLabel 97"/>
    <w:qFormat/>
    <w:rPr>
      <w:rFonts w:cs="Symbol"/>
      <w:szCs w:val="24"/>
      <w:lang w:val="en-US"/>
    </w:rPr>
  </w:style>
  <w:style w:type="character" w:styleId="ListLabel98">
    <w:name w:val="ListLabel 98"/>
    <w:qFormat/>
    <w:rPr>
      <w:rFonts w:cs="Symbol"/>
      <w:b/>
      <w:color w:val="000000"/>
      <w:lang w:val="en-US"/>
    </w:rPr>
  </w:style>
  <w:style w:type="character" w:styleId="ListLabel99">
    <w:name w:val="ListLabel 99"/>
    <w:qFormat/>
    <w:rPr>
      <w:rFonts w:ascii="Times New Roman" w:hAnsi="Times New Roman" w:eastAsia="MS Mincho" w:cs="Times New Roman"/>
      <w:b/>
      <w:bCs/>
      <w:iCs/>
      <w:spacing w:val="0"/>
      <w:lang w:val="en-US"/>
    </w:rPr>
  </w:style>
  <w:style w:type="paragraph" w:styleId="Heading">
    <w:name w:val="Heading"/>
    <w:basedOn w:val="Normal"/>
    <w:next w:val="TextBody"/>
    <w:qFormat/>
    <w:pPr>
      <w:keepNext/>
      <w:spacing w:before="240" w:after="120"/>
    </w:pPr>
    <w:rPr>
      <w:rFonts w:ascii="Liberation Sans" w:hAnsi="Liberation Sans" w:eastAsia="WenQuanYi Zen Hei Sharp" w:cs="Lohit Devanagari"/>
      <w:sz w:val="28"/>
      <w:szCs w:val="28"/>
    </w:rPr>
  </w:style>
  <w:style w:type="paragraph" w:styleId="TextBody">
    <w:name w:val="Text Body"/>
    <w:basedOn w:val="Normal"/>
    <w:rsid w:val="00c44340"/>
    <w:pPr>
      <w:jc w:val="both"/>
    </w:pPr>
    <w:rPr/>
  </w:style>
  <w:style w:type="paragraph" w:styleId="List">
    <w:name w:val="List"/>
    <w:basedOn w:val="TextBody"/>
    <w:rsid w:val="00c44340"/>
    <w:pPr/>
    <w:rPr>
      <w:rFonts w:cs="Mangal"/>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Style19" w:customStyle="1">
    <w:name w:val="Заголовок"/>
    <w:basedOn w:val="Normal"/>
    <w:next w:val="TextBody"/>
    <w:qFormat/>
    <w:rsid w:val="00c44340"/>
    <w:pPr>
      <w:keepNext/>
      <w:spacing w:before="240" w:after="120"/>
      <w:ind w:firstLine="280"/>
      <w:jc w:val="center"/>
    </w:pPr>
    <w:rPr/>
  </w:style>
  <w:style w:type="paragraph" w:styleId="Caption1">
    <w:name w:val="caption"/>
    <w:basedOn w:val="Normal"/>
    <w:qFormat/>
    <w:rsid w:val="00c44340"/>
    <w:pPr>
      <w:suppressLineNumbers/>
      <w:spacing w:before="120" w:after="120"/>
    </w:pPr>
    <w:rPr/>
  </w:style>
  <w:style w:type="paragraph" w:styleId="Style20" w:customStyle="1">
    <w:name w:val="Указатель"/>
    <w:basedOn w:val="Normal"/>
    <w:qFormat/>
    <w:rsid w:val="00c44340"/>
    <w:pPr>
      <w:suppressLineNumbers/>
    </w:pPr>
    <w:rPr>
      <w:rFonts w:cs="Lohit Devanagari"/>
    </w:rPr>
  </w:style>
  <w:style w:type="paragraph" w:styleId="3" w:customStyle="1">
    <w:name w:val="Название3"/>
    <w:basedOn w:val="Normal"/>
    <w:qFormat/>
    <w:rsid w:val="00c44340"/>
    <w:pPr>
      <w:suppressLineNumbers/>
      <w:spacing w:before="120" w:after="120"/>
    </w:pPr>
    <w:rPr/>
  </w:style>
  <w:style w:type="paragraph" w:styleId="31" w:customStyle="1">
    <w:name w:val="Указатель3"/>
    <w:basedOn w:val="Normal"/>
    <w:qFormat/>
    <w:rsid w:val="00c44340"/>
    <w:pPr>
      <w:suppressLineNumbers/>
    </w:pPr>
    <w:rPr/>
  </w:style>
  <w:style w:type="paragraph" w:styleId="13" w:customStyle="1">
    <w:name w:val="Текст1"/>
    <w:basedOn w:val="Normal"/>
    <w:qFormat/>
    <w:rsid w:val="00c44340"/>
    <w:pPr/>
    <w:rPr/>
  </w:style>
  <w:style w:type="paragraph" w:styleId="14" w:customStyle="1">
    <w:name w:val="Обычный (веб)1"/>
    <w:basedOn w:val="Normal"/>
    <w:qFormat/>
    <w:rsid w:val="00c44340"/>
    <w:pPr>
      <w:spacing w:before="28" w:after="28"/>
    </w:pPr>
    <w:rPr/>
  </w:style>
  <w:style w:type="paragraph" w:styleId="FootnoteText1" w:customStyle="1">
    <w:name w:val="Footnote Text1"/>
    <w:basedOn w:val="Normal"/>
    <w:qFormat/>
    <w:rsid w:val="00c44340"/>
    <w:pPr>
      <w:spacing w:before="0" w:after="80"/>
      <w:ind w:firstLine="280"/>
      <w:jc w:val="both"/>
    </w:pPr>
    <w:rPr/>
  </w:style>
  <w:style w:type="paragraph" w:styleId="Authors" w:customStyle="1">
    <w:name w:val="Authors"/>
    <w:basedOn w:val="Normal"/>
    <w:qFormat/>
    <w:rsid w:val="00c44340"/>
    <w:pPr>
      <w:spacing w:lineRule="atLeast" w:line="280" w:before="0" w:after="40"/>
      <w:ind w:firstLine="274"/>
      <w:jc w:val="center"/>
    </w:pPr>
    <w:rPr>
      <w:rFonts w:ascii="Times" w:hAnsi="Times" w:cs="Times"/>
    </w:rPr>
  </w:style>
  <w:style w:type="paragraph" w:styleId="OrganizationAddress" w:customStyle="1">
    <w:name w:val="Organization &amp; Address"/>
    <w:basedOn w:val="Authors"/>
    <w:qFormat/>
    <w:rsid w:val="00c44340"/>
    <w:pPr>
      <w:spacing w:lineRule="atLeast" w:line="80"/>
    </w:pPr>
    <w:rPr/>
  </w:style>
  <w:style w:type="paragraph" w:styleId="Footer">
    <w:name w:val="Footer"/>
    <w:basedOn w:val="Normal"/>
    <w:rsid w:val="00c44340"/>
    <w:pPr>
      <w:suppressLineNumbers/>
    </w:pPr>
    <w:rPr/>
  </w:style>
  <w:style w:type="paragraph" w:styleId="WWPlainText" w:customStyle="1">
    <w:name w:val="WW-Plain Text"/>
    <w:basedOn w:val="Normal"/>
    <w:qFormat/>
    <w:rsid w:val="00c44340"/>
    <w:pPr/>
    <w:rPr/>
  </w:style>
  <w:style w:type="paragraph" w:styleId="WWNormalWeb" w:customStyle="1">
    <w:name w:val="WW-Normal (Web)"/>
    <w:basedOn w:val="Normal"/>
    <w:qFormat/>
    <w:rsid w:val="00c44340"/>
    <w:pPr>
      <w:spacing w:before="100" w:after="100"/>
    </w:pPr>
    <w:rPr/>
  </w:style>
  <w:style w:type="paragraph" w:styleId="Caption11" w:customStyle="1">
    <w:name w:val="Caption1"/>
    <w:basedOn w:val="Normal"/>
    <w:qFormat/>
    <w:rsid w:val="00c44340"/>
    <w:pPr>
      <w:spacing w:before="120" w:after="120"/>
    </w:pPr>
    <w:rPr/>
  </w:style>
  <w:style w:type="paragraph" w:styleId="311" w:customStyle="1">
    <w:name w:val="Основной текст с отступом 31"/>
    <w:basedOn w:val="Normal"/>
    <w:qFormat/>
    <w:rsid w:val="00c44340"/>
    <w:pPr>
      <w:shd w:val="clear" w:color="auto" w:fill="FFFFFF"/>
      <w:spacing w:before="28" w:after="0"/>
      <w:ind w:left="720" w:hanging="0"/>
    </w:pPr>
    <w:rPr/>
  </w:style>
  <w:style w:type="paragraph" w:styleId="ColorfulListAccent11" w:customStyle="1">
    <w:name w:val="Colorful List - Accent 11"/>
    <w:basedOn w:val="Normal"/>
    <w:qFormat/>
    <w:rsid w:val="00c44340"/>
    <w:pPr>
      <w:ind w:left="720" w:hanging="0"/>
    </w:pPr>
    <w:rPr/>
  </w:style>
  <w:style w:type="paragraph" w:styleId="TextBodyIndent">
    <w:name w:val="Text Body Indent"/>
    <w:basedOn w:val="Normal"/>
    <w:rsid w:val="00c44340"/>
    <w:pPr>
      <w:spacing w:before="0" w:after="120"/>
      <w:ind w:left="283" w:hanging="0"/>
    </w:pPr>
    <w:rPr/>
  </w:style>
  <w:style w:type="paragraph" w:styleId="21" w:customStyle="1">
    <w:name w:val="Основной текст 21"/>
    <w:basedOn w:val="Normal"/>
    <w:qFormat/>
    <w:rsid w:val="00c44340"/>
    <w:pPr>
      <w:spacing w:lineRule="auto" w:line="480" w:before="0" w:after="120"/>
    </w:pPr>
    <w:rPr/>
  </w:style>
  <w:style w:type="paragraph" w:styleId="Header">
    <w:name w:val="Header"/>
    <w:basedOn w:val="Normal"/>
    <w:rsid w:val="00c44340"/>
    <w:pPr>
      <w:suppressLineNumbers/>
    </w:pPr>
    <w:rPr/>
  </w:style>
  <w:style w:type="paragraph" w:styleId="312" w:customStyle="1">
    <w:name w:val="Основной текст 31"/>
    <w:basedOn w:val="Normal"/>
    <w:qFormat/>
    <w:rsid w:val="00c44340"/>
    <w:pPr>
      <w:spacing w:before="0" w:after="120"/>
    </w:pPr>
    <w:rPr>
      <w:sz w:val="16"/>
      <w:szCs w:val="16"/>
    </w:rPr>
  </w:style>
  <w:style w:type="paragraph" w:styleId="211" w:customStyle="1">
    <w:name w:val="Основной текст с отступом 21"/>
    <w:basedOn w:val="Normal"/>
    <w:qFormat/>
    <w:rsid w:val="00c44340"/>
    <w:pPr>
      <w:spacing w:lineRule="auto" w:line="480" w:before="0" w:after="120"/>
      <w:ind w:left="283" w:hanging="0"/>
    </w:pPr>
    <w:rPr/>
  </w:style>
  <w:style w:type="paragraph" w:styleId="15" w:customStyle="1">
    <w:name w:val="Название1"/>
    <w:basedOn w:val="Normal"/>
    <w:qFormat/>
    <w:rsid w:val="00c44340"/>
    <w:pPr>
      <w:suppressLineNumbers/>
      <w:spacing w:before="120" w:after="120"/>
    </w:pPr>
    <w:rPr>
      <w:i/>
      <w:iCs/>
    </w:rPr>
  </w:style>
  <w:style w:type="paragraph" w:styleId="16" w:customStyle="1">
    <w:name w:val="Указатель1"/>
    <w:basedOn w:val="Normal"/>
    <w:qFormat/>
    <w:rsid w:val="00c44340"/>
    <w:pPr>
      <w:suppressLineNumbers/>
    </w:pPr>
    <w:rPr/>
  </w:style>
  <w:style w:type="paragraph" w:styleId="Subtitle">
    <w:name w:val="Subtitle"/>
    <w:basedOn w:val="Style19"/>
    <w:qFormat/>
    <w:rsid w:val="00c44340"/>
    <w:pPr/>
    <w:rPr/>
  </w:style>
  <w:style w:type="paragraph" w:styleId="Iauiue1" w:customStyle="1">
    <w:name w:val="Iau?iue1"/>
    <w:qFormat/>
    <w:rsid w:val="00c44340"/>
    <w:pPr>
      <w:widowControl w:val="false"/>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Style21" w:customStyle="1">
    <w:name w:val="Содержимое таблицы"/>
    <w:basedOn w:val="Normal"/>
    <w:qFormat/>
    <w:rsid w:val="00c44340"/>
    <w:pPr>
      <w:suppressLineNumbers/>
    </w:pPr>
    <w:rPr/>
  </w:style>
  <w:style w:type="paragraph" w:styleId="Style22" w:customStyle="1">
    <w:name w:val="Заголовок таблицы"/>
    <w:basedOn w:val="Style21"/>
    <w:qFormat/>
    <w:rsid w:val="00c44340"/>
    <w:pPr>
      <w:jc w:val="center"/>
    </w:pPr>
    <w:rPr>
      <w:b/>
      <w:bCs/>
    </w:rPr>
  </w:style>
  <w:style w:type="paragraph" w:styleId="Elsbodytext" w:customStyle="1">
    <w:name w:val="Els-body-text"/>
    <w:qFormat/>
    <w:rsid w:val="00c44340"/>
    <w:pPr>
      <w:widowControl/>
      <w:suppressAutoHyphens w:val="true"/>
      <w:bidi w:val="0"/>
      <w:spacing w:lineRule="exact" w:line="240"/>
      <w:ind w:firstLine="240"/>
      <w:jc w:val="both"/>
    </w:pPr>
    <w:rPr>
      <w:rFonts w:ascii="Times New Roman" w:hAnsi="Times New Roman" w:eastAsia="Times New Roman" w:cs="Times New Roman"/>
      <w:color w:val="00000A"/>
      <w:sz w:val="20"/>
      <w:szCs w:val="20"/>
      <w:lang w:eastAsia="zh-CN" w:val="ru-RU" w:bidi="ar-SA"/>
    </w:rPr>
  </w:style>
  <w:style w:type="paragraph" w:styleId="17" w:customStyle="1">
    <w:name w:val="Абзац списка1"/>
    <w:basedOn w:val="Normal"/>
    <w:qFormat/>
    <w:rsid w:val="00c44340"/>
    <w:pPr>
      <w:ind w:left="720" w:hanging="0"/>
    </w:pPr>
    <w:rPr/>
  </w:style>
  <w:style w:type="paragraph" w:styleId="Style23" w:customStyle="1">
    <w:name w:val="Содержимое врезки"/>
    <w:basedOn w:val="TextBody"/>
    <w:qFormat/>
    <w:rsid w:val="00c44340"/>
    <w:pPr/>
    <w:rPr/>
  </w:style>
  <w:style w:type="paragraph" w:styleId="Default" w:customStyle="1">
    <w:name w:val="Default"/>
    <w:qFormat/>
    <w:rsid w:val="00c44340"/>
    <w:pPr>
      <w:widowControl/>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2" w:customStyle="1">
    <w:name w:val="Название2"/>
    <w:basedOn w:val="Normal"/>
    <w:qFormat/>
    <w:rsid w:val="00c44340"/>
    <w:pPr>
      <w:suppressLineNumbers/>
      <w:spacing w:before="120" w:after="120"/>
    </w:pPr>
    <w:rPr/>
  </w:style>
  <w:style w:type="paragraph" w:styleId="22" w:customStyle="1">
    <w:name w:val="Указатель2"/>
    <w:basedOn w:val="Normal"/>
    <w:qFormat/>
    <w:rsid w:val="00c44340"/>
    <w:pPr>
      <w:suppressLineNumbers/>
    </w:pPr>
    <w:rPr/>
  </w:style>
  <w:style w:type="paragraph" w:styleId="Footnotetext">
    <w:name w:val="footnote text"/>
    <w:basedOn w:val="Normal"/>
    <w:qFormat/>
    <w:rsid w:val="00c44340"/>
    <w:pPr>
      <w:suppressLineNumbers/>
      <w:spacing w:before="0" w:after="80"/>
      <w:ind w:left="283" w:firstLine="280"/>
      <w:jc w:val="both"/>
    </w:pPr>
    <w:rPr/>
  </w:style>
  <w:style w:type="paragraph" w:styleId="WWDefault" w:customStyle="1">
    <w:name w:val="WW-Default"/>
    <w:qFormat/>
    <w:rsid w:val="00c44340"/>
    <w:pPr>
      <w:widowControl/>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18" w:customStyle="1">
    <w:name w:val="Текст выноски1"/>
    <w:basedOn w:val="Normal"/>
    <w:qFormat/>
    <w:rsid w:val="00c44340"/>
    <w:pPr/>
    <w:rPr/>
  </w:style>
  <w:style w:type="paragraph" w:styleId="111" w:customStyle="1">
    <w:name w:val="Цветной список - Акцент 11"/>
    <w:basedOn w:val="Normal"/>
    <w:qFormat/>
    <w:rsid w:val="00c44340"/>
    <w:pPr>
      <w:ind w:left="720" w:hanging="0"/>
    </w:pPr>
    <w:rPr/>
  </w:style>
  <w:style w:type="paragraph" w:styleId="Textbody1" w:customStyle="1">
    <w:name w:val="Text body"/>
    <w:basedOn w:val="Normal"/>
    <w:qFormat/>
    <w:rsid w:val="00c44340"/>
    <w:pPr>
      <w:suppressAutoHyphens w:val="false"/>
      <w:jc w:val="both"/>
    </w:pPr>
    <w:rPr/>
  </w:style>
  <w:style w:type="paragraph" w:styleId="19" w:customStyle="1">
    <w:name w:val="Рецензия1"/>
    <w:qFormat/>
    <w:rsid w:val="00c44340"/>
    <w:pPr>
      <w:widowControl/>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FrameContents" w:customStyle="1">
    <w:name w:val="Frame Contents"/>
    <w:basedOn w:val="Normal"/>
    <w:qFormat/>
    <w:rsid w:val="00c44340"/>
    <w:pPr/>
    <w:rPr/>
  </w:style>
  <w:style w:type="paragraph" w:styleId="Style24" w:customStyle="1">
    <w:name w:val="Текст в заданном формате"/>
    <w:basedOn w:val="Normal"/>
    <w:qFormat/>
    <w:rsid w:val="00c44340"/>
    <w:pPr/>
    <w:rPr>
      <w:rFonts w:ascii="DejaVu Sans Mono" w:hAnsi="DejaVu Sans Mono" w:eastAsia="DejaVu Sans Mono" w:cs="DejaVu Sans Mono"/>
      <w:lang w:val="en-US"/>
    </w:rPr>
  </w:style>
  <w:style w:type="paragraph" w:styleId="110" w:customStyle="1">
    <w:name w:val="Без интервала1"/>
    <w:qFormat/>
    <w:rsid w:val="00c44340"/>
    <w:pPr>
      <w:widowControl/>
      <w:suppressAutoHyphens w:val="true"/>
      <w:bidi w:val="0"/>
      <w:jc w:val="left"/>
    </w:pPr>
    <w:rPr>
      <w:rFonts w:ascii="PMingLiU" w:hAnsi="PMingLiU" w:eastAsia="ＭＳ 明朝" w:cs="PMingLiU"/>
      <w:color w:val="00000A"/>
      <w:sz w:val="22"/>
      <w:szCs w:val="22"/>
      <w:lang w:val="en-US" w:eastAsia="zh-CN" w:bidi="ar-SA"/>
    </w:rPr>
  </w:style>
  <w:style w:type="paragraph" w:styleId="BalloonText">
    <w:name w:val="Balloon Text"/>
    <w:basedOn w:val="Normal"/>
    <w:uiPriority w:val="99"/>
    <w:semiHidden/>
    <w:unhideWhenUsed/>
    <w:qFormat/>
    <w:rsid w:val="00c15bbb"/>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439D4-CA64-3C49-A5B0-A3242EBC7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LibreOffice/5.0.6.2$Linux_X86_64 LibreOffice_project/00$Build-2</Application>
  <Paragraphs>337</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2018-03-07T07:38:00Z</dcterms:created>
  <dc:creator>Potrebenikov Yu. K.</dc:creator>
  <dc:language>ru-RU</dc:language>
  <cp:lastModifiedBy>Madigozhin </cp:lastModifiedBy>
  <cp:lastPrinted>2015-03-16T11:21:00Z</cp:lastPrinted>
  <dcterms:modified xsi:type="dcterms:W3CDTF">2018-03-13T09:17:14Z</dcterms:modified>
  <cp:revision>4</cp:revision>
  <dc:title>p%Format: RaTex2e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