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fontTable.xml" ContentType="application/vnd.openxmlformats-officedocument.wordprocessingml.fontTable+xml"/>
  <Override PartName="/word/footer2.xml" ContentType="application/vnd.openxmlformats-officedocument.wordprocessingml.footer+xml"/>
  <Override PartName="/word/_rels/document.xml.rels" ContentType="application/vnd.openxmlformats-package.relationships+xml"/>
  <Override PartName="/word/settings.xml" ContentType="application/vnd.openxmlformats-officedocument.wordprocessingml.settings+xml"/>
  <Override PartName="/word/media/image15.png" ContentType="image/png"/>
  <Override PartName="/word/media/image13.png" ContentType="image/png"/>
  <Override PartName="/word/media/image12.png" ContentType="image/png"/>
  <Override PartName="/word/media/image11.png" ContentType="image/png"/>
  <Override PartName="/word/media/image1.png" ContentType="image/png"/>
  <Override PartName="/word/media/image17.png" ContentType="image/png"/>
  <Override PartName="/word/media/image8.jpeg" ContentType="image/jpeg"/>
  <Override PartName="/word/media/image2.png" ContentType="image/png"/>
  <Override PartName="/word/media/image16.png" ContentType="image/png"/>
  <Override PartName="/word/media/image3.jpeg" ContentType="image/jpeg"/>
  <Override PartName="/word/media/image14.png" ContentType="image/png"/>
  <Override PartName="/word/media/image10.jpeg" ContentType="image/jpeg"/>
  <Override PartName="/word/media/image5.png" ContentType="image/png"/>
  <Override PartName="/word/media/image7.png" ContentType="image/png"/>
  <Override PartName="/word/media/image9.jpeg" ContentType="image/jpeg"/>
  <Override PartName="/word/media/image4.jpeg" ContentType="image/jpeg"/>
  <Override PartName="/word/media/image6.png" ContentType="image/png"/>
  <Override PartName="/word/theme/theme1.xml" ContentType="application/vnd.openxmlformats-officedocument.theme+xml"/>
  <Override PartName="/word/styles.xml" ContentType="application/vnd.openxmlformats-officedocument.wordprocessingml.styles+xml"/>
  <Override PartName="/word/numbering.xml" ContentType="application/vnd.openxmlformats-officedocument.wordprocessingml.numbering+xml"/>
  <Override PartName="/word/footer1.xml" ContentType="application/vnd.openxmlformats-officedocument.wordprocessingml.footer+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PlainText"/>
        <w:jc w:val="right"/>
        <w:rPr>
          <w:rFonts w:ascii="Times New Roman" w:hAnsi="Times New Roman" w:eastAsia="MS Mincho"/>
          <w:sz w:val="24"/>
          <w:lang w:val="ru-RU"/>
        </w:rPr>
      </w:pPr>
      <w:r>
        <w:rPr>
          <w:rFonts w:eastAsia="MS Mincho" w:ascii="Times New Roman" w:hAnsi="Times New Roman"/>
          <w:sz w:val="24"/>
          <w:lang w:val="ru-RU"/>
        </w:rPr>
        <w:t>Форма N 24</w:t>
      </w:r>
    </w:p>
    <w:p>
      <w:pPr>
        <w:pStyle w:val="14"/>
        <w:rPr>
          <w:rFonts w:eastAsia="MS Mincho"/>
          <w:b/>
          <w:b/>
        </w:rPr>
      </w:pPr>
      <w:r>
        <w:rPr>
          <w:rFonts w:eastAsia="MS Mincho"/>
          <w:b/>
        </w:rPr>
      </w:r>
    </w:p>
    <w:p>
      <w:pPr>
        <w:pStyle w:val="WWPlainText"/>
        <w:spacing w:before="0" w:after="120"/>
        <w:jc w:val="center"/>
        <w:rPr>
          <w:b/>
          <w:b/>
          <w:sz w:val="24"/>
          <w:szCs w:val="28"/>
        </w:rPr>
      </w:pPr>
      <w:r>
        <w:rPr>
          <w:b/>
          <w:sz w:val="24"/>
          <w:szCs w:val="28"/>
        </w:rPr>
        <w:t xml:space="preserve">ИЗМЕРЕНИЕ РЕДКОГО РАСПАДА  </w:t>
      </w:r>
      <w:r>
        <w:rPr>
          <w:b/>
          <w:spacing w:val="1"/>
          <w:w w:val="120"/>
          <w:sz w:val="28"/>
          <w:szCs w:val="28"/>
          <w:lang w:val="en-US"/>
        </w:rPr>
        <w:t>K</w:t>
      </w:r>
      <w:r>
        <w:rPr>
          <w:b/>
          <w:spacing w:val="1"/>
          <w:w w:val="120"/>
          <w:sz w:val="28"/>
          <w:szCs w:val="28"/>
          <w:vertAlign w:val="superscript"/>
        </w:rPr>
        <w:t>+</w:t>
      </w:r>
      <w:r>
        <w:rPr>
          <w:b/>
          <w:spacing w:val="1"/>
          <w:w w:val="120"/>
          <w:sz w:val="28"/>
          <w:szCs w:val="28"/>
        </w:rPr>
        <w:t xml:space="preserve"> </w:t>
      </w:r>
      <w:r>
        <w:rPr>
          <w:rFonts w:cs="Symbol" w:ascii="Symbol" w:hAnsi="Symbol"/>
          <w:b/>
          <w:spacing w:val="1"/>
          <w:w w:val="120"/>
          <w:sz w:val="28"/>
          <w:szCs w:val="28"/>
          <w:lang w:val="en-US"/>
        </w:rPr>
        <w:t></w:t>
      </w:r>
      <w:r>
        <w:rPr>
          <w:b/>
          <w:spacing w:val="1"/>
          <w:w w:val="120"/>
          <w:sz w:val="28"/>
          <w:szCs w:val="28"/>
          <w:vertAlign w:val="superscript"/>
        </w:rPr>
        <w:t>+</w:t>
      </w:r>
      <w:r>
        <w:rPr>
          <w:rFonts w:cs="Symbol" w:ascii="Symbol" w:hAnsi="Symbol"/>
          <w:b/>
          <w:spacing w:val="1"/>
          <w:w w:val="120"/>
          <w:sz w:val="28"/>
          <w:szCs w:val="28"/>
          <w:lang w:val="en-US"/>
        </w:rPr>
        <w:t></w:t>
      </w:r>
      <w:r>
        <w:rPr>
          <w:rFonts w:cs="Symbol" w:ascii="Symbol" w:hAnsi="Symbol"/>
          <w:b/>
          <w:spacing w:val="2"/>
          <w:w w:val="120"/>
          <w:sz w:val="28"/>
          <w:szCs w:val="28"/>
          <w:lang w:val="en-US"/>
        </w:rPr>
        <w:t></w:t>
      </w:r>
      <w:r>
        <w:rPr>
          <w:rFonts w:cs="Symbol" w:ascii="Symbol" w:hAnsi="Symbol"/>
          <w:b/>
          <w:spacing w:val="1"/>
          <w:w w:val="120"/>
          <w:sz w:val="28"/>
          <w:szCs w:val="28"/>
          <w:lang w:val="en-US"/>
        </w:rPr>
        <w:t></w:t>
      </w:r>
      <w:r>
        <w:rPr>
          <w:rFonts w:ascii="Arial" w:hAnsi="Arial"/>
          <w:b/>
          <w:sz w:val="28"/>
          <w:szCs w:val="28"/>
        </w:rPr>
        <w:br/>
      </w:r>
      <w:r>
        <w:rPr>
          <w:b/>
          <w:sz w:val="24"/>
          <w:szCs w:val="28"/>
        </w:rPr>
        <w:t>НА УСКОРИТЕЛЕ SPS ЦЕРН</w:t>
      </w:r>
    </w:p>
    <w:p>
      <w:pPr>
        <w:pStyle w:val="WWPlainText"/>
        <w:jc w:val="center"/>
        <w:rPr>
          <w:rFonts w:eastAsia="Verdana"/>
          <w:b/>
          <w:b/>
          <w:bCs/>
          <w:color w:val="000000"/>
          <w:sz w:val="24"/>
        </w:rPr>
      </w:pPr>
      <w:r>
        <w:rPr>
          <w:sz w:val="24"/>
        </w:rPr>
        <w:t xml:space="preserve">Условное обозначение проекта - </w:t>
      </w:r>
      <w:r>
        <w:rPr>
          <w:b/>
          <w:sz w:val="24"/>
        </w:rPr>
        <w:t>NA-62 (</w:t>
      </w:r>
      <w:r>
        <w:rPr>
          <w:rFonts w:eastAsia="Verdana"/>
          <w:bCs/>
          <w:color w:val="000000"/>
          <w:sz w:val="24"/>
        </w:rPr>
        <w:t>сотрудничество</w:t>
      </w:r>
      <w:r>
        <w:rPr>
          <w:rFonts w:eastAsia="Verdana"/>
          <w:b/>
          <w:bCs/>
          <w:color w:val="000000"/>
          <w:sz w:val="24"/>
        </w:rPr>
        <w:t xml:space="preserve"> NA62)</w:t>
      </w:r>
    </w:p>
    <w:p>
      <w:pPr>
        <w:pStyle w:val="WWPlainText"/>
        <w:jc w:val="center"/>
        <w:rPr>
          <w:i/>
          <w:i/>
          <w:sz w:val="24"/>
        </w:rPr>
      </w:pPr>
      <w:r>
        <w:rPr>
          <w:rFonts w:eastAsia="Verdana"/>
          <w:bCs/>
          <w:i/>
          <w:color w:val="000000"/>
          <w:sz w:val="24"/>
        </w:rPr>
        <w:t>Продление на 2019-2021</w:t>
      </w:r>
    </w:p>
    <w:p>
      <w:pPr>
        <w:pStyle w:val="TextBody"/>
        <w:rPr/>
      </w:pPr>
      <w:r>
        <w:rPr/>
      </w:r>
    </w:p>
    <w:p>
      <w:pPr>
        <w:pStyle w:val="Normal"/>
        <w:spacing w:before="0" w:after="240"/>
        <w:jc w:val="both"/>
        <w:rPr>
          <w:rFonts w:eastAsia="Verdana" w:cs="Verdana"/>
          <w:b/>
          <w:b/>
          <w:bCs/>
          <w:color w:val="CC0000"/>
          <w:sz w:val="22"/>
          <w:szCs w:val="22"/>
        </w:rPr>
      </w:pPr>
      <w:r>
        <w:rPr>
          <w:b/>
          <w:sz w:val="22"/>
        </w:rPr>
        <w:t xml:space="preserve">Список участников и организаций </w:t>
      </w:r>
    </w:p>
    <w:p>
      <w:pPr>
        <w:pStyle w:val="Normal"/>
        <w:jc w:val="both"/>
        <w:rPr>
          <w:rFonts w:eastAsia="Verdana" w:cs="Verdana"/>
          <w:b/>
          <w:b/>
          <w:bCs/>
          <w:color w:val="CC0000"/>
          <w:sz w:val="22"/>
          <w:szCs w:val="22"/>
        </w:rPr>
      </w:pPr>
      <w:r>
        <w:rPr>
          <w:rFonts w:eastAsia="Verdana" w:cs="Verdana"/>
          <w:b/>
          <w:bCs/>
          <w:color w:val="CC0000"/>
          <w:sz w:val="22"/>
          <w:szCs w:val="22"/>
        </w:rPr>
        <w:t xml:space="preserve">Бельгия: </w:t>
      </w:r>
      <w:r>
        <w:rPr>
          <w:rFonts w:eastAsia="Verdana" w:cs="Verdana"/>
          <w:sz w:val="22"/>
          <w:szCs w:val="22"/>
        </w:rPr>
        <w:t>Католический университет г. Лувена</w:t>
      </w:r>
      <w:r>
        <w:rPr>
          <w:rFonts w:eastAsia="Verdana" w:cs="Verdana"/>
          <w:color w:val="000000"/>
          <w:sz w:val="22"/>
          <w:szCs w:val="22"/>
        </w:rPr>
        <w:t xml:space="preserve"> </w:t>
      </w:r>
      <w:r>
        <w:rPr>
          <w:rFonts w:eastAsia="Verdana" w:cs="Verdana"/>
          <w:b/>
          <w:bCs/>
          <w:sz w:val="22"/>
          <w:szCs w:val="22"/>
        </w:rPr>
        <w:t>(</w:t>
      </w:r>
      <w:r>
        <w:rPr>
          <w:rFonts w:eastAsia="Verdana" w:cs="Verdana"/>
          <w:b/>
          <w:bCs/>
          <w:color w:val="CC0000"/>
          <w:sz w:val="22"/>
          <w:szCs w:val="22"/>
        </w:rPr>
        <w:t>Лувен-Ла-Нев</w:t>
      </w:r>
      <w:r>
        <w:rPr>
          <w:rFonts w:eastAsia="Verdana" w:cs="Verdana"/>
          <w:b/>
          <w:bCs/>
          <w:sz w:val="22"/>
          <w:szCs w:val="22"/>
        </w:rPr>
        <w:t xml:space="preserve">); </w:t>
      </w:r>
    </w:p>
    <w:p>
      <w:pPr>
        <w:pStyle w:val="Normal"/>
        <w:jc w:val="both"/>
        <w:rPr>
          <w:color w:val="000000"/>
          <w:sz w:val="22"/>
          <w:szCs w:val="22"/>
        </w:rPr>
      </w:pPr>
      <w:r>
        <w:rPr>
          <w:rFonts w:eastAsia="Verdana" w:cs="Verdana"/>
          <w:b/>
          <w:bCs/>
          <w:color w:val="CC0000"/>
          <w:sz w:val="22"/>
          <w:szCs w:val="22"/>
        </w:rPr>
        <w:t>Болгария:</w:t>
      </w:r>
      <w:r>
        <w:rPr>
          <w:rFonts w:eastAsia="Verdana" w:cs="Verdana"/>
          <w:b/>
          <w:bCs/>
          <w:color w:val="000000"/>
          <w:sz w:val="22"/>
          <w:szCs w:val="22"/>
        </w:rPr>
        <w:t xml:space="preserve"> </w:t>
      </w:r>
      <w:r>
        <w:rPr>
          <w:rFonts w:eastAsia="Verdana" w:cs="Verdana"/>
          <w:sz w:val="22"/>
          <w:szCs w:val="22"/>
        </w:rPr>
        <w:t>Софийск</w:t>
      </w:r>
      <w:r>
        <w:rPr>
          <w:sz w:val="22"/>
          <w:szCs w:val="22"/>
        </w:rPr>
        <w:t>ий</w:t>
      </w:r>
      <w:r>
        <w:rPr>
          <w:rFonts w:eastAsia="Verdana" w:cs="Verdana"/>
          <w:sz w:val="22"/>
          <w:szCs w:val="22"/>
        </w:rPr>
        <w:t xml:space="preserve"> университет им. Св. Климента Охридского,</w:t>
      </w:r>
      <w:r>
        <w:rPr>
          <w:rFonts w:eastAsia="Verdana" w:cs="Verdana"/>
          <w:b/>
          <w:bCs/>
          <w:sz w:val="22"/>
          <w:szCs w:val="22"/>
        </w:rPr>
        <w:t xml:space="preserve"> </w:t>
      </w:r>
      <w:r>
        <w:rPr>
          <w:rFonts w:eastAsia="Verdana" w:cs="Verdana"/>
          <w:sz w:val="22"/>
          <w:szCs w:val="22"/>
        </w:rPr>
        <w:t>физический факультет</w:t>
      </w:r>
    </w:p>
    <w:p>
      <w:pPr>
        <w:pStyle w:val="Normal"/>
        <w:ind w:left="708" w:hanging="0"/>
        <w:jc w:val="both"/>
        <w:rPr>
          <w:rFonts w:eastAsia="Verdana" w:cs="Verdana"/>
          <w:b/>
          <w:b/>
          <w:bCs/>
          <w:color w:val="000000"/>
          <w:sz w:val="22"/>
          <w:szCs w:val="22"/>
        </w:rPr>
      </w:pPr>
      <w:r>
        <w:rPr>
          <w:color w:val="000000"/>
          <w:sz w:val="22"/>
          <w:szCs w:val="22"/>
        </w:rPr>
        <w:t xml:space="preserve">       </w:t>
      </w:r>
      <w:r>
        <w:rPr>
          <w:rFonts w:eastAsia="Verdana" w:cs="Verdana"/>
          <w:b/>
          <w:bCs/>
          <w:color w:val="CC0000"/>
          <w:sz w:val="22"/>
          <w:szCs w:val="22"/>
        </w:rPr>
        <w:t>(София</w:t>
      </w:r>
      <w:r>
        <w:rPr>
          <w:rFonts w:eastAsia="Verdana" w:cs="Verdana"/>
          <w:b/>
          <w:bCs/>
          <w:sz w:val="22"/>
          <w:szCs w:val="22"/>
        </w:rPr>
        <w:t>);</w:t>
      </w:r>
      <w:r>
        <w:rPr>
          <w:rFonts w:eastAsia="Verdana" w:cs="Verdana"/>
          <w:b/>
          <w:bCs/>
          <w:color w:val="000000"/>
          <w:sz w:val="22"/>
          <w:szCs w:val="22"/>
        </w:rPr>
        <w:t xml:space="preserve"> </w:t>
      </w:r>
    </w:p>
    <w:p>
      <w:pPr>
        <w:pStyle w:val="TextBody"/>
        <w:rPr>
          <w:b/>
          <w:b/>
          <w:color w:val="CC0000"/>
          <w:sz w:val="22"/>
        </w:rPr>
      </w:pPr>
      <w:r>
        <w:rPr>
          <w:b/>
          <w:color w:val="DA0807"/>
          <w:sz w:val="22"/>
        </w:rPr>
        <w:t>Канада</w:t>
      </w:r>
      <w:r>
        <w:rPr>
          <w:b/>
          <w:sz w:val="22"/>
        </w:rPr>
        <w:t xml:space="preserve">: </w:t>
      </w:r>
      <w:r>
        <w:rPr>
          <w:sz w:val="22"/>
        </w:rPr>
        <w:t>ТРИУМФ, Университет британской Колумбии</w:t>
      </w:r>
      <w:r>
        <w:rPr>
          <w:b/>
          <w:sz w:val="22"/>
        </w:rPr>
        <w:t xml:space="preserve"> (</w:t>
      </w:r>
      <w:r>
        <w:rPr>
          <w:b/>
          <w:color w:val="DA0807"/>
          <w:sz w:val="22"/>
        </w:rPr>
        <w:t>Ванкувер</w:t>
      </w:r>
      <w:r>
        <w:rPr>
          <w:b/>
          <w:sz w:val="22"/>
        </w:rPr>
        <w:t>);</w:t>
      </w:r>
    </w:p>
    <w:p>
      <w:pPr>
        <w:pStyle w:val="Normal"/>
        <w:jc w:val="both"/>
        <w:rPr>
          <w:rFonts w:eastAsia="Verdana" w:cs="Verdana"/>
          <w:b/>
          <w:b/>
          <w:bCs/>
          <w:color w:val="CC0000"/>
          <w:sz w:val="22"/>
          <w:szCs w:val="22"/>
        </w:rPr>
      </w:pPr>
      <w:r>
        <w:rPr>
          <w:rFonts w:eastAsia="Verdana" w:cs="Verdana"/>
          <w:b/>
          <w:bCs/>
          <w:color w:val="CC0000"/>
          <w:sz w:val="22"/>
          <w:szCs w:val="22"/>
        </w:rPr>
        <w:t>Чехия:</w:t>
      </w:r>
      <w:r>
        <w:rPr>
          <w:rFonts w:eastAsia="Verdana" w:cs="Verdana"/>
          <w:b/>
          <w:bCs/>
          <w:color w:val="000000"/>
          <w:sz w:val="22"/>
          <w:szCs w:val="22"/>
        </w:rPr>
        <w:t xml:space="preserve"> </w:t>
      </w:r>
      <w:r>
        <w:rPr>
          <w:rFonts w:eastAsia="Verdana" w:cs="Verdana"/>
          <w:color w:val="000000"/>
          <w:sz w:val="22"/>
          <w:szCs w:val="22"/>
        </w:rPr>
        <w:t>Карлов университет</w:t>
      </w:r>
      <w:r>
        <w:rPr>
          <w:sz w:val="22"/>
          <w:szCs w:val="22"/>
        </w:rPr>
        <w:t xml:space="preserve"> </w:t>
      </w:r>
      <w:r>
        <w:rPr>
          <w:rFonts w:eastAsia="Verdana" w:cs="Verdana"/>
          <w:b/>
          <w:bCs/>
          <w:sz w:val="22"/>
          <w:szCs w:val="22"/>
        </w:rPr>
        <w:t>(</w:t>
      </w:r>
      <w:r>
        <w:rPr>
          <w:rFonts w:eastAsia="Verdana" w:cs="Verdana"/>
          <w:b/>
          <w:bCs/>
          <w:color w:val="CC0000"/>
          <w:sz w:val="22"/>
          <w:szCs w:val="22"/>
        </w:rPr>
        <w:t>Прага</w:t>
      </w:r>
      <w:r>
        <w:rPr>
          <w:rFonts w:eastAsia="Verdana" w:cs="Verdana"/>
          <w:b/>
          <w:bCs/>
          <w:sz w:val="22"/>
          <w:szCs w:val="22"/>
        </w:rPr>
        <w:t xml:space="preserve">); </w:t>
      </w:r>
    </w:p>
    <w:p>
      <w:pPr>
        <w:pStyle w:val="Normal"/>
        <w:jc w:val="both"/>
        <w:rPr>
          <w:rFonts w:eastAsia="Verdana" w:cs="Verdana"/>
          <w:b/>
          <w:b/>
          <w:bCs/>
          <w:sz w:val="22"/>
          <w:szCs w:val="22"/>
        </w:rPr>
      </w:pPr>
      <w:r>
        <w:rPr>
          <w:rFonts w:eastAsia="Verdana" w:cs="Verdana"/>
          <w:b/>
          <w:bCs/>
          <w:color w:val="CC0000"/>
          <w:sz w:val="22"/>
          <w:szCs w:val="22"/>
        </w:rPr>
        <w:t>Германия:</w:t>
      </w:r>
      <w:r>
        <w:rPr>
          <w:rFonts w:eastAsia="Verdana" w:cs="Verdana"/>
          <w:b/>
          <w:bCs/>
          <w:color w:val="000000"/>
          <w:sz w:val="22"/>
          <w:szCs w:val="22"/>
        </w:rPr>
        <w:t xml:space="preserve"> </w:t>
      </w:r>
      <w:r>
        <w:rPr>
          <w:rFonts w:eastAsia="Verdana" w:cs="Verdana"/>
          <w:bCs/>
          <w:color w:val="000000"/>
          <w:sz w:val="22"/>
          <w:szCs w:val="22"/>
        </w:rPr>
        <w:t xml:space="preserve">Университет им. </w:t>
      </w:r>
      <w:r>
        <w:rPr>
          <w:rFonts w:eastAsia="Verdana" w:cs="Verdana"/>
          <w:color w:val="000000"/>
          <w:sz w:val="22"/>
          <w:szCs w:val="22"/>
        </w:rPr>
        <w:t xml:space="preserve">Йоханнеса Гутенберга г. Майнц </w:t>
      </w:r>
      <w:r>
        <w:rPr>
          <w:rFonts w:eastAsia="Verdana" w:cs="Verdana"/>
          <w:b/>
          <w:bCs/>
          <w:sz w:val="22"/>
          <w:szCs w:val="22"/>
        </w:rPr>
        <w:t>(</w:t>
      </w:r>
      <w:r>
        <w:rPr>
          <w:rFonts w:eastAsia="Verdana" w:cs="Verdana"/>
          <w:b/>
          <w:bCs/>
          <w:color w:val="CC0000"/>
          <w:sz w:val="22"/>
          <w:szCs w:val="22"/>
        </w:rPr>
        <w:t>Майнц</w:t>
      </w:r>
      <w:r>
        <w:rPr>
          <w:rFonts w:eastAsia="Verdana" w:cs="Verdana"/>
          <w:b/>
          <w:bCs/>
          <w:sz w:val="22"/>
          <w:szCs w:val="22"/>
        </w:rPr>
        <w:t xml:space="preserve">); </w:t>
      </w:r>
    </w:p>
    <w:p>
      <w:pPr>
        <w:pStyle w:val="Normal"/>
        <w:ind w:left="709" w:hanging="709"/>
        <w:jc w:val="both"/>
        <w:rPr>
          <w:rFonts w:eastAsia="Verdana" w:cs="Verdana"/>
          <w:b/>
          <w:b/>
          <w:bCs/>
          <w:color w:val="CC0000"/>
          <w:sz w:val="22"/>
          <w:szCs w:val="22"/>
        </w:rPr>
      </w:pPr>
      <w:r>
        <w:rPr>
          <w:rFonts w:eastAsia="Verdana" w:cs="Verdana"/>
          <w:b/>
          <w:bCs/>
          <w:color w:val="CC0000"/>
          <w:sz w:val="22"/>
          <w:szCs w:val="22"/>
        </w:rPr>
        <w:t>Италия:</w:t>
      </w:r>
      <w:r>
        <w:rPr>
          <w:rFonts w:eastAsia="Verdana" w:cs="Verdana"/>
          <w:bCs/>
          <w:color w:val="000000"/>
          <w:sz w:val="22"/>
          <w:szCs w:val="22"/>
        </w:rPr>
        <w:t xml:space="preserve"> </w:t>
      </w:r>
      <w:r>
        <w:rPr>
          <w:rFonts w:eastAsia="Verdana" w:cs="Verdana"/>
          <w:bCs/>
          <w:sz w:val="22"/>
          <w:szCs w:val="22"/>
        </w:rPr>
        <w:t>Университет г.</w:t>
      </w:r>
      <w:r>
        <w:rPr>
          <w:rFonts w:eastAsia="Verdana" w:cs="Verdana"/>
          <w:color w:val="000000"/>
          <w:sz w:val="22"/>
          <w:szCs w:val="22"/>
        </w:rPr>
        <w:t xml:space="preserve"> Феррары </w:t>
      </w:r>
      <w:r>
        <w:rPr>
          <w:rFonts w:eastAsia="Verdana" w:cs="Verdana"/>
          <w:b/>
          <w:bCs/>
          <w:sz w:val="22"/>
          <w:szCs w:val="22"/>
        </w:rPr>
        <w:t>(</w:t>
      </w:r>
      <w:r>
        <w:rPr>
          <w:rFonts w:eastAsia="Verdana" w:cs="Verdana"/>
          <w:b/>
          <w:color w:val="FF0000"/>
          <w:sz w:val="22"/>
          <w:szCs w:val="22"/>
        </w:rPr>
        <w:t>Феррара</w:t>
      </w:r>
      <w:r>
        <w:rPr>
          <w:rFonts w:eastAsia="Verdana" w:cs="Verdana"/>
          <w:b/>
          <w:bCs/>
          <w:sz w:val="22"/>
          <w:szCs w:val="22"/>
        </w:rPr>
        <w:t>),</w:t>
      </w:r>
      <w:r>
        <w:rPr>
          <w:rFonts w:eastAsia="Verdana" w:cs="Verdana"/>
          <w:b/>
          <w:bCs/>
          <w:color w:val="000000"/>
          <w:sz w:val="22"/>
          <w:szCs w:val="22"/>
        </w:rPr>
        <w:t xml:space="preserve"> </w:t>
      </w:r>
      <w:r>
        <w:rPr>
          <w:rFonts w:eastAsia="Verdana" w:cs="Verdana"/>
          <w:color w:val="000000"/>
          <w:sz w:val="22"/>
          <w:szCs w:val="22"/>
        </w:rPr>
        <w:t xml:space="preserve">Университет INFN </w:t>
      </w:r>
      <w:r>
        <w:rPr>
          <w:rFonts w:eastAsia="Verdana" w:cs="Verdana"/>
          <w:b/>
          <w:bCs/>
          <w:sz w:val="22"/>
          <w:szCs w:val="22"/>
        </w:rPr>
        <w:t>(</w:t>
      </w:r>
      <w:r>
        <w:rPr>
          <w:rFonts w:eastAsia="Verdana" w:cs="Verdana"/>
          <w:b/>
          <w:bCs/>
          <w:color w:val="CC0000"/>
          <w:sz w:val="22"/>
          <w:szCs w:val="22"/>
        </w:rPr>
        <w:t>Флоренция</w:t>
      </w:r>
      <w:r>
        <w:rPr>
          <w:rFonts w:eastAsia="Verdana" w:cs="Verdana"/>
          <w:b/>
          <w:bCs/>
          <w:sz w:val="22"/>
          <w:szCs w:val="22"/>
        </w:rPr>
        <w:t xml:space="preserve">), </w:t>
      </w:r>
      <w:r>
        <w:rPr>
          <w:rFonts w:eastAsia="Verdana" w:cs="Verdana"/>
          <w:color w:val="000000"/>
          <w:sz w:val="22"/>
          <w:szCs w:val="22"/>
        </w:rPr>
        <w:br/>
      </w:r>
      <w:r>
        <w:rPr>
          <w:rFonts w:eastAsia="Verdana" w:cs="Verdana"/>
          <w:sz w:val="22"/>
          <w:szCs w:val="22"/>
        </w:rPr>
        <w:t>Национальный институт ядерной физики (INFN)</w:t>
      </w:r>
      <w:r>
        <w:rPr>
          <w:rFonts w:eastAsia="Verdana" w:cs="Verdana"/>
          <w:b/>
          <w:bCs/>
          <w:sz w:val="22"/>
          <w:szCs w:val="22"/>
        </w:rPr>
        <w:t xml:space="preserve">, </w:t>
      </w:r>
      <w:r>
        <w:rPr>
          <w:rFonts w:eastAsia="Verdana" w:cs="Verdana"/>
          <w:bCs/>
          <w:sz w:val="22"/>
          <w:szCs w:val="22"/>
        </w:rPr>
        <w:t>национальная лаборатория г.</w:t>
      </w:r>
      <w:r>
        <w:rPr>
          <w:rFonts w:eastAsia="Verdana" w:cs="Verdana"/>
          <w:sz w:val="22"/>
          <w:szCs w:val="22"/>
        </w:rPr>
        <w:t xml:space="preserve"> Фраскати </w:t>
      </w:r>
      <w:r>
        <w:rPr>
          <w:rFonts w:eastAsia="Verdana" w:cs="Verdana"/>
          <w:b/>
          <w:bCs/>
          <w:sz w:val="22"/>
          <w:szCs w:val="22"/>
        </w:rPr>
        <w:t>(</w:t>
      </w:r>
      <w:r>
        <w:rPr>
          <w:rFonts w:eastAsia="Verdana" w:cs="Verdana"/>
          <w:b/>
          <w:bCs/>
          <w:color w:val="CC0000"/>
          <w:sz w:val="22"/>
          <w:szCs w:val="22"/>
        </w:rPr>
        <w:t>Фраскати</w:t>
      </w:r>
      <w:r>
        <w:rPr>
          <w:rFonts w:eastAsia="Verdana" w:cs="Verdana"/>
          <w:b/>
          <w:bCs/>
          <w:sz w:val="22"/>
          <w:szCs w:val="22"/>
        </w:rPr>
        <w:t>)</w:t>
      </w:r>
      <w:r>
        <w:rPr>
          <w:rFonts w:eastAsia="Verdana" w:cs="Verdana"/>
          <w:bCs/>
          <w:sz w:val="22"/>
          <w:szCs w:val="22"/>
        </w:rPr>
        <w:t>,</w:t>
      </w:r>
      <w:r>
        <w:rPr>
          <w:rFonts w:eastAsia="Verdana" w:cs="Verdana"/>
          <w:bCs/>
          <w:color w:val="000000"/>
          <w:sz w:val="22"/>
          <w:szCs w:val="22"/>
        </w:rPr>
        <w:t xml:space="preserve"> университет</w:t>
      </w:r>
      <w:r>
        <w:rPr>
          <w:rFonts w:eastAsia="Verdana" w:cs="Verdana"/>
          <w:color w:val="000000"/>
          <w:sz w:val="22"/>
          <w:szCs w:val="22"/>
        </w:rPr>
        <w:t xml:space="preserve"> INFN </w:t>
      </w:r>
      <w:r>
        <w:rPr>
          <w:rFonts w:eastAsia="Verdana" w:cs="Verdana"/>
          <w:b/>
          <w:bCs/>
          <w:sz w:val="22"/>
          <w:szCs w:val="22"/>
        </w:rPr>
        <w:t>(</w:t>
      </w:r>
      <w:r>
        <w:rPr>
          <w:rFonts w:eastAsia="Verdana" w:cs="Verdana"/>
          <w:b/>
          <w:bCs/>
          <w:color w:val="CC0000"/>
          <w:sz w:val="22"/>
          <w:szCs w:val="22"/>
        </w:rPr>
        <w:t>Неаполь</w:t>
      </w:r>
      <w:r>
        <w:rPr>
          <w:rFonts w:eastAsia="Verdana" w:cs="Verdana"/>
          <w:b/>
          <w:bCs/>
          <w:sz w:val="22"/>
          <w:szCs w:val="22"/>
        </w:rPr>
        <w:t>),</w:t>
      </w:r>
      <w:r>
        <w:rPr>
          <w:rFonts w:eastAsia="Verdana" w:cs="Verdana"/>
          <w:b/>
          <w:bCs/>
          <w:color w:val="000000"/>
          <w:sz w:val="22"/>
          <w:szCs w:val="22"/>
        </w:rPr>
        <w:t xml:space="preserve"> </w:t>
      </w:r>
      <w:r>
        <w:rPr>
          <w:rFonts w:eastAsia="Verdana" w:cs="Verdana"/>
          <w:color w:val="000000"/>
          <w:sz w:val="22"/>
          <w:szCs w:val="22"/>
        </w:rPr>
        <w:t>университет INFN</w:t>
      </w:r>
      <w:r>
        <w:rPr>
          <w:rFonts w:eastAsia="Verdana" w:cs="Verdana"/>
          <w:sz w:val="22"/>
          <w:szCs w:val="22"/>
        </w:rPr>
        <w:t xml:space="preserve"> </w:t>
      </w:r>
      <w:r>
        <w:rPr>
          <w:rFonts w:eastAsia="Verdana" w:cs="Verdana"/>
          <w:b/>
          <w:bCs/>
          <w:sz w:val="22"/>
          <w:szCs w:val="22"/>
        </w:rPr>
        <w:t>(</w:t>
      </w:r>
      <w:r>
        <w:rPr>
          <w:rFonts w:eastAsia="Verdana" w:cs="Verdana"/>
          <w:b/>
          <w:bCs/>
          <w:color w:val="CC0000"/>
          <w:sz w:val="22"/>
          <w:szCs w:val="22"/>
        </w:rPr>
        <w:t>Падуя</w:t>
      </w:r>
      <w:r>
        <w:rPr>
          <w:rFonts w:eastAsia="Verdana" w:cs="Verdana"/>
          <w:b/>
          <w:bCs/>
          <w:sz w:val="22"/>
          <w:szCs w:val="22"/>
        </w:rPr>
        <w:t xml:space="preserve">), </w:t>
      </w:r>
      <w:r>
        <w:rPr>
          <w:rFonts w:eastAsia="Verdana" w:cs="Verdana"/>
          <w:color w:val="000000"/>
          <w:sz w:val="22"/>
          <w:szCs w:val="22"/>
        </w:rPr>
        <w:t>университет INFN</w:t>
      </w:r>
      <w:r>
        <w:rPr>
          <w:rFonts w:eastAsia="Verdana" w:cs="Verdana"/>
          <w:sz w:val="22"/>
          <w:szCs w:val="22"/>
        </w:rPr>
        <w:t xml:space="preserve"> </w:t>
      </w:r>
      <w:r>
        <w:rPr>
          <w:rFonts w:eastAsia="Verdana" w:cs="Verdana"/>
          <w:b/>
          <w:bCs/>
          <w:sz w:val="22"/>
          <w:szCs w:val="22"/>
        </w:rPr>
        <w:t>(</w:t>
      </w:r>
      <w:r>
        <w:rPr>
          <w:rFonts w:eastAsia="Verdana" w:cs="Verdana"/>
          <w:b/>
          <w:bCs/>
          <w:color w:val="CC0000"/>
          <w:sz w:val="22"/>
          <w:szCs w:val="22"/>
        </w:rPr>
        <w:t>Перуджа</w:t>
      </w:r>
      <w:r>
        <w:rPr>
          <w:rFonts w:eastAsia="Verdana" w:cs="Verdana"/>
          <w:b/>
          <w:bCs/>
          <w:sz w:val="22"/>
          <w:szCs w:val="22"/>
        </w:rPr>
        <w:t xml:space="preserve">), </w:t>
      </w:r>
      <w:r>
        <w:rPr>
          <w:rFonts w:eastAsia="Verdana" w:cs="Verdana"/>
          <w:bCs/>
          <w:color w:val="000000"/>
          <w:sz w:val="22"/>
          <w:szCs w:val="22"/>
        </w:rPr>
        <w:t xml:space="preserve">Пизанское </w:t>
      </w:r>
      <w:r>
        <w:rPr>
          <w:rFonts w:eastAsia="Verdana" w:cs="Verdana"/>
          <w:color w:val="000000"/>
          <w:sz w:val="22"/>
          <w:szCs w:val="22"/>
        </w:rPr>
        <w:t xml:space="preserve">отделение INFN </w:t>
      </w:r>
      <w:r>
        <w:rPr>
          <w:rFonts w:eastAsia="Verdana" w:cs="Verdana"/>
          <w:b/>
          <w:bCs/>
          <w:sz w:val="22"/>
          <w:szCs w:val="22"/>
        </w:rPr>
        <w:t>(</w:t>
      </w:r>
      <w:r>
        <w:rPr>
          <w:rFonts w:eastAsia="Verdana" w:cs="Verdana"/>
          <w:b/>
          <w:bCs/>
          <w:color w:val="CC0000"/>
          <w:sz w:val="22"/>
          <w:szCs w:val="22"/>
        </w:rPr>
        <w:t>Пиза</w:t>
      </w:r>
      <w:r>
        <w:rPr>
          <w:rFonts w:eastAsia="Verdana" w:cs="Verdana"/>
          <w:b/>
          <w:bCs/>
          <w:sz w:val="22"/>
          <w:szCs w:val="22"/>
        </w:rPr>
        <w:t>),</w:t>
      </w:r>
      <w:r>
        <w:rPr>
          <w:rFonts w:eastAsia="Verdana" w:cs="Verdana"/>
          <w:b/>
          <w:bCs/>
          <w:color w:val="000000"/>
          <w:sz w:val="22"/>
          <w:szCs w:val="22"/>
        </w:rPr>
        <w:t xml:space="preserve"> </w:t>
      </w:r>
      <w:r>
        <w:rPr>
          <w:rFonts w:eastAsia="Verdana" w:cs="Verdana"/>
          <w:sz w:val="22"/>
          <w:szCs w:val="22"/>
        </w:rPr>
        <w:t>университет Тор Вергата, римское отделение,</w:t>
      </w:r>
      <w:r>
        <w:rPr>
          <w:rFonts w:eastAsia="Verdana" w:cs="Verdana"/>
          <w:color w:val="000000"/>
          <w:sz w:val="22"/>
          <w:szCs w:val="22"/>
        </w:rPr>
        <w:t xml:space="preserve"> INFN </w:t>
      </w:r>
      <w:r>
        <w:rPr>
          <w:rFonts w:eastAsia="Verdana" w:cs="Verdana"/>
          <w:b/>
          <w:bCs/>
          <w:sz w:val="22"/>
          <w:szCs w:val="22"/>
        </w:rPr>
        <w:t>(</w:t>
      </w:r>
      <w:r>
        <w:rPr>
          <w:rFonts w:eastAsia="Verdana" w:cs="Verdana"/>
          <w:b/>
          <w:bCs/>
          <w:color w:val="CC0000"/>
          <w:sz w:val="22"/>
          <w:szCs w:val="22"/>
        </w:rPr>
        <w:t>Рим</w:t>
      </w:r>
      <w:r>
        <w:rPr>
          <w:rFonts w:eastAsia="Verdana" w:cs="Verdana"/>
          <w:b/>
          <w:bCs/>
          <w:sz w:val="22"/>
          <w:szCs w:val="22"/>
        </w:rPr>
        <w:t xml:space="preserve">), </w:t>
      </w:r>
      <w:r>
        <w:rPr>
          <w:rFonts w:eastAsia="Verdana" w:cs="Verdana"/>
          <w:sz w:val="22"/>
          <w:szCs w:val="22"/>
        </w:rPr>
        <w:t xml:space="preserve">университет INFN, Рим I, римское отделение INFN </w:t>
      </w:r>
      <w:r>
        <w:rPr>
          <w:rFonts w:eastAsia="Verdana" w:cs="Verdana"/>
          <w:b/>
          <w:bCs/>
          <w:sz w:val="22"/>
          <w:szCs w:val="22"/>
        </w:rPr>
        <w:t>(</w:t>
      </w:r>
      <w:r>
        <w:rPr>
          <w:rFonts w:eastAsia="Verdana" w:cs="Verdana"/>
          <w:b/>
          <w:bCs/>
          <w:color w:val="CC0000"/>
          <w:sz w:val="22"/>
          <w:szCs w:val="22"/>
        </w:rPr>
        <w:t>Рим</w:t>
      </w:r>
      <w:r>
        <w:rPr>
          <w:rFonts w:eastAsia="Verdana" w:cs="Verdana"/>
          <w:b/>
          <w:bCs/>
          <w:sz w:val="22"/>
          <w:szCs w:val="22"/>
        </w:rPr>
        <w:t xml:space="preserve">),  </w:t>
      </w:r>
      <w:r>
        <w:rPr>
          <w:rFonts w:eastAsia="Verdana" w:cs="Verdana"/>
          <w:color w:val="000000"/>
          <w:sz w:val="22"/>
          <w:szCs w:val="22"/>
        </w:rPr>
        <w:t>университет INFN</w:t>
      </w:r>
      <w:r>
        <w:rPr>
          <w:rFonts w:eastAsia="Verdana" w:cs="Verdana"/>
          <w:sz w:val="22"/>
          <w:szCs w:val="22"/>
        </w:rPr>
        <w:t xml:space="preserve"> </w:t>
      </w:r>
      <w:r>
        <w:rPr>
          <w:rFonts w:eastAsia="Verdana" w:cs="Verdana"/>
          <w:b/>
          <w:bCs/>
          <w:sz w:val="22"/>
          <w:szCs w:val="22"/>
        </w:rPr>
        <w:t>(</w:t>
      </w:r>
      <w:r>
        <w:rPr>
          <w:rFonts w:eastAsia="Verdana" w:cs="Verdana"/>
          <w:b/>
          <w:bCs/>
          <w:color w:val="CC0000"/>
          <w:sz w:val="22"/>
          <w:szCs w:val="22"/>
        </w:rPr>
        <w:t>Турин</w:t>
      </w:r>
      <w:r>
        <w:rPr>
          <w:rFonts w:eastAsia="Verdana" w:cs="Verdana"/>
          <w:b/>
          <w:bCs/>
          <w:sz w:val="22"/>
          <w:szCs w:val="22"/>
        </w:rPr>
        <w:t>);</w:t>
      </w:r>
      <w:r>
        <w:rPr>
          <w:rFonts w:eastAsia="Verdana" w:cs="Verdana"/>
          <w:b/>
          <w:bCs/>
          <w:color w:val="000000"/>
          <w:sz w:val="22"/>
          <w:szCs w:val="22"/>
        </w:rPr>
        <w:t xml:space="preserve"> </w:t>
      </w:r>
    </w:p>
    <w:p>
      <w:pPr>
        <w:pStyle w:val="Normal"/>
        <w:jc w:val="both"/>
        <w:rPr>
          <w:rFonts w:eastAsia="Verdana" w:cs="Verdana"/>
          <w:b/>
          <w:b/>
          <w:bCs/>
          <w:color w:val="CC0000"/>
          <w:sz w:val="22"/>
          <w:szCs w:val="22"/>
        </w:rPr>
      </w:pPr>
      <w:r>
        <w:rPr>
          <w:rFonts w:eastAsia="Verdana" w:cs="Verdana"/>
          <w:b/>
          <w:bCs/>
          <w:color w:val="CC0000"/>
          <w:sz w:val="22"/>
          <w:szCs w:val="22"/>
        </w:rPr>
        <w:t>Мексика:</w:t>
      </w:r>
      <w:r>
        <w:rPr>
          <w:rFonts w:eastAsia="Verdana" w:cs="Verdana"/>
          <w:b/>
          <w:bCs/>
          <w:color w:val="000000"/>
          <w:sz w:val="22"/>
          <w:szCs w:val="22"/>
        </w:rPr>
        <w:t xml:space="preserve"> </w:t>
      </w:r>
      <w:r>
        <w:rPr>
          <w:rFonts w:eastAsia="Verdana" w:cs="Verdana"/>
          <w:sz w:val="22"/>
          <w:szCs w:val="22"/>
        </w:rPr>
        <w:t>Автономный университет Сан-Луис-Потоси,</w:t>
      </w:r>
      <w:r>
        <w:rPr>
          <w:rFonts w:eastAsia="Verdana" w:cs="Verdana"/>
          <w:b/>
          <w:bCs/>
          <w:sz w:val="22"/>
          <w:szCs w:val="22"/>
        </w:rPr>
        <w:t xml:space="preserve"> </w:t>
      </w:r>
      <w:r>
        <w:rPr>
          <w:rFonts w:eastAsia="Verdana" w:cs="Verdana"/>
          <w:sz w:val="22"/>
          <w:szCs w:val="22"/>
        </w:rPr>
        <w:t>Институт</w:t>
      </w:r>
      <w:r>
        <w:rPr>
          <w:rFonts w:eastAsia="Verdana" w:cs="Verdana"/>
          <w:color w:val="000000"/>
          <w:sz w:val="22"/>
          <w:szCs w:val="22"/>
        </w:rPr>
        <w:t xml:space="preserve"> </w:t>
      </w:r>
      <w:r>
        <w:rPr>
          <w:sz w:val="22"/>
          <w:szCs w:val="22"/>
        </w:rPr>
        <w:t xml:space="preserve">Физики </w:t>
      </w:r>
      <w:r>
        <w:rPr>
          <w:rFonts w:eastAsia="Verdana" w:cs="Verdana"/>
          <w:b/>
          <w:bCs/>
          <w:sz w:val="22"/>
          <w:szCs w:val="22"/>
        </w:rPr>
        <w:t>(</w:t>
      </w:r>
      <w:r>
        <w:rPr>
          <w:rFonts w:eastAsia="Verdana" w:cs="Verdana"/>
          <w:b/>
          <w:bCs/>
          <w:color w:val="CC0000"/>
          <w:sz w:val="22"/>
          <w:szCs w:val="22"/>
        </w:rPr>
        <w:t>Сан-Луис-</w:t>
      </w:r>
    </w:p>
    <w:p>
      <w:pPr>
        <w:pStyle w:val="Normal"/>
        <w:ind w:firstLine="709"/>
        <w:jc w:val="both"/>
        <w:rPr>
          <w:rFonts w:eastAsia="Verdana" w:cs="Verdana"/>
          <w:b/>
          <w:b/>
          <w:bCs/>
          <w:sz w:val="22"/>
          <w:szCs w:val="22"/>
        </w:rPr>
      </w:pPr>
      <w:r>
        <w:rPr>
          <w:rFonts w:eastAsia="Verdana" w:cs="Verdana"/>
          <w:b/>
          <w:bCs/>
          <w:color w:val="CC0000"/>
          <w:sz w:val="22"/>
          <w:szCs w:val="22"/>
        </w:rPr>
        <w:t>Потоси</w:t>
      </w:r>
      <w:r>
        <w:rPr>
          <w:rFonts w:eastAsia="Verdana" w:cs="Verdana"/>
          <w:b/>
          <w:bCs/>
          <w:sz w:val="22"/>
          <w:szCs w:val="22"/>
        </w:rPr>
        <w:t xml:space="preserve">); </w:t>
      </w:r>
    </w:p>
    <w:p>
      <w:pPr>
        <w:pStyle w:val="Normal"/>
        <w:ind w:left="709" w:hanging="709"/>
        <w:jc w:val="both"/>
        <w:rPr>
          <w:rFonts w:eastAsia="Verdana" w:cs="Verdana"/>
          <w:b/>
          <w:b/>
          <w:bCs/>
          <w:color w:val="CC0000"/>
          <w:sz w:val="22"/>
          <w:szCs w:val="22"/>
        </w:rPr>
      </w:pPr>
      <w:r>
        <w:rPr>
          <w:rFonts w:eastAsia="Verdana" w:cs="Verdana"/>
          <w:b/>
          <w:bCs/>
          <w:color w:val="CC0000"/>
          <w:sz w:val="22"/>
          <w:szCs w:val="22"/>
        </w:rPr>
        <w:t>Румыния:</w:t>
      </w:r>
      <w:r>
        <w:rPr>
          <w:rFonts w:eastAsia="Verdana" w:cs="Verdana"/>
          <w:b/>
          <w:bCs/>
          <w:color w:val="000000"/>
          <w:sz w:val="22"/>
          <w:szCs w:val="22"/>
        </w:rPr>
        <w:t xml:space="preserve"> </w:t>
      </w:r>
      <w:r>
        <w:rPr>
          <w:rFonts w:eastAsia="Verdana" w:cs="Verdana"/>
          <w:color w:val="000000"/>
          <w:sz w:val="22"/>
          <w:szCs w:val="22"/>
        </w:rPr>
        <w:t xml:space="preserve">Национального института физики и ядерной техники Хория Хулубей </w:t>
      </w:r>
      <w:r>
        <w:rPr>
          <w:rFonts w:eastAsia="Verdana" w:cs="Verdana"/>
          <w:b/>
          <w:bCs/>
          <w:sz w:val="22"/>
          <w:szCs w:val="22"/>
        </w:rPr>
        <w:t>(</w:t>
      </w:r>
      <w:r>
        <w:rPr>
          <w:rFonts w:eastAsia="Verdana" w:cs="Verdana"/>
          <w:b/>
          <w:bCs/>
          <w:color w:val="CC0000"/>
          <w:sz w:val="22"/>
          <w:szCs w:val="22"/>
        </w:rPr>
        <w:t>Бухарест-Мэгуреле</w:t>
      </w:r>
      <w:r>
        <w:rPr>
          <w:rFonts w:eastAsia="Verdana" w:cs="Verdana"/>
          <w:b/>
          <w:bCs/>
          <w:sz w:val="22"/>
          <w:szCs w:val="22"/>
        </w:rPr>
        <w:t xml:space="preserve">); </w:t>
      </w:r>
    </w:p>
    <w:p>
      <w:pPr>
        <w:pStyle w:val="Normal"/>
        <w:ind w:left="709" w:hanging="709"/>
        <w:jc w:val="both"/>
        <w:rPr>
          <w:rFonts w:eastAsia="Verdana" w:cs="Verdana"/>
          <w:b/>
          <w:b/>
          <w:bCs/>
          <w:color w:val="CC0000"/>
          <w:sz w:val="22"/>
          <w:szCs w:val="22"/>
        </w:rPr>
      </w:pPr>
      <w:r>
        <w:rPr>
          <w:rFonts w:eastAsia="Verdana" w:cs="Verdana"/>
          <w:b/>
          <w:bCs/>
          <w:color w:val="CC0000"/>
          <w:sz w:val="22"/>
          <w:szCs w:val="22"/>
        </w:rPr>
        <w:t>Россия:</w:t>
      </w:r>
      <w:r>
        <w:rPr>
          <w:rFonts w:eastAsia="Verdana" w:cs="Verdana"/>
          <w:b/>
          <w:bCs/>
          <w:color w:val="000000"/>
          <w:sz w:val="22"/>
          <w:szCs w:val="22"/>
        </w:rPr>
        <w:t xml:space="preserve"> </w:t>
      </w:r>
      <w:r>
        <w:rPr>
          <w:rFonts w:eastAsia="Verdana" w:cs="Verdana"/>
          <w:color w:val="000000"/>
          <w:sz w:val="22"/>
          <w:szCs w:val="22"/>
        </w:rPr>
        <w:t xml:space="preserve">Объединенный институт ядерных исследований – ОИЯИ </w:t>
      </w:r>
      <w:r>
        <w:rPr>
          <w:rFonts w:eastAsia="Verdana" w:cs="Verdana"/>
          <w:b/>
          <w:bCs/>
          <w:sz w:val="22"/>
          <w:szCs w:val="22"/>
        </w:rPr>
        <w:t>(</w:t>
      </w:r>
      <w:r>
        <w:rPr>
          <w:rFonts w:eastAsia="Verdana" w:cs="Verdana"/>
          <w:b/>
          <w:bCs/>
          <w:color w:val="CC0000"/>
          <w:sz w:val="22"/>
          <w:szCs w:val="22"/>
        </w:rPr>
        <w:t>Дубна</w:t>
      </w:r>
      <w:r>
        <w:rPr>
          <w:rFonts w:eastAsia="Verdana" w:cs="Verdana"/>
          <w:b/>
          <w:bCs/>
          <w:sz w:val="22"/>
          <w:szCs w:val="22"/>
        </w:rPr>
        <w:t>)</w:t>
      </w:r>
      <w:r>
        <w:rPr>
          <w:rFonts w:eastAsia="Verdana" w:cs="Verdana"/>
          <w:b/>
          <w:bCs/>
          <w:color w:val="333399"/>
          <w:sz w:val="22"/>
          <w:szCs w:val="22"/>
        </w:rPr>
        <w:t xml:space="preserve">, </w:t>
      </w:r>
      <w:r>
        <w:rPr>
          <w:rFonts w:eastAsia="Verdana" w:cs="Verdana"/>
          <w:color w:val="000000"/>
          <w:sz w:val="22"/>
          <w:szCs w:val="22"/>
        </w:rPr>
        <w:t xml:space="preserve">Институт ядерных исследований РАН </w:t>
      </w:r>
      <w:r>
        <w:rPr>
          <w:rFonts w:eastAsia="Verdana" w:cs="Verdana"/>
          <w:b/>
          <w:bCs/>
          <w:sz w:val="22"/>
          <w:szCs w:val="22"/>
        </w:rPr>
        <w:t>(</w:t>
      </w:r>
      <w:r>
        <w:rPr>
          <w:rFonts w:eastAsia="Verdana" w:cs="Verdana"/>
          <w:b/>
          <w:bCs/>
          <w:color w:val="CC0000"/>
          <w:sz w:val="22"/>
          <w:szCs w:val="22"/>
        </w:rPr>
        <w:t>Москва</w:t>
      </w:r>
      <w:r>
        <w:rPr>
          <w:rFonts w:eastAsia="Verdana" w:cs="Verdana"/>
          <w:b/>
          <w:bCs/>
          <w:sz w:val="22"/>
          <w:szCs w:val="22"/>
        </w:rPr>
        <w:t xml:space="preserve">), </w:t>
      </w:r>
      <w:r>
        <w:rPr>
          <w:rFonts w:eastAsia="Verdana" w:cs="Verdana"/>
          <w:color w:val="000000"/>
          <w:sz w:val="22"/>
          <w:szCs w:val="22"/>
        </w:rPr>
        <w:t xml:space="preserve">Институт физики высоких энергий </w:t>
      </w:r>
      <w:r>
        <w:rPr>
          <w:rFonts w:eastAsia="Verdana"/>
          <w:color w:val="000000"/>
          <w:sz w:val="22"/>
          <w:szCs w:val="22"/>
        </w:rPr>
        <w:t>‒</w:t>
      </w:r>
      <w:r>
        <w:rPr>
          <w:rFonts w:eastAsia="Verdana" w:cs="Verdana"/>
          <w:color w:val="000000"/>
          <w:sz w:val="22"/>
          <w:szCs w:val="22"/>
        </w:rPr>
        <w:t xml:space="preserve"> Российский Государственный научно-исследовательский центр </w:t>
      </w:r>
      <w:r>
        <w:rPr>
          <w:rFonts w:eastAsia="Verdana" w:cs="Verdana"/>
          <w:b/>
          <w:bCs/>
          <w:sz w:val="22"/>
          <w:szCs w:val="22"/>
        </w:rPr>
        <w:t>(</w:t>
      </w:r>
      <w:r>
        <w:rPr>
          <w:rFonts w:eastAsia="Verdana" w:cs="Verdana"/>
          <w:b/>
          <w:bCs/>
          <w:color w:val="CC0000"/>
          <w:sz w:val="22"/>
          <w:szCs w:val="22"/>
        </w:rPr>
        <w:t>г.Протвино</w:t>
      </w:r>
      <w:r>
        <w:rPr>
          <w:rFonts w:eastAsia="Verdana" w:cs="Verdana"/>
          <w:b/>
          <w:bCs/>
          <w:sz w:val="22"/>
          <w:szCs w:val="22"/>
        </w:rPr>
        <w:t xml:space="preserve">); </w:t>
      </w:r>
    </w:p>
    <w:p>
      <w:pPr>
        <w:pStyle w:val="Normal"/>
        <w:jc w:val="both"/>
        <w:rPr>
          <w:rFonts w:eastAsia="Verdana" w:cs="Verdana"/>
          <w:b/>
          <w:b/>
          <w:bCs/>
          <w:color w:val="CC0000"/>
          <w:sz w:val="22"/>
          <w:szCs w:val="22"/>
        </w:rPr>
      </w:pPr>
      <w:r>
        <w:rPr>
          <w:rFonts w:eastAsia="Verdana" w:cs="Verdana"/>
          <w:b/>
          <w:bCs/>
          <w:color w:val="CC0000"/>
          <w:sz w:val="22"/>
          <w:szCs w:val="22"/>
        </w:rPr>
        <w:t>Словакия:</w:t>
      </w:r>
      <w:r>
        <w:rPr>
          <w:rFonts w:eastAsia="Verdana" w:cs="Verdana"/>
          <w:b/>
          <w:bCs/>
          <w:color w:val="000000"/>
          <w:sz w:val="22"/>
          <w:szCs w:val="22"/>
        </w:rPr>
        <w:t xml:space="preserve"> </w:t>
      </w:r>
      <w:r>
        <w:rPr>
          <w:rFonts w:eastAsia="Verdana" w:cs="Verdana"/>
          <w:color w:val="000000"/>
          <w:sz w:val="22"/>
          <w:szCs w:val="22"/>
        </w:rPr>
        <w:t>Университет им. Коменского</w:t>
      </w:r>
      <w:r>
        <w:rPr>
          <w:rFonts w:eastAsia="Verdana" w:cs="Verdana"/>
          <w:sz w:val="22"/>
          <w:szCs w:val="22"/>
        </w:rPr>
        <w:t xml:space="preserve"> </w:t>
      </w:r>
      <w:r>
        <w:rPr>
          <w:rFonts w:eastAsia="Verdana" w:cs="Verdana"/>
          <w:b/>
          <w:bCs/>
          <w:sz w:val="22"/>
          <w:szCs w:val="22"/>
        </w:rPr>
        <w:t>(</w:t>
      </w:r>
      <w:r>
        <w:rPr>
          <w:rFonts w:eastAsia="Verdana" w:cs="Verdana"/>
          <w:b/>
          <w:bCs/>
          <w:color w:val="CC0000"/>
          <w:sz w:val="22"/>
          <w:szCs w:val="22"/>
        </w:rPr>
        <w:t>Братислава</w:t>
      </w:r>
      <w:r>
        <w:rPr>
          <w:rFonts w:eastAsia="Verdana" w:cs="Verdana"/>
          <w:b/>
          <w:bCs/>
          <w:sz w:val="22"/>
          <w:szCs w:val="22"/>
        </w:rPr>
        <w:t>);</w:t>
      </w:r>
      <w:r>
        <w:rPr>
          <w:rFonts w:eastAsia="Verdana" w:cs="Verdana"/>
          <w:b/>
          <w:bCs/>
          <w:color w:val="000000"/>
          <w:sz w:val="22"/>
          <w:szCs w:val="22"/>
        </w:rPr>
        <w:t xml:space="preserve"> </w:t>
      </w:r>
    </w:p>
    <w:p>
      <w:pPr>
        <w:pStyle w:val="Normal"/>
        <w:jc w:val="both"/>
        <w:rPr>
          <w:rFonts w:eastAsia="Verdana" w:cs="Verdana"/>
          <w:b/>
          <w:b/>
          <w:bCs/>
          <w:color w:val="CC0000"/>
          <w:sz w:val="22"/>
          <w:szCs w:val="22"/>
        </w:rPr>
      </w:pPr>
      <w:r>
        <w:rPr>
          <w:rFonts w:eastAsia="Verdana" w:cs="Verdana"/>
          <w:b/>
          <w:bCs/>
          <w:color w:val="CC0000"/>
          <w:sz w:val="22"/>
          <w:szCs w:val="22"/>
        </w:rPr>
        <w:t>Швейцария:</w:t>
      </w:r>
      <w:r>
        <w:rPr>
          <w:rFonts w:eastAsia="Verdana" w:cs="Verdana"/>
          <w:b/>
          <w:bCs/>
          <w:color w:val="000000"/>
          <w:sz w:val="22"/>
          <w:szCs w:val="22"/>
        </w:rPr>
        <w:t xml:space="preserve"> </w:t>
      </w:r>
      <w:r>
        <w:rPr>
          <w:rFonts w:eastAsia="Verdana" w:cs="Verdana"/>
          <w:color w:val="000000"/>
          <w:sz w:val="22"/>
          <w:szCs w:val="22"/>
        </w:rPr>
        <w:t xml:space="preserve">Европейская лаборатория ядерных исследований – ЦЕРН </w:t>
      </w:r>
      <w:r>
        <w:rPr>
          <w:rFonts w:eastAsia="Verdana" w:cs="Verdana"/>
          <w:b/>
          <w:bCs/>
          <w:sz w:val="22"/>
          <w:szCs w:val="22"/>
        </w:rPr>
        <w:t>(</w:t>
      </w:r>
      <w:r>
        <w:rPr>
          <w:rFonts w:eastAsia="Verdana" w:cs="Verdana"/>
          <w:b/>
          <w:bCs/>
          <w:color w:val="CC0000"/>
          <w:sz w:val="22"/>
          <w:szCs w:val="22"/>
        </w:rPr>
        <w:t>Женева</w:t>
      </w:r>
      <w:r>
        <w:rPr>
          <w:rFonts w:eastAsia="Verdana" w:cs="Verdana"/>
          <w:b/>
          <w:bCs/>
          <w:sz w:val="22"/>
          <w:szCs w:val="22"/>
        </w:rPr>
        <w:t xml:space="preserve">); </w:t>
      </w:r>
    </w:p>
    <w:p>
      <w:pPr>
        <w:pStyle w:val="Normal"/>
        <w:ind w:left="709" w:hanging="709"/>
        <w:jc w:val="both"/>
        <w:rPr>
          <w:rFonts w:eastAsia="Verdana" w:cs="Verdana"/>
          <w:b/>
          <w:b/>
          <w:bCs/>
          <w:color w:val="CC0000"/>
          <w:sz w:val="22"/>
          <w:szCs w:val="22"/>
        </w:rPr>
      </w:pPr>
      <w:r>
        <w:rPr>
          <w:rFonts w:eastAsia="Verdana" w:cs="Verdana"/>
          <w:b/>
          <w:bCs/>
          <w:color w:val="CC0000"/>
          <w:sz w:val="22"/>
          <w:szCs w:val="22"/>
        </w:rPr>
        <w:t>Соединенное Королевство:</w:t>
      </w:r>
      <w:r>
        <w:rPr>
          <w:rFonts w:eastAsia="Verdana" w:cs="Verdana"/>
          <w:b/>
          <w:bCs/>
          <w:color w:val="000000"/>
          <w:sz w:val="22"/>
          <w:szCs w:val="22"/>
        </w:rPr>
        <w:t xml:space="preserve"> </w:t>
      </w:r>
      <w:r>
        <w:rPr>
          <w:rFonts w:eastAsia="Verdana" w:cs="Verdana"/>
          <w:color w:val="000000"/>
          <w:sz w:val="22"/>
          <w:szCs w:val="22"/>
        </w:rPr>
        <w:t xml:space="preserve">Университет Бирмингема </w:t>
      </w:r>
      <w:r>
        <w:rPr>
          <w:rFonts w:eastAsia="Verdana" w:cs="Verdana"/>
          <w:b/>
          <w:bCs/>
          <w:sz w:val="22"/>
          <w:szCs w:val="22"/>
        </w:rPr>
        <w:t>(</w:t>
      </w:r>
      <w:r>
        <w:rPr>
          <w:rFonts w:eastAsia="Verdana" w:cs="Verdana"/>
          <w:b/>
          <w:bCs/>
          <w:color w:val="CC0000"/>
          <w:sz w:val="22"/>
          <w:szCs w:val="22"/>
        </w:rPr>
        <w:t>Бирменгем</w:t>
      </w:r>
      <w:r>
        <w:rPr>
          <w:rFonts w:eastAsia="Verdana" w:cs="Verdana"/>
          <w:b/>
          <w:bCs/>
          <w:sz w:val="22"/>
          <w:szCs w:val="22"/>
        </w:rPr>
        <w:t>),</w:t>
      </w:r>
      <w:r>
        <w:rPr>
          <w:rFonts w:eastAsia="Verdana" w:cs="Verdana"/>
          <w:b/>
          <w:bCs/>
          <w:color w:val="000000"/>
          <w:sz w:val="22"/>
          <w:szCs w:val="22"/>
        </w:rPr>
        <w:t xml:space="preserve"> </w:t>
      </w:r>
      <w:r>
        <w:rPr>
          <w:rFonts w:eastAsia="Verdana" w:cs="Verdana"/>
          <w:bCs/>
          <w:sz w:val="22"/>
          <w:szCs w:val="22"/>
        </w:rPr>
        <w:t>Бристольский университет, лаборатория</w:t>
      </w:r>
      <w:r>
        <w:rPr>
          <w:rFonts w:eastAsia="Verdana" w:cs="Verdana"/>
          <w:bCs/>
          <w:color w:val="333399"/>
          <w:sz w:val="22"/>
          <w:szCs w:val="22"/>
        </w:rPr>
        <w:t xml:space="preserve"> </w:t>
      </w:r>
      <w:r>
        <w:rPr>
          <w:rFonts w:eastAsia="Verdana" w:cs="Verdana"/>
          <w:color w:val="000000"/>
          <w:sz w:val="22"/>
          <w:szCs w:val="22"/>
        </w:rPr>
        <w:t xml:space="preserve">Х.Х.Вилса </w:t>
      </w:r>
      <w:r>
        <w:rPr>
          <w:rFonts w:eastAsia="Verdana" w:cs="Verdana"/>
          <w:b/>
          <w:bCs/>
          <w:color w:val="CC0000"/>
          <w:sz w:val="22"/>
          <w:szCs w:val="22"/>
        </w:rPr>
        <w:t>(Бристоль),</w:t>
      </w:r>
      <w:r>
        <w:rPr>
          <w:rFonts w:eastAsia="Verdana" w:cs="Verdana"/>
          <w:b/>
          <w:bCs/>
          <w:color w:val="000000"/>
          <w:sz w:val="22"/>
          <w:szCs w:val="22"/>
        </w:rPr>
        <w:t xml:space="preserve"> </w:t>
      </w:r>
      <w:r>
        <w:rPr>
          <w:rFonts w:eastAsia="Verdana" w:cs="Verdana"/>
          <w:color w:val="000000"/>
          <w:sz w:val="22"/>
          <w:szCs w:val="22"/>
        </w:rPr>
        <w:t xml:space="preserve">Университет Глазго </w:t>
      </w:r>
      <w:r>
        <w:rPr>
          <w:rFonts w:eastAsia="Verdana" w:cs="Verdana"/>
          <w:b/>
          <w:bCs/>
          <w:sz w:val="22"/>
          <w:szCs w:val="22"/>
        </w:rPr>
        <w:t>(</w:t>
      </w:r>
      <w:r>
        <w:rPr>
          <w:rFonts w:eastAsia="Verdana" w:cs="Verdana"/>
          <w:b/>
          <w:bCs/>
          <w:color w:val="CC0000"/>
          <w:sz w:val="22"/>
          <w:szCs w:val="22"/>
        </w:rPr>
        <w:t>Глазго</w:t>
      </w:r>
      <w:r>
        <w:rPr>
          <w:rFonts w:eastAsia="Verdana" w:cs="Verdana"/>
          <w:b/>
          <w:bCs/>
          <w:sz w:val="22"/>
          <w:szCs w:val="22"/>
        </w:rPr>
        <w:t xml:space="preserve">), </w:t>
      </w:r>
      <w:r>
        <w:rPr>
          <w:rFonts w:eastAsia="Verdana" w:cs="Verdana"/>
          <w:bCs/>
          <w:sz w:val="22"/>
          <w:szCs w:val="22"/>
        </w:rPr>
        <w:t>Ливерпульский университет</w:t>
      </w:r>
      <w:r>
        <w:rPr>
          <w:rFonts w:eastAsia="Verdana" w:cs="Verdana"/>
          <w:b/>
          <w:bCs/>
          <w:sz w:val="22"/>
          <w:szCs w:val="22"/>
        </w:rPr>
        <w:t>,</w:t>
      </w:r>
      <w:r>
        <w:rPr>
          <w:rFonts w:eastAsia="Verdana" w:cs="Verdana"/>
          <w:b/>
          <w:bCs/>
          <w:color w:val="333399"/>
          <w:sz w:val="22"/>
          <w:szCs w:val="22"/>
        </w:rPr>
        <w:t xml:space="preserve"> </w:t>
      </w:r>
      <w:r>
        <w:rPr>
          <w:rFonts w:eastAsia="Verdana" w:cs="Verdana"/>
          <w:color w:val="000000"/>
          <w:sz w:val="22"/>
          <w:szCs w:val="22"/>
        </w:rPr>
        <w:t xml:space="preserve">лаборатория Оливера Лоджа </w:t>
      </w:r>
      <w:r>
        <w:rPr>
          <w:rFonts w:eastAsia="Verdana" w:cs="Verdana"/>
          <w:b/>
          <w:bCs/>
          <w:sz w:val="22"/>
          <w:szCs w:val="22"/>
        </w:rPr>
        <w:t>(</w:t>
      </w:r>
      <w:r>
        <w:rPr>
          <w:rFonts w:eastAsia="Verdana" w:cs="Verdana"/>
          <w:b/>
          <w:bCs/>
          <w:color w:val="CC0000"/>
          <w:sz w:val="22"/>
          <w:szCs w:val="22"/>
        </w:rPr>
        <w:t>Ливерпуль</w:t>
      </w:r>
      <w:r>
        <w:rPr>
          <w:rFonts w:eastAsia="Verdana" w:cs="Verdana"/>
          <w:b/>
          <w:bCs/>
          <w:sz w:val="22"/>
          <w:szCs w:val="22"/>
        </w:rPr>
        <w:t xml:space="preserve">); </w:t>
      </w:r>
    </w:p>
    <w:p>
      <w:pPr>
        <w:pStyle w:val="Normal"/>
        <w:ind w:left="709" w:hanging="709"/>
        <w:jc w:val="both"/>
        <w:rPr>
          <w:b/>
          <w:b/>
          <w:color w:val="000000"/>
          <w:sz w:val="22"/>
          <w:szCs w:val="22"/>
        </w:rPr>
      </w:pPr>
      <w:r>
        <w:rPr>
          <w:rFonts w:eastAsia="Verdana" w:cs="Verdana"/>
          <w:b/>
          <w:bCs/>
          <w:color w:val="CC0000"/>
          <w:sz w:val="22"/>
          <w:szCs w:val="22"/>
        </w:rPr>
        <w:t>Соединенные Штаты Америки:</w:t>
      </w:r>
      <w:r>
        <w:rPr>
          <w:rFonts w:eastAsia="Verdana" w:cs="Verdana"/>
          <w:b/>
          <w:bCs/>
          <w:color w:val="000000"/>
          <w:sz w:val="22"/>
          <w:szCs w:val="22"/>
        </w:rPr>
        <w:t xml:space="preserve"> Бостонский университет </w:t>
      </w:r>
      <w:r>
        <w:rPr>
          <w:rFonts w:eastAsia="Verdana" w:cs="Verdana"/>
          <w:b/>
          <w:bCs/>
          <w:sz w:val="22"/>
          <w:szCs w:val="22"/>
        </w:rPr>
        <w:t>(</w:t>
      </w:r>
      <w:r>
        <w:rPr>
          <w:rFonts w:eastAsia="Verdana" w:cs="Verdana"/>
          <w:b/>
          <w:bCs/>
          <w:color w:val="CC0000"/>
          <w:sz w:val="22"/>
          <w:szCs w:val="22"/>
        </w:rPr>
        <w:t>Бостон</w:t>
      </w:r>
      <w:r>
        <w:rPr>
          <w:rFonts w:eastAsia="Verdana" w:cs="Verdana"/>
          <w:b/>
          <w:bCs/>
          <w:sz w:val="22"/>
          <w:szCs w:val="22"/>
        </w:rPr>
        <w:t>),</w:t>
      </w:r>
      <w:r>
        <w:rPr>
          <w:rFonts w:eastAsia="Verdana" w:cs="Verdana"/>
          <w:b/>
          <w:bCs/>
          <w:color w:val="000000"/>
          <w:sz w:val="22"/>
          <w:szCs w:val="22"/>
        </w:rPr>
        <w:t xml:space="preserve"> </w:t>
      </w:r>
      <w:r>
        <w:rPr>
          <w:rFonts w:eastAsia="Verdana" w:cs="Verdana"/>
          <w:color w:val="000000"/>
          <w:sz w:val="22"/>
          <w:szCs w:val="22"/>
        </w:rPr>
        <w:t>Университет Джорджа Мейсона</w:t>
      </w:r>
      <w:r>
        <w:rPr>
          <w:rFonts w:eastAsia="Verdana" w:cs="Verdana"/>
          <w:sz w:val="22"/>
          <w:szCs w:val="22"/>
        </w:rPr>
        <w:t xml:space="preserve"> </w:t>
      </w:r>
      <w:r>
        <w:rPr>
          <w:rFonts w:eastAsia="Verdana" w:cs="Verdana"/>
          <w:b/>
          <w:bCs/>
          <w:sz w:val="22"/>
          <w:szCs w:val="22"/>
        </w:rPr>
        <w:t>(</w:t>
      </w:r>
      <w:r>
        <w:rPr>
          <w:rFonts w:eastAsia="Verdana" w:cs="Verdana"/>
          <w:b/>
          <w:bCs/>
          <w:color w:val="CC0000"/>
          <w:sz w:val="22"/>
          <w:szCs w:val="22"/>
        </w:rPr>
        <w:t>Фэирфакс</w:t>
      </w:r>
      <w:r>
        <w:rPr>
          <w:rFonts w:eastAsia="Verdana" w:cs="Verdana"/>
          <w:b/>
          <w:bCs/>
          <w:sz w:val="22"/>
          <w:szCs w:val="22"/>
        </w:rPr>
        <w:t xml:space="preserve">), </w:t>
      </w:r>
      <w:r>
        <w:rPr>
          <w:rFonts w:eastAsia="Verdana" w:cs="Verdana"/>
          <w:color w:val="000000"/>
          <w:sz w:val="22"/>
          <w:szCs w:val="22"/>
        </w:rPr>
        <w:t xml:space="preserve">SLAC – национальная ускорительная лаборатория </w:t>
      </w:r>
      <w:r>
        <w:rPr>
          <w:rFonts w:eastAsia="Verdana" w:cs="Verdana"/>
          <w:b/>
          <w:bCs/>
          <w:sz w:val="22"/>
          <w:szCs w:val="22"/>
        </w:rPr>
        <w:t>(</w:t>
      </w:r>
      <w:r>
        <w:rPr>
          <w:rFonts w:eastAsia="Verdana" w:cs="Verdana"/>
          <w:b/>
          <w:bCs/>
          <w:color w:val="CC0000"/>
          <w:sz w:val="22"/>
          <w:szCs w:val="22"/>
        </w:rPr>
        <w:t>Менло-Парк</w:t>
      </w:r>
      <w:r>
        <w:rPr>
          <w:rFonts w:eastAsia="Verdana" w:cs="Verdana"/>
          <w:b/>
          <w:bCs/>
          <w:sz w:val="22"/>
          <w:szCs w:val="22"/>
        </w:rPr>
        <w:t>),</w:t>
      </w:r>
      <w:r>
        <w:rPr>
          <w:rFonts w:eastAsia="Verdana" w:cs="Verdana"/>
          <w:b/>
          <w:bCs/>
          <w:color w:val="000000"/>
          <w:sz w:val="22"/>
          <w:szCs w:val="22"/>
        </w:rPr>
        <w:t xml:space="preserve"> </w:t>
      </w:r>
      <w:r>
        <w:rPr>
          <w:rFonts w:eastAsia="Verdana" w:cs="Verdana"/>
          <w:color w:val="000000"/>
          <w:sz w:val="22"/>
          <w:szCs w:val="22"/>
        </w:rPr>
        <w:t>Калифорнийский университет г. Мерсед</w:t>
      </w:r>
      <w:r>
        <w:rPr>
          <w:rFonts w:eastAsia="Verdana" w:cs="Verdana"/>
          <w:sz w:val="22"/>
          <w:szCs w:val="22"/>
        </w:rPr>
        <w:t xml:space="preserve"> </w:t>
      </w:r>
      <w:r>
        <w:rPr>
          <w:rFonts w:eastAsia="Verdana" w:cs="Verdana"/>
          <w:b/>
          <w:bCs/>
          <w:sz w:val="22"/>
          <w:szCs w:val="22"/>
        </w:rPr>
        <w:t>(</w:t>
      </w:r>
      <w:r>
        <w:rPr>
          <w:rFonts w:eastAsia="Verdana" w:cs="Verdana"/>
          <w:b/>
          <w:bCs/>
          <w:color w:val="CC0000"/>
          <w:sz w:val="22"/>
          <w:szCs w:val="22"/>
        </w:rPr>
        <w:t>Мерсед</w:t>
      </w:r>
      <w:r>
        <w:rPr>
          <w:rFonts w:eastAsia="Verdana" w:cs="Verdana"/>
          <w:b/>
          <w:bCs/>
          <w:sz w:val="22"/>
          <w:szCs w:val="22"/>
        </w:rPr>
        <w:t xml:space="preserve">), </w:t>
      </w:r>
      <w:r>
        <w:rPr>
          <w:rFonts w:eastAsia="Verdana" w:cs="Verdana"/>
          <w:bCs/>
          <w:sz w:val="22"/>
          <w:szCs w:val="22"/>
        </w:rPr>
        <w:t>Брукхейвенская национальная лаборатория (BNL) (</w:t>
      </w:r>
      <w:r>
        <w:rPr>
          <w:rFonts w:eastAsia="Verdana" w:cs="Verdana"/>
          <w:b/>
          <w:bCs/>
          <w:color w:val="FF0000"/>
          <w:sz w:val="22"/>
          <w:szCs w:val="22"/>
        </w:rPr>
        <w:t>Уптон</w:t>
      </w:r>
      <w:r>
        <w:rPr>
          <w:rFonts w:eastAsia="Verdana" w:cs="Verdana"/>
          <w:bCs/>
          <w:sz w:val="22"/>
          <w:szCs w:val="22"/>
        </w:rPr>
        <w:t>)</w:t>
      </w:r>
      <w:r>
        <w:rPr>
          <w:rFonts w:eastAsia="Verdana" w:cs="Verdana"/>
          <w:b/>
          <w:bCs/>
          <w:sz w:val="22"/>
          <w:szCs w:val="22"/>
        </w:rPr>
        <w:t>.</w:t>
      </w:r>
      <w:r>
        <w:rPr>
          <w:rFonts w:eastAsia="Verdana" w:cs="Verdana"/>
          <w:b/>
          <w:bCs/>
          <w:color w:val="000000"/>
          <w:sz w:val="22"/>
          <w:szCs w:val="22"/>
        </w:rPr>
        <w:t xml:space="preserve"> </w:t>
      </w:r>
    </w:p>
    <w:p>
      <w:pPr>
        <w:pStyle w:val="Normal"/>
        <w:jc w:val="right"/>
        <w:rPr>
          <w:color w:val="000000"/>
          <w:sz w:val="22"/>
          <w:szCs w:val="22"/>
        </w:rPr>
      </w:pPr>
      <w:r>
        <w:rPr>
          <w:color w:val="000000"/>
          <w:sz w:val="22"/>
          <w:szCs w:val="22"/>
        </w:rPr>
      </w:r>
    </w:p>
    <w:p>
      <w:pPr>
        <w:pStyle w:val="Normal"/>
        <w:rPr>
          <w:b/>
          <w:b/>
          <w:color w:val="000000"/>
          <w:sz w:val="22"/>
          <w:szCs w:val="22"/>
        </w:rPr>
      </w:pPr>
      <w:r>
        <w:rPr>
          <w:b/>
          <w:color w:val="000000"/>
          <w:sz w:val="22"/>
          <w:szCs w:val="22"/>
        </w:rPr>
      </w:r>
    </w:p>
    <w:p>
      <w:pPr>
        <w:pStyle w:val="Normal"/>
        <w:jc w:val="center"/>
        <w:rPr>
          <w:color w:val="000000"/>
          <w:szCs w:val="22"/>
        </w:rPr>
      </w:pPr>
      <w:r>
        <w:rPr>
          <w:b/>
          <w:color w:val="000000"/>
          <w:sz w:val="22"/>
          <w:szCs w:val="22"/>
        </w:rPr>
        <w:t>Лаборатория физики высоких энергий</w:t>
      </w:r>
    </w:p>
    <w:p>
      <w:pPr>
        <w:pStyle w:val="Normal"/>
        <w:spacing w:before="115" w:after="0"/>
        <w:jc w:val="both"/>
        <w:rPr>
          <w:sz w:val="22"/>
        </w:rPr>
      </w:pPr>
      <w:r>
        <w:rPr>
          <w:color w:val="000000"/>
          <w:sz w:val="22"/>
          <w:szCs w:val="22"/>
        </w:rPr>
        <w:t>Д. Байгарашев, С.Р. Геворгян, Л.Н. Глонти, Е.А. </w:t>
      </w:r>
      <w:r>
        <w:rPr>
          <w:sz w:val="22"/>
          <w:szCs w:val="22"/>
        </w:rPr>
        <w:t>Гудзовский</w:t>
      </w:r>
      <w:r>
        <w:rPr>
          <w:color w:val="000000"/>
          <w:sz w:val="22"/>
          <w:szCs w:val="22"/>
        </w:rPr>
        <w:t>,</w:t>
      </w:r>
      <w:r>
        <w:rPr>
          <w:color w:val="000000"/>
          <w:spacing w:val="7"/>
          <w:sz w:val="22"/>
          <w:szCs w:val="22"/>
        </w:rPr>
        <w:t xml:space="preserve"> Д.Д. Емельянов, </w:t>
      </w:r>
      <w:r>
        <w:rPr>
          <w:color w:val="000000"/>
          <w:sz w:val="22"/>
          <w:szCs w:val="22"/>
        </w:rPr>
        <w:t>Т.Л. Еник, В.Д. Кекелидзе, А.М. Короткова, Д.Т. </w:t>
      </w:r>
      <w:r>
        <w:rPr>
          <w:sz w:val="22"/>
          <w:szCs w:val="22"/>
        </w:rPr>
        <w:t>Мадигожин,</w:t>
      </w:r>
      <w:r>
        <w:rPr>
          <w:color w:val="000000"/>
          <w:sz w:val="22"/>
          <w:szCs w:val="22"/>
        </w:rPr>
        <w:t xml:space="preserve"> М. Мишева, С.А. Мовчан, Н.А. Молоканова, </w:t>
      </w:r>
      <w:r>
        <w:rPr>
          <w:sz w:val="22"/>
          <w:szCs w:val="22"/>
        </w:rPr>
        <w:t>И.А. </w:t>
      </w:r>
      <w:r>
        <w:rPr>
          <w:color w:val="000000"/>
          <w:sz w:val="22"/>
          <w:szCs w:val="22"/>
        </w:rPr>
        <w:t xml:space="preserve">Поленкевич, </w:t>
      </w:r>
      <w:r>
        <w:rPr>
          <w:sz w:val="22"/>
          <w:szCs w:val="22"/>
        </w:rPr>
        <w:t>Ю</w:t>
      </w:r>
      <w:r>
        <w:rPr>
          <w:color w:val="000000"/>
          <w:sz w:val="22"/>
          <w:szCs w:val="22"/>
        </w:rPr>
        <w:t>.К. Потребеников,</w:t>
      </w:r>
      <w:r>
        <w:rPr>
          <w:color w:val="000000"/>
          <w:spacing w:val="6"/>
          <w:sz w:val="22"/>
          <w:szCs w:val="22"/>
        </w:rPr>
        <w:t xml:space="preserve"> </w:t>
      </w:r>
      <w:r>
        <w:rPr>
          <w:color w:val="000000"/>
          <w:sz w:val="22"/>
          <w:szCs w:val="22"/>
        </w:rPr>
        <w:t>С.Н. </w:t>
      </w:r>
      <w:r>
        <w:rPr>
          <w:sz w:val="22"/>
          <w:szCs w:val="22"/>
        </w:rPr>
        <w:t>Шкаровский</w:t>
      </w:r>
    </w:p>
    <w:p>
      <w:pPr>
        <w:pStyle w:val="WWPlainText"/>
        <w:ind w:left="720" w:firstLine="720"/>
        <w:rPr>
          <w:color w:val="000000"/>
          <w:sz w:val="22"/>
          <w:szCs w:val="22"/>
        </w:rPr>
      </w:pPr>
      <w:r>
        <w:rPr>
          <w:color w:val="000000"/>
          <w:sz w:val="22"/>
          <w:szCs w:val="22"/>
        </w:rPr>
      </w:r>
    </w:p>
    <w:p>
      <w:pPr>
        <w:pStyle w:val="WWPlainText"/>
        <w:ind w:left="720" w:firstLine="720"/>
        <w:rPr/>
      </w:pPr>
      <w:r>
        <w:rPr/>
      </w:r>
    </w:p>
    <w:p>
      <w:pPr>
        <w:pStyle w:val="WWPlainText"/>
        <w:ind w:left="720" w:firstLine="720"/>
        <w:rPr/>
      </w:pPr>
      <w:r>
        <w:rPr/>
      </w:r>
    </w:p>
    <w:p>
      <w:pPr>
        <w:pStyle w:val="WWPlainText"/>
        <w:ind w:left="720" w:firstLine="720"/>
        <w:rPr>
          <w:sz w:val="24"/>
        </w:rPr>
      </w:pPr>
      <w:r>
        <w:rPr>
          <w:sz w:val="24"/>
        </w:rPr>
        <w:t xml:space="preserve">Руководители проекта: </w:t>
        <w:tab/>
      </w:r>
      <w:r>
        <w:rPr/>
        <w:tab/>
        <w:tab/>
      </w:r>
      <w:r>
        <w:rPr>
          <w:sz w:val="24"/>
        </w:rPr>
        <w:t>Кекелидзе В.Д.          (ЛФВЭ)</w:t>
      </w:r>
    </w:p>
    <w:p>
      <w:pPr>
        <w:pStyle w:val="WWPlainText"/>
        <w:ind w:left="4320" w:firstLine="720"/>
        <w:rPr>
          <w:sz w:val="24"/>
        </w:rPr>
      </w:pPr>
      <w:r>
        <w:rPr>
          <w:sz w:val="24"/>
        </w:rPr>
        <w:t xml:space="preserve">  </w:t>
      </w:r>
      <w:r>
        <w:rPr>
          <w:sz w:val="24"/>
        </w:rPr>
        <w:tab/>
      </w:r>
      <w:r>
        <w:rPr>
          <w:rFonts w:eastAsia="MS Mincho"/>
          <w:sz w:val="24"/>
        </w:rPr>
        <w:t>Потребеников Ю.К.</w:t>
      </w:r>
      <w:r>
        <w:rPr>
          <w:sz w:val="24"/>
        </w:rPr>
        <w:t xml:space="preserve">  (ЛФВЭ)</w:t>
      </w:r>
    </w:p>
    <w:p>
      <w:pPr>
        <w:pStyle w:val="Normal"/>
        <w:spacing w:before="0" w:after="180"/>
        <w:rPr>
          <w:rFonts w:eastAsia="MS Mincho"/>
        </w:rPr>
      </w:pPr>
      <w:r>
        <w:rPr>
          <w:rFonts w:eastAsia="MS Mincho"/>
        </w:rPr>
      </w:r>
    </w:p>
    <w:p>
      <w:pPr>
        <w:pStyle w:val="Normal"/>
        <w:spacing w:before="0" w:after="180"/>
        <w:rPr>
          <w:rFonts w:eastAsia="MS Mincho" w:cs="Courier New"/>
          <w:sz w:val="24"/>
        </w:rPr>
      </w:pPr>
      <w:r>
        <w:rPr>
          <w:rFonts w:eastAsia="MS Mincho"/>
          <w:sz w:val="24"/>
        </w:rPr>
        <w:t xml:space="preserve">Дата представления проекта в НОО </w:t>
        <w:tab/>
        <w:tab/>
        <w:tab/>
        <w:tab/>
        <w:tab/>
        <w:tab/>
        <w:tab/>
        <w:t>2018 г.</w:t>
      </w:r>
    </w:p>
    <w:p>
      <w:pPr>
        <w:pStyle w:val="PlainText"/>
        <w:spacing w:before="0" w:after="180"/>
        <w:rPr>
          <w:rFonts w:ascii="Times New Roman" w:hAnsi="Times New Roman" w:eastAsia="MS Mincho"/>
          <w:sz w:val="24"/>
          <w:lang w:val="ru-RU"/>
        </w:rPr>
      </w:pPr>
      <w:r>
        <w:rPr>
          <w:rFonts w:eastAsia="MS Mincho" w:ascii="Times New Roman" w:hAnsi="Times New Roman"/>
          <w:sz w:val="24"/>
          <w:lang w:val="ru-RU"/>
        </w:rPr>
        <w:t xml:space="preserve">Дата НТС лаборатории </w:t>
        <w:tab/>
        <w:t xml:space="preserve">   __.04.2018 г.</w:t>
        <w:tab/>
        <w:tab/>
        <w:t>Номер документа _______________</w:t>
      </w:r>
    </w:p>
    <w:p>
      <w:pPr>
        <w:pStyle w:val="PlainText"/>
        <w:rPr>
          <w:rFonts w:ascii="Times New Roman" w:hAnsi="Times New Roman" w:eastAsia="MS Mincho"/>
          <w:sz w:val="24"/>
          <w:lang w:val="ru-RU"/>
        </w:rPr>
      </w:pPr>
      <w:r>
        <w:rPr>
          <w:rFonts w:eastAsia="MS Mincho" w:ascii="Times New Roman" w:hAnsi="Times New Roman"/>
          <w:sz w:val="24"/>
          <w:lang w:val="ru-RU"/>
        </w:rPr>
        <w:t xml:space="preserve">Дата представления физобоснования на:   </w:t>
        <w:tab/>
      </w:r>
    </w:p>
    <w:p>
      <w:pPr>
        <w:pStyle w:val="PlainText"/>
        <w:rPr>
          <w:rFonts w:ascii="Times New Roman" w:hAnsi="Times New Roman" w:eastAsia="MS Mincho"/>
          <w:sz w:val="24"/>
          <w:lang w:val="ru-RU"/>
        </w:rPr>
      </w:pPr>
      <w:r>
        <w:rPr>
          <w:rFonts w:eastAsia="MS Mincho" w:ascii="Times New Roman" w:hAnsi="Times New Roman"/>
          <w:sz w:val="24"/>
          <w:lang w:val="ru-RU"/>
        </w:rPr>
        <w:t>семинаре лаборатории:</w:t>
        <w:tab/>
        <w:tab/>
        <w:tab/>
        <w:tab/>
        <w:tab/>
        <w:tab/>
        <w:tab/>
        <w:tab/>
        <w:t xml:space="preserve">   04.04.2009 г.</w:t>
      </w:r>
    </w:p>
    <w:p>
      <w:pPr>
        <w:pStyle w:val="WWPlainText"/>
        <w:rPr/>
      </w:pPr>
      <w:r>
        <w:rPr/>
      </w:r>
      <w:r>
        <w:br w:type="page"/>
      </w:r>
    </w:p>
    <w:p>
      <w:pPr>
        <w:pStyle w:val="PlainText"/>
        <w:jc w:val="right"/>
        <w:rPr>
          <w:rFonts w:ascii="Times New Roman" w:hAnsi="Times New Roman" w:eastAsia="MS Mincho"/>
          <w:sz w:val="24"/>
          <w:lang w:val="ru-RU"/>
        </w:rPr>
      </w:pPr>
      <w:r>
        <w:rPr>
          <w:rFonts w:eastAsia="MS Mincho" w:ascii="Times New Roman" w:hAnsi="Times New Roman"/>
          <w:sz w:val="24"/>
          <w:lang w:val="ru-RU"/>
        </w:rPr>
        <w:t>Форма № 25</w:t>
      </w:r>
    </w:p>
    <w:p>
      <w:pPr>
        <w:pStyle w:val="PlainText"/>
        <w:jc w:val="right"/>
        <w:rPr>
          <w:rFonts w:ascii="Times New Roman" w:hAnsi="Times New Roman" w:eastAsia="MS Mincho"/>
          <w:sz w:val="24"/>
          <w:lang w:val="ru-RU"/>
        </w:rPr>
      </w:pPr>
      <w:r>
        <w:rPr>
          <w:rFonts w:eastAsia="MS Mincho" w:ascii="Times New Roman" w:hAnsi="Times New Roman"/>
          <w:sz w:val="24"/>
          <w:lang w:val="ru-RU"/>
        </w:rPr>
      </w:r>
    </w:p>
    <w:p>
      <w:pPr>
        <w:pStyle w:val="Normal"/>
        <w:rPr>
          <w:rFonts w:eastAsia="MS Mincho" w:cs="Courier New"/>
        </w:rPr>
      </w:pPr>
      <w:r>
        <w:rPr>
          <w:rFonts w:eastAsia="MS Mincho" w:cs="Courier New"/>
        </w:rPr>
      </w:r>
    </w:p>
    <w:p>
      <w:pPr>
        <w:pStyle w:val="PlainText"/>
        <w:spacing w:before="0" w:after="120"/>
        <w:jc w:val="center"/>
        <w:rPr>
          <w:rFonts w:ascii="Times New Roman" w:hAnsi="Times New Roman" w:eastAsia="MS Mincho"/>
          <w:sz w:val="24"/>
          <w:lang w:val="ru-RU"/>
        </w:rPr>
      </w:pPr>
      <w:r>
        <w:rPr>
          <w:rFonts w:eastAsia="MS Mincho" w:ascii="Times New Roman" w:hAnsi="Times New Roman"/>
          <w:sz w:val="24"/>
          <w:lang w:val="ru-RU"/>
        </w:rPr>
        <w:t>ЛИСТ СОГЛАСОВАНИЙ ПРОЕКТА</w:t>
      </w:r>
    </w:p>
    <w:p>
      <w:pPr>
        <w:pStyle w:val="WWPlainText"/>
        <w:rPr>
          <w:b/>
          <w:b/>
          <w:sz w:val="24"/>
        </w:rPr>
      </w:pPr>
      <w:r>
        <w:rPr>
          <w:b/>
          <w:sz w:val="24"/>
        </w:rPr>
        <w:t xml:space="preserve">ИЗМЕРЕНИЕ РЕДКОГО РАСПАДА </w:t>
      </w:r>
      <w:r>
        <w:rPr>
          <w:b/>
          <w:sz w:val="24"/>
        </w:rPr>
        <w:drawing>
          <wp:inline distT="0" distB="0" distL="0" distR="0">
            <wp:extent cx="840105" cy="18097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840105" cy="180975"/>
                    </a:xfrm>
                    <a:prstGeom prst="rect">
                      <a:avLst/>
                    </a:prstGeom>
                  </pic:spPr>
                </pic:pic>
              </a:graphicData>
            </a:graphic>
          </wp:inline>
        </w:drawing>
      </w:r>
      <w:r>
        <w:rPr>
          <w:rFonts w:ascii="Arial" w:hAnsi="Arial"/>
          <w:b/>
          <w:sz w:val="24"/>
        </w:rPr>
        <w:t xml:space="preserve"> </w:t>
      </w:r>
      <w:r>
        <w:rPr>
          <w:b/>
          <w:sz w:val="24"/>
        </w:rPr>
        <w:t>НА УСКОРИТЕЛЕ SPS ЦЕРН</w:t>
      </w:r>
    </w:p>
    <w:p>
      <w:pPr>
        <w:pStyle w:val="WWPlainText"/>
        <w:jc w:val="center"/>
        <w:rPr>
          <w:b/>
          <w:b/>
          <w:sz w:val="24"/>
        </w:rPr>
      </w:pPr>
      <w:r>
        <w:rPr>
          <w:b/>
          <w:sz w:val="24"/>
        </w:rPr>
      </w:r>
    </w:p>
    <w:p>
      <w:pPr>
        <w:pStyle w:val="WWPlainText"/>
        <w:jc w:val="center"/>
        <w:rPr>
          <w:b/>
          <w:b/>
          <w:sz w:val="24"/>
        </w:rPr>
      </w:pPr>
      <w:r>
        <w:rPr>
          <w:sz w:val="24"/>
        </w:rPr>
        <w:t xml:space="preserve">Условное обозначение проекта - </w:t>
      </w:r>
      <w:r>
        <w:rPr>
          <w:b/>
          <w:sz w:val="24"/>
        </w:rPr>
        <w:t>NA-62</w:t>
      </w:r>
    </w:p>
    <w:p>
      <w:pPr>
        <w:pStyle w:val="PlainText"/>
        <w:rPr>
          <w:rFonts w:ascii="Times New Roman" w:hAnsi="Times New Roman" w:eastAsia="MS Mincho"/>
          <w:sz w:val="24"/>
          <w:lang w:val="ru-RU"/>
        </w:rPr>
      </w:pPr>
      <w:r>
        <w:rPr>
          <w:rFonts w:eastAsia="MS Mincho" w:ascii="Times New Roman" w:hAnsi="Times New Roman"/>
          <w:sz w:val="24"/>
          <w:lang w:val="ru-RU"/>
        </w:rPr>
      </w:r>
    </w:p>
    <w:p>
      <w:pPr>
        <w:pStyle w:val="PlainText"/>
        <w:jc w:val="center"/>
        <w:rPr>
          <w:rFonts w:ascii="Times New Roman" w:hAnsi="Times New Roman" w:eastAsia="MS Mincho"/>
          <w:sz w:val="24"/>
          <w:lang w:val="ru-RU"/>
        </w:rPr>
      </w:pPr>
      <w:r>
        <w:rPr>
          <w:rFonts w:eastAsia="MS Mincho" w:ascii="Times New Roman" w:hAnsi="Times New Roman"/>
          <w:sz w:val="24"/>
          <w:lang w:val="ru-RU"/>
        </w:rPr>
        <w:t>Шифр темы: 02 - 1 -1096- 2010/2019</w:t>
      </w:r>
    </w:p>
    <w:p>
      <w:pPr>
        <w:pStyle w:val="PlainText"/>
        <w:jc w:val="center"/>
        <w:rPr>
          <w:rFonts w:ascii="Times New Roman" w:hAnsi="Times New Roman" w:eastAsia="MS Mincho"/>
          <w:sz w:val="24"/>
          <w:lang w:val="ru-RU"/>
        </w:rPr>
      </w:pPr>
      <w:r>
        <w:rPr>
          <w:rFonts w:eastAsia="MS Mincho" w:ascii="Times New Roman" w:hAnsi="Times New Roman"/>
          <w:sz w:val="24"/>
          <w:lang w:val="ru-RU"/>
        </w:rPr>
      </w:r>
    </w:p>
    <w:p>
      <w:pPr>
        <w:pStyle w:val="PlainText"/>
        <w:spacing w:before="0" w:after="120"/>
        <w:jc w:val="center"/>
        <w:rPr>
          <w:rFonts w:ascii="Times New Roman" w:hAnsi="Times New Roman" w:eastAsia="MS Mincho"/>
          <w:sz w:val="24"/>
          <w:lang w:val="ru-RU"/>
        </w:rPr>
      </w:pPr>
      <w:r>
        <w:rPr>
          <w:rFonts w:eastAsia="MS Mincho" w:ascii="Times New Roman" w:hAnsi="Times New Roman"/>
          <w:sz w:val="24"/>
          <w:lang w:val="ru-RU"/>
        </w:rPr>
        <w:t>Руководители темы:     В.Д.Кекелидзе, Ю.К.Потребеников</w:t>
      </w:r>
    </w:p>
    <w:p>
      <w:pPr>
        <w:pStyle w:val="PlainText"/>
        <w:jc w:val="center"/>
        <w:rPr>
          <w:rFonts w:ascii="Times New Roman" w:hAnsi="Times New Roman" w:eastAsia="MS Mincho"/>
          <w:sz w:val="24"/>
          <w:lang w:val="ru-RU"/>
        </w:rPr>
      </w:pPr>
      <w:r>
        <w:rPr>
          <w:rFonts w:eastAsia="MS Mincho" w:ascii="Times New Roman" w:hAnsi="Times New Roman"/>
          <w:sz w:val="24"/>
          <w:lang w:val="ru-RU"/>
        </w:rPr>
        <w:t>Руководители проекта: В.Д.Кекелидзе, Ю.К.Потребеников</w:t>
      </w:r>
    </w:p>
    <w:p>
      <w:pPr>
        <w:pStyle w:val="PlainText"/>
        <w:jc w:val="center"/>
        <w:rPr>
          <w:rFonts w:ascii="Times New Roman" w:hAnsi="Times New Roman" w:eastAsia="MS Mincho"/>
          <w:sz w:val="24"/>
          <w:lang w:val="ru-RU"/>
        </w:rPr>
      </w:pPr>
      <w:r>
        <w:rPr>
          <w:rFonts w:eastAsia="MS Mincho" w:ascii="Times New Roman" w:hAnsi="Times New Roman"/>
          <w:sz w:val="24"/>
          <w:lang w:val="ru-RU"/>
        </w:rPr>
      </w:r>
    </w:p>
    <w:p>
      <w:pPr>
        <w:pStyle w:val="PlainText"/>
        <w:rPr>
          <w:rFonts w:ascii="Times New Roman" w:hAnsi="Times New Roman" w:eastAsia="MS Mincho"/>
          <w:sz w:val="24"/>
          <w:lang w:val="ru-RU"/>
        </w:rPr>
      </w:pPr>
      <w:r>
        <w:rPr>
          <w:rFonts w:eastAsia="MS Mincho" w:ascii="Times New Roman" w:hAnsi="Times New Roman"/>
          <w:sz w:val="24"/>
          <w:lang w:val="ru-RU"/>
        </w:rPr>
      </w:r>
    </w:p>
    <w:p>
      <w:pPr>
        <w:pStyle w:val="PlainText"/>
        <w:rPr>
          <w:rFonts w:ascii="Times New Roman" w:hAnsi="Times New Roman" w:eastAsia="MS Mincho"/>
          <w:sz w:val="24"/>
          <w:lang w:val="ru-RU"/>
        </w:rPr>
      </w:pPr>
      <w:r>
        <w:rPr>
          <w:rFonts w:eastAsia="MS Mincho" w:ascii="Times New Roman" w:hAnsi="Times New Roman"/>
          <w:sz w:val="24"/>
          <w:lang w:val="ru-RU"/>
        </w:rPr>
      </w:r>
    </w:p>
    <w:p>
      <w:pPr>
        <w:pStyle w:val="WWPlainText"/>
        <w:tabs>
          <w:tab w:val="left" w:pos="6480" w:leader="none"/>
        </w:tabs>
        <w:spacing w:before="0" w:after="240"/>
        <w:rPr>
          <w:b/>
          <w:b/>
          <w:u w:val="single"/>
        </w:rPr>
      </w:pPr>
      <w:r>
        <w:rPr>
          <w:b/>
          <w:u w:val="single"/>
        </w:rPr>
      </w:r>
      <w:r>
        <mc:AlternateContent>
          <mc:Choice Requires="wps">
            <w:drawing>
              <wp:anchor behindDoc="0" distT="0" distB="0" distL="114300" distR="114300" simplePos="0" locked="0" layoutInCell="1" allowOverlap="1" relativeHeight="57">
                <wp:simplePos x="0" y="0"/>
                <wp:positionH relativeFrom="margin">
                  <wp:align>center</wp:align>
                </wp:positionH>
                <wp:positionV relativeFrom="paragraph">
                  <wp:posOffset>130175</wp:posOffset>
                </wp:positionV>
                <wp:extent cx="6172200" cy="5588635"/>
                <wp:effectExtent l="0" t="0" r="0" b="0"/>
                <wp:wrapSquare wrapText="bothSides"/>
                <wp:docPr id="2" name="Frame4"/>
                <a:graphic xmlns:a="http://schemas.openxmlformats.org/drawingml/2006/main">
                  <a:graphicData uri="http://schemas.microsoft.com/office/word/2010/wordprocessingShape">
                    <wps:wsp>
                      <wps:cNvSpPr txBox="1"/>
                      <wps:spPr>
                        <a:xfrm>
                          <a:off x="0" y="0"/>
                          <a:ext cx="6172200" cy="5588635"/>
                        </a:xfrm>
                        <a:prstGeom prst="rect"/>
                      </wps:spPr>
                      <wps:txbx>
                        <w:txbxContent>
                          <w:tbl>
                            <w:tblPr>
                              <w:tblpPr w:bottomFromText="0" w:horzAnchor="margin" w:leftFromText="180" w:rightFromText="180" w:tblpX="0" w:tblpXSpec="center" w:tblpY="205" w:topFromText="0" w:vertAnchor="text"/>
                              <w:tblW w:w="5000" w:type="pct"/>
                              <w:jc w:val="center"/>
                              <w:tblInd w:w="0" w:type="dxa"/>
                              <w:tblBorders/>
                              <w:tblCellMar>
                                <w:top w:w="0" w:type="dxa"/>
                                <w:left w:w="108" w:type="dxa"/>
                                <w:bottom w:w="0" w:type="dxa"/>
                                <w:right w:w="108" w:type="dxa"/>
                              </w:tblCellMar>
                              <w:tblLook w:val="01e0" w:noVBand="0" w:noHBand="0" w:lastColumn="1" w:firstColumn="1" w:lastRow="1" w:firstRow="1"/>
                            </w:tblPr>
                            <w:tblGrid>
                              <w:gridCol w:w="4292"/>
                              <w:gridCol w:w="2099"/>
                              <w:gridCol w:w="3329"/>
                            </w:tblGrid>
                            <w:tr>
                              <w:trPr/>
                              <w:tc>
                                <w:tcPr>
                                  <w:tcW w:w="4292" w:type="dxa"/>
                                  <w:tcBorders/>
                                  <w:shd w:fill="auto" w:val="clear"/>
                                </w:tcPr>
                                <w:p>
                                  <w:pPr>
                                    <w:pStyle w:val="Normal"/>
                                    <w:jc w:val="both"/>
                                    <w:rPr/>
                                  </w:pPr>
                                  <w:r>
                                    <w:rPr>
                                      <w:b/>
                                    </w:rPr>
                                    <w:t>УТВЕРЖДЕН  ДИРЕКТОРОМ  ОИЯИ</w:t>
                                  </w:r>
                                </w:p>
                              </w:tc>
                              <w:tc>
                                <w:tcPr>
                                  <w:tcW w:w="2099" w:type="dxa"/>
                                  <w:tcBorders/>
                                  <w:shd w:fill="auto" w:val="clear"/>
                                </w:tcPr>
                                <w:p>
                                  <w:pPr>
                                    <w:pStyle w:val="Normal"/>
                                    <w:ind w:left="0" w:hanging="0"/>
                                    <w:jc w:val="center"/>
                                    <w:rPr>
                                      <w:b/>
                                      <w:b/>
                                    </w:rPr>
                                  </w:pPr>
                                  <w:r>
                                    <w:rPr>
                                      <w:b/>
                                    </w:rPr>
                                  </w:r>
                                </w:p>
                                <w:p>
                                  <w:pPr>
                                    <w:pStyle w:val="Normal"/>
                                    <w:ind w:left="0" w:hanging="0"/>
                                    <w:jc w:val="center"/>
                                    <w:rPr/>
                                  </w:pPr>
                                  <w:r>
                                    <w:rPr>
                                      <w:b/>
                                    </w:rPr>
                                    <w:t>____________________</w:t>
                                  </w:r>
                                </w:p>
                              </w:tc>
                              <w:tc>
                                <w:tcPr>
                                  <w:tcW w:w="3329" w:type="dxa"/>
                                  <w:tcBorders/>
                                  <w:shd w:fill="auto" w:val="clear"/>
                                </w:tcPr>
                                <w:p>
                                  <w:pPr>
                                    <w:pStyle w:val="Normal"/>
                                    <w:jc w:val="both"/>
                                    <w:rPr/>
                                  </w:pPr>
                                  <w:r>
                                    <w:rPr>
                                      <w:b/>
                                    </w:rPr>
                                    <w:t xml:space="preserve">       </w:t>
                                  </w:r>
                                  <w:r>
                                    <w:rPr>
                                      <w:b/>
                                    </w:rPr>
                                    <w:t>«____»___________20   г.</w:t>
                                  </w:r>
                                </w:p>
                              </w:tc>
                            </w:tr>
                            <w:tr>
                              <w:trPr/>
                              <w:tc>
                                <w:tcPr>
                                  <w:tcW w:w="4292" w:type="dxa"/>
                                  <w:tcBorders/>
                                  <w:shd w:fill="auto" w:val="clear"/>
                                </w:tcPr>
                                <w:p>
                                  <w:pPr>
                                    <w:pStyle w:val="Normal"/>
                                    <w:jc w:val="both"/>
                                    <w:rPr>
                                      <w:b/>
                                      <w:b/>
                                    </w:rPr>
                                  </w:pPr>
                                  <w:r>
                                    <w:rPr>
                                      <w:b/>
                                    </w:rPr>
                                  </w:r>
                                </w:p>
                                <w:p>
                                  <w:pPr>
                                    <w:pStyle w:val="Normal"/>
                                    <w:jc w:val="both"/>
                                    <w:rPr>
                                      <w:b/>
                                      <w:b/>
                                    </w:rPr>
                                  </w:pPr>
                                  <w:r>
                                    <w:rPr>
                                      <w:b/>
                                    </w:rPr>
                                  </w:r>
                                </w:p>
                                <w:p>
                                  <w:pPr>
                                    <w:pStyle w:val="Normal"/>
                                    <w:jc w:val="both"/>
                                    <w:rPr/>
                                  </w:pPr>
                                  <w:r>
                                    <w:rPr>
                                      <w:b/>
                                    </w:rPr>
                                    <w:t xml:space="preserve">СОГЛАСОВАНО:            </w:t>
                                  </w:r>
                                </w:p>
                              </w:tc>
                              <w:tc>
                                <w:tcPr>
                                  <w:tcW w:w="2099" w:type="dxa"/>
                                  <w:tcBorders/>
                                  <w:shd w:fill="auto" w:val="clear"/>
                                </w:tcPr>
                                <w:p>
                                  <w:pPr>
                                    <w:pStyle w:val="Normal"/>
                                    <w:ind w:left="33" w:hanging="0"/>
                                    <w:jc w:val="center"/>
                                    <w:rPr/>
                                  </w:pPr>
                                  <w:r>
                                    <w:rPr/>
                                    <w:t>(Подпись)</w:t>
                                  </w:r>
                                </w:p>
                              </w:tc>
                              <w:tc>
                                <w:tcPr>
                                  <w:tcW w:w="3329" w:type="dxa"/>
                                  <w:tcBorders/>
                                  <w:shd w:fill="auto" w:val="clear"/>
                                </w:tcPr>
                                <w:p>
                                  <w:pPr>
                                    <w:pStyle w:val="Normal"/>
                                    <w:jc w:val="center"/>
                                    <w:rPr/>
                                  </w:pPr>
                                  <w:r>
                                    <w:rPr/>
                                    <w:t>(Дата)</w:t>
                                  </w:r>
                                </w:p>
                              </w:tc>
                            </w:tr>
                            <w:tr>
                              <w:trPr/>
                              <w:tc>
                                <w:tcPr>
                                  <w:tcW w:w="4292" w:type="dxa"/>
                                  <w:tcBorders/>
                                  <w:shd w:fill="auto" w:val="clear"/>
                                </w:tcPr>
                                <w:p>
                                  <w:pPr>
                                    <w:pStyle w:val="Normal"/>
                                    <w:jc w:val="both"/>
                                    <w:rPr>
                                      <w:b/>
                                      <w:b/>
                                    </w:rPr>
                                  </w:pPr>
                                  <w:r>
                                    <w:rPr>
                                      <w:b/>
                                    </w:rPr>
                                  </w:r>
                                </w:p>
                              </w:tc>
                              <w:tc>
                                <w:tcPr>
                                  <w:tcW w:w="2099" w:type="dxa"/>
                                  <w:tcBorders/>
                                  <w:shd w:fill="auto" w:val="clear"/>
                                </w:tcPr>
                                <w:p>
                                  <w:pPr>
                                    <w:pStyle w:val="Normal"/>
                                    <w:ind w:left="0" w:hanging="0"/>
                                    <w:jc w:val="center"/>
                                    <w:rPr>
                                      <w:b/>
                                      <w:b/>
                                    </w:rPr>
                                  </w:pPr>
                                  <w:r>
                                    <w:rPr>
                                      <w:b/>
                                    </w:rPr>
                                  </w:r>
                                </w:p>
                              </w:tc>
                              <w:tc>
                                <w:tcPr>
                                  <w:tcW w:w="3329" w:type="dxa"/>
                                  <w:tcBorders/>
                                  <w:shd w:fill="auto" w:val="clear"/>
                                </w:tcPr>
                                <w:p>
                                  <w:pPr>
                                    <w:pStyle w:val="Normal"/>
                                    <w:jc w:val="center"/>
                                    <w:rPr>
                                      <w:b/>
                                      <w:b/>
                                    </w:rPr>
                                  </w:pPr>
                                  <w:r>
                                    <w:rPr>
                                      <w:b/>
                                    </w:rPr>
                                  </w:r>
                                </w:p>
                              </w:tc>
                            </w:tr>
                            <w:tr>
                              <w:trPr/>
                              <w:tc>
                                <w:tcPr>
                                  <w:tcW w:w="4292" w:type="dxa"/>
                                  <w:tcBorders/>
                                  <w:shd w:fill="auto" w:val="clear"/>
                                </w:tcPr>
                                <w:p>
                                  <w:pPr>
                                    <w:pStyle w:val="Normal"/>
                                    <w:rPr/>
                                  </w:pPr>
                                  <w:r>
                                    <w:rPr>
                                      <w:b/>
                                    </w:rPr>
                                    <w:t xml:space="preserve">ВИЦЕ-ДИРЕКТОР ОИЯИ                                                  </w:t>
                                  </w:r>
                                </w:p>
                              </w:tc>
                              <w:tc>
                                <w:tcPr>
                                  <w:tcW w:w="2099" w:type="dxa"/>
                                  <w:tcBorders/>
                                  <w:shd w:fill="auto" w:val="clear"/>
                                </w:tcPr>
                                <w:p>
                                  <w:pPr>
                                    <w:pStyle w:val="Normal"/>
                                    <w:ind w:left="0" w:hanging="0"/>
                                    <w:jc w:val="center"/>
                                    <w:rPr/>
                                  </w:pPr>
                                  <w:r>
                                    <w:rPr>
                                      <w:b/>
                                    </w:rPr>
                                    <w:t xml:space="preserve">____________________   </w:t>
                                  </w:r>
                                </w:p>
                              </w:tc>
                              <w:tc>
                                <w:tcPr>
                                  <w:tcW w:w="3329" w:type="dxa"/>
                                  <w:tcBorders/>
                                  <w:shd w:fill="auto" w:val="clear"/>
                                </w:tcPr>
                                <w:p>
                                  <w:pPr>
                                    <w:pStyle w:val="Normal"/>
                                    <w:jc w:val="center"/>
                                    <w:rPr/>
                                  </w:pPr>
                                  <w:r>
                                    <w:rPr>
                                      <w:b/>
                                    </w:rPr>
                                    <w:t>«____»___________20   г.</w:t>
                                  </w:r>
                                </w:p>
                              </w:tc>
                            </w:tr>
                            <w:tr>
                              <w:trPr/>
                              <w:tc>
                                <w:tcPr>
                                  <w:tcW w:w="4292" w:type="dxa"/>
                                  <w:tcBorders/>
                                  <w:shd w:fill="auto" w:val="clear"/>
                                </w:tcPr>
                                <w:p>
                                  <w:pPr>
                                    <w:pStyle w:val="Normal"/>
                                    <w:rPr>
                                      <w:b/>
                                      <w:b/>
                                    </w:rPr>
                                  </w:pPr>
                                  <w:r>
                                    <w:rPr>
                                      <w:b/>
                                    </w:rPr>
                                  </w:r>
                                </w:p>
                              </w:tc>
                              <w:tc>
                                <w:tcPr>
                                  <w:tcW w:w="2099" w:type="dxa"/>
                                  <w:tcBorders/>
                                  <w:shd w:fill="auto" w:val="clear"/>
                                </w:tcPr>
                                <w:p>
                                  <w:pPr>
                                    <w:pStyle w:val="Normal"/>
                                    <w:ind w:left="0" w:hanging="0"/>
                                    <w:jc w:val="center"/>
                                    <w:rPr>
                                      <w:b/>
                                      <w:b/>
                                    </w:rPr>
                                  </w:pPr>
                                  <w:r>
                                    <w:rPr>
                                      <w:b/>
                                    </w:rPr>
                                  </w:r>
                                </w:p>
                              </w:tc>
                              <w:tc>
                                <w:tcPr>
                                  <w:tcW w:w="3329" w:type="dxa"/>
                                  <w:tcBorders/>
                                  <w:shd w:fill="auto" w:val="clear"/>
                                </w:tcPr>
                                <w:p>
                                  <w:pPr>
                                    <w:pStyle w:val="Normal"/>
                                    <w:tabs>
                                      <w:tab w:val="left" w:pos="939" w:leader="none"/>
                                    </w:tabs>
                                    <w:jc w:val="center"/>
                                    <w:rPr>
                                      <w:b/>
                                      <w:b/>
                                    </w:rPr>
                                  </w:pPr>
                                  <w:r>
                                    <w:rPr>
                                      <w:b/>
                                    </w:rPr>
                                  </w:r>
                                </w:p>
                              </w:tc>
                            </w:tr>
                            <w:tr>
                              <w:trPr/>
                              <w:tc>
                                <w:tcPr>
                                  <w:tcW w:w="4292" w:type="dxa"/>
                                  <w:tcBorders/>
                                  <w:shd w:fill="auto" w:val="clear"/>
                                </w:tcPr>
                                <w:p>
                                  <w:pPr>
                                    <w:pStyle w:val="Normal"/>
                                    <w:rPr/>
                                  </w:pPr>
                                  <w:r>
                                    <w:rPr>
                                      <w:b/>
                                    </w:rPr>
                                    <w:t>ГЛАВНЫЙ УЧЕНЫЙ СЕКРЕТАРЬ</w:t>
                                  </w:r>
                                </w:p>
                              </w:tc>
                              <w:tc>
                                <w:tcPr>
                                  <w:tcW w:w="2099" w:type="dxa"/>
                                  <w:tcBorders/>
                                  <w:shd w:fill="auto" w:val="clear"/>
                                </w:tcPr>
                                <w:p>
                                  <w:pPr>
                                    <w:pStyle w:val="Normal"/>
                                    <w:ind w:left="0" w:hanging="0"/>
                                    <w:jc w:val="center"/>
                                    <w:rPr/>
                                  </w:pPr>
                                  <w:r>
                                    <w:rPr>
                                      <w:b/>
                                    </w:rPr>
                                    <w:t>____________________</w:t>
                                  </w:r>
                                </w:p>
                              </w:tc>
                              <w:tc>
                                <w:tcPr>
                                  <w:tcW w:w="3329" w:type="dxa"/>
                                  <w:tcBorders/>
                                  <w:shd w:fill="auto" w:val="clear"/>
                                </w:tcPr>
                                <w:p>
                                  <w:pPr>
                                    <w:pStyle w:val="Normal"/>
                                    <w:tabs>
                                      <w:tab w:val="left" w:pos="939" w:leader="none"/>
                                    </w:tabs>
                                    <w:jc w:val="center"/>
                                    <w:rPr/>
                                  </w:pPr>
                                  <w:r>
                                    <w:rPr>
                                      <w:b/>
                                    </w:rPr>
                                    <w:t>«____»___________20   г.</w:t>
                                  </w:r>
                                </w:p>
                              </w:tc>
                            </w:tr>
                            <w:tr>
                              <w:trPr>
                                <w:trHeight w:val="23" w:hRule="exact"/>
                              </w:trPr>
                              <w:tc>
                                <w:tcPr>
                                  <w:tcW w:w="4292" w:type="dxa"/>
                                  <w:tcBorders/>
                                  <w:shd w:fill="auto" w:val="clear"/>
                                </w:tcPr>
                                <w:p>
                                  <w:pPr>
                                    <w:pStyle w:val="Normal"/>
                                    <w:rPr>
                                      <w:rFonts w:ascii="Calibri" w:hAnsi="Calibri"/>
                                      <w:sz w:val="22"/>
                                      <w:szCs w:val="22"/>
                                    </w:rPr>
                                  </w:pPr>
                                  <w:r>
                                    <w:rPr>
                                      <w:rFonts w:ascii="Calibri" w:hAnsi="Calibri"/>
                                      <w:sz w:val="22"/>
                                      <w:szCs w:val="22"/>
                                    </w:rPr>
                                  </w:r>
                                </w:p>
                              </w:tc>
                              <w:tc>
                                <w:tcPr>
                                  <w:tcW w:w="2099" w:type="dxa"/>
                                  <w:tcBorders/>
                                  <w:shd w:fill="auto" w:val="clear"/>
                                </w:tcPr>
                                <w:p>
                                  <w:pPr>
                                    <w:pStyle w:val="Normal"/>
                                    <w:rPr>
                                      <w:rFonts w:ascii="Calibri" w:hAnsi="Calibri"/>
                                      <w:sz w:val="22"/>
                                      <w:szCs w:val="22"/>
                                    </w:rPr>
                                  </w:pPr>
                                  <w:r>
                                    <w:rPr>
                                      <w:rFonts w:ascii="Calibri" w:hAnsi="Calibri"/>
                                      <w:sz w:val="22"/>
                                      <w:szCs w:val="22"/>
                                    </w:rPr>
                                  </w:r>
                                </w:p>
                              </w:tc>
                              <w:tc>
                                <w:tcPr>
                                  <w:tcW w:w="3329" w:type="dxa"/>
                                  <w:tcBorders/>
                                  <w:shd w:fill="auto" w:val="clear"/>
                                </w:tcPr>
                                <w:p>
                                  <w:pPr>
                                    <w:pStyle w:val="Normal"/>
                                    <w:tabs>
                                      <w:tab w:val="left" w:pos="939" w:leader="none"/>
                                    </w:tabs>
                                    <w:rPr>
                                      <w:rFonts w:ascii="Calibri" w:hAnsi="Calibri"/>
                                      <w:sz w:val="22"/>
                                      <w:szCs w:val="22"/>
                                    </w:rPr>
                                  </w:pPr>
                                  <w:r>
                                    <w:rPr>
                                      <w:rFonts w:ascii="Calibri" w:hAnsi="Calibri"/>
                                      <w:sz w:val="22"/>
                                      <w:szCs w:val="22"/>
                                    </w:rPr>
                                  </w:r>
                                </w:p>
                              </w:tc>
                            </w:tr>
                            <w:tr>
                              <w:trPr/>
                              <w:tc>
                                <w:tcPr>
                                  <w:tcW w:w="4292" w:type="dxa"/>
                                  <w:tcBorders/>
                                  <w:shd w:fill="auto" w:val="clear"/>
                                </w:tcPr>
                                <w:p>
                                  <w:pPr>
                                    <w:pStyle w:val="Normal"/>
                                    <w:rPr>
                                      <w:b/>
                                      <w:b/>
                                    </w:rPr>
                                  </w:pPr>
                                  <w:r>
                                    <w:rPr>
                                      <w:b/>
                                    </w:rPr>
                                  </w:r>
                                </w:p>
                              </w:tc>
                              <w:tc>
                                <w:tcPr>
                                  <w:tcW w:w="2099" w:type="dxa"/>
                                  <w:tcBorders/>
                                  <w:shd w:fill="auto" w:val="clear"/>
                                </w:tcPr>
                                <w:p>
                                  <w:pPr>
                                    <w:pStyle w:val="Normal"/>
                                    <w:ind w:left="0" w:hanging="0"/>
                                    <w:jc w:val="center"/>
                                    <w:rPr>
                                      <w:b/>
                                      <w:b/>
                                    </w:rPr>
                                  </w:pPr>
                                  <w:r>
                                    <w:rPr>
                                      <w:b/>
                                    </w:rPr>
                                  </w:r>
                                </w:p>
                              </w:tc>
                              <w:tc>
                                <w:tcPr>
                                  <w:tcW w:w="3329" w:type="dxa"/>
                                  <w:tcBorders/>
                                  <w:shd w:fill="auto" w:val="clear"/>
                                </w:tcPr>
                                <w:p>
                                  <w:pPr>
                                    <w:pStyle w:val="Normal"/>
                                    <w:tabs>
                                      <w:tab w:val="left" w:pos="939" w:leader="none"/>
                                    </w:tabs>
                                    <w:jc w:val="center"/>
                                    <w:rPr>
                                      <w:b/>
                                      <w:b/>
                                    </w:rPr>
                                  </w:pPr>
                                  <w:r>
                                    <w:rPr>
                                      <w:b/>
                                    </w:rPr>
                                  </w:r>
                                </w:p>
                              </w:tc>
                            </w:tr>
                            <w:tr>
                              <w:trPr/>
                              <w:tc>
                                <w:tcPr>
                                  <w:tcW w:w="4292" w:type="dxa"/>
                                  <w:tcBorders/>
                                  <w:shd w:fill="auto" w:val="clear"/>
                                </w:tcPr>
                                <w:p>
                                  <w:pPr>
                                    <w:pStyle w:val="Normal"/>
                                    <w:rPr/>
                                  </w:pPr>
                                  <w:r>
                                    <w:rPr>
                                      <w:b/>
                                    </w:rPr>
                                    <w:t>ГЛАВНЫЙ ИНЖЕНЕР ОИЯИ</w:t>
                                  </w:r>
                                </w:p>
                              </w:tc>
                              <w:tc>
                                <w:tcPr>
                                  <w:tcW w:w="2099" w:type="dxa"/>
                                  <w:tcBorders/>
                                  <w:shd w:fill="auto" w:val="clear"/>
                                </w:tcPr>
                                <w:p>
                                  <w:pPr>
                                    <w:pStyle w:val="Normal"/>
                                    <w:ind w:left="0" w:hanging="0"/>
                                    <w:jc w:val="center"/>
                                    <w:rPr/>
                                  </w:pPr>
                                  <w:r>
                                    <w:rPr>
                                      <w:b/>
                                    </w:rPr>
                                    <w:t xml:space="preserve">____________________   </w:t>
                                  </w:r>
                                </w:p>
                              </w:tc>
                              <w:tc>
                                <w:tcPr>
                                  <w:tcW w:w="3329" w:type="dxa"/>
                                  <w:tcBorders/>
                                  <w:shd w:fill="auto" w:val="clear"/>
                                </w:tcPr>
                                <w:p>
                                  <w:pPr>
                                    <w:pStyle w:val="Normal"/>
                                    <w:tabs>
                                      <w:tab w:val="left" w:pos="939" w:leader="none"/>
                                    </w:tabs>
                                    <w:jc w:val="center"/>
                                    <w:rPr/>
                                  </w:pPr>
                                  <w:r>
                                    <w:rPr>
                                      <w:b/>
                                    </w:rPr>
                                    <w:t>«____»___________20   г.</w:t>
                                  </w:r>
                                </w:p>
                              </w:tc>
                            </w:tr>
                            <w:tr>
                              <w:trPr/>
                              <w:tc>
                                <w:tcPr>
                                  <w:tcW w:w="4292" w:type="dxa"/>
                                  <w:tcBorders/>
                                  <w:shd w:fill="auto" w:val="clear"/>
                                </w:tcPr>
                                <w:p>
                                  <w:pPr>
                                    <w:pStyle w:val="Normal"/>
                                    <w:rPr>
                                      <w:b/>
                                      <w:b/>
                                    </w:rPr>
                                  </w:pPr>
                                  <w:r>
                                    <w:rPr>
                                      <w:b/>
                                    </w:rPr>
                                  </w:r>
                                </w:p>
                              </w:tc>
                              <w:tc>
                                <w:tcPr>
                                  <w:tcW w:w="2099" w:type="dxa"/>
                                  <w:tcBorders/>
                                  <w:shd w:fill="auto" w:val="clear"/>
                                </w:tcPr>
                                <w:p>
                                  <w:pPr>
                                    <w:pStyle w:val="Normal"/>
                                    <w:ind w:left="0" w:hanging="0"/>
                                    <w:jc w:val="center"/>
                                    <w:rPr>
                                      <w:b/>
                                      <w:b/>
                                    </w:rPr>
                                  </w:pPr>
                                  <w:r>
                                    <w:rPr>
                                      <w:b/>
                                    </w:rPr>
                                  </w:r>
                                </w:p>
                              </w:tc>
                              <w:tc>
                                <w:tcPr>
                                  <w:tcW w:w="3329" w:type="dxa"/>
                                  <w:tcBorders/>
                                  <w:shd w:fill="auto" w:val="clear"/>
                                </w:tcPr>
                                <w:p>
                                  <w:pPr>
                                    <w:pStyle w:val="Normal"/>
                                    <w:tabs>
                                      <w:tab w:val="left" w:pos="939" w:leader="none"/>
                                    </w:tabs>
                                    <w:jc w:val="center"/>
                                    <w:rPr>
                                      <w:b/>
                                      <w:b/>
                                    </w:rPr>
                                  </w:pPr>
                                  <w:r>
                                    <w:rPr>
                                      <w:b/>
                                    </w:rPr>
                                  </w:r>
                                </w:p>
                              </w:tc>
                            </w:tr>
                            <w:tr>
                              <w:trPr/>
                              <w:tc>
                                <w:tcPr>
                                  <w:tcW w:w="4292" w:type="dxa"/>
                                  <w:tcBorders/>
                                  <w:shd w:fill="auto" w:val="clear"/>
                                </w:tcPr>
                                <w:p>
                                  <w:pPr>
                                    <w:pStyle w:val="Normal"/>
                                    <w:rPr/>
                                  </w:pPr>
                                  <w:r>
                                    <w:rPr>
                                      <w:b/>
                                    </w:rPr>
                                    <w:t>НАЧАЛЬНИК НОО</w:t>
                                  </w:r>
                                </w:p>
                              </w:tc>
                              <w:tc>
                                <w:tcPr>
                                  <w:tcW w:w="2099" w:type="dxa"/>
                                  <w:tcBorders/>
                                  <w:shd w:fill="auto" w:val="clear"/>
                                </w:tcPr>
                                <w:p>
                                  <w:pPr>
                                    <w:pStyle w:val="Normal"/>
                                    <w:ind w:left="0" w:hanging="0"/>
                                    <w:jc w:val="center"/>
                                    <w:rPr/>
                                  </w:pPr>
                                  <w:r>
                                    <w:rPr>
                                      <w:b/>
                                    </w:rPr>
                                    <w:t xml:space="preserve">____________________   </w:t>
                                  </w:r>
                                </w:p>
                              </w:tc>
                              <w:tc>
                                <w:tcPr>
                                  <w:tcW w:w="3329" w:type="dxa"/>
                                  <w:tcBorders/>
                                  <w:shd w:fill="auto" w:val="clear"/>
                                </w:tcPr>
                                <w:p>
                                  <w:pPr>
                                    <w:pStyle w:val="Normal"/>
                                    <w:tabs>
                                      <w:tab w:val="left" w:pos="939" w:leader="none"/>
                                    </w:tabs>
                                    <w:jc w:val="center"/>
                                    <w:rPr/>
                                  </w:pPr>
                                  <w:r>
                                    <w:rPr>
                                      <w:b/>
                                    </w:rPr>
                                    <w:t>«____»___________20   г.</w:t>
                                  </w:r>
                                </w:p>
                              </w:tc>
                            </w:tr>
                            <w:tr>
                              <w:trPr/>
                              <w:tc>
                                <w:tcPr>
                                  <w:tcW w:w="4292" w:type="dxa"/>
                                  <w:tcBorders/>
                                  <w:shd w:fill="auto" w:val="clear"/>
                                </w:tcPr>
                                <w:p>
                                  <w:pPr>
                                    <w:pStyle w:val="Normal"/>
                                    <w:rPr>
                                      <w:b/>
                                      <w:b/>
                                    </w:rPr>
                                  </w:pPr>
                                  <w:r>
                                    <w:rPr>
                                      <w:b/>
                                    </w:rPr>
                                  </w:r>
                                </w:p>
                                <w:p>
                                  <w:pPr>
                                    <w:pStyle w:val="Normal"/>
                                    <w:rPr>
                                      <w:b/>
                                      <w:b/>
                                    </w:rPr>
                                  </w:pPr>
                                  <w:r>
                                    <w:rPr>
                                      <w:b/>
                                    </w:rPr>
                                  </w:r>
                                </w:p>
                              </w:tc>
                              <w:tc>
                                <w:tcPr>
                                  <w:tcW w:w="2099" w:type="dxa"/>
                                  <w:tcBorders/>
                                  <w:shd w:fill="auto" w:val="clear"/>
                                </w:tcPr>
                                <w:p>
                                  <w:pPr>
                                    <w:pStyle w:val="Normal"/>
                                    <w:ind w:left="0" w:hanging="0"/>
                                    <w:jc w:val="center"/>
                                    <w:rPr>
                                      <w:b/>
                                      <w:b/>
                                    </w:rPr>
                                  </w:pPr>
                                  <w:r>
                                    <w:rPr>
                                      <w:b/>
                                    </w:rPr>
                                  </w:r>
                                </w:p>
                              </w:tc>
                              <w:tc>
                                <w:tcPr>
                                  <w:tcW w:w="3329" w:type="dxa"/>
                                  <w:tcBorders/>
                                  <w:shd w:fill="auto" w:val="clear"/>
                                </w:tcPr>
                                <w:p>
                                  <w:pPr>
                                    <w:pStyle w:val="Normal"/>
                                    <w:tabs>
                                      <w:tab w:val="left" w:pos="939" w:leader="none"/>
                                    </w:tabs>
                                    <w:jc w:val="center"/>
                                    <w:rPr>
                                      <w:b/>
                                      <w:b/>
                                    </w:rPr>
                                  </w:pPr>
                                  <w:r>
                                    <w:rPr>
                                      <w:b/>
                                    </w:rPr>
                                  </w:r>
                                </w:p>
                              </w:tc>
                            </w:tr>
                            <w:tr>
                              <w:trPr/>
                              <w:tc>
                                <w:tcPr>
                                  <w:tcW w:w="4292" w:type="dxa"/>
                                  <w:tcBorders/>
                                  <w:shd w:fill="auto" w:val="clear"/>
                                </w:tcPr>
                                <w:p>
                                  <w:pPr>
                                    <w:pStyle w:val="Normal"/>
                                    <w:rPr/>
                                  </w:pPr>
                                  <w:r>
                                    <w:rPr>
                                      <w:b/>
                                    </w:rPr>
                                    <w:t>ДИРЕКТОР ЛАБОРАТОРИИ</w:t>
                                  </w:r>
                                </w:p>
                              </w:tc>
                              <w:tc>
                                <w:tcPr>
                                  <w:tcW w:w="2099" w:type="dxa"/>
                                  <w:tcBorders/>
                                  <w:shd w:fill="auto" w:val="clear"/>
                                </w:tcPr>
                                <w:p>
                                  <w:pPr>
                                    <w:pStyle w:val="Normal"/>
                                    <w:ind w:left="0" w:hanging="0"/>
                                    <w:jc w:val="center"/>
                                    <w:rPr/>
                                  </w:pPr>
                                  <w:r>
                                    <w:rPr>
                                      <w:b/>
                                    </w:rPr>
                                    <w:t xml:space="preserve">____________________   </w:t>
                                  </w:r>
                                </w:p>
                              </w:tc>
                              <w:tc>
                                <w:tcPr>
                                  <w:tcW w:w="3329" w:type="dxa"/>
                                  <w:tcBorders/>
                                  <w:shd w:fill="auto" w:val="clear"/>
                                </w:tcPr>
                                <w:p>
                                  <w:pPr>
                                    <w:pStyle w:val="Normal"/>
                                    <w:tabs>
                                      <w:tab w:val="left" w:pos="939" w:leader="none"/>
                                    </w:tabs>
                                    <w:jc w:val="center"/>
                                    <w:rPr/>
                                  </w:pPr>
                                  <w:r>
                                    <w:rPr>
                                      <w:b/>
                                    </w:rPr>
                                    <w:t>«____»___________20   г.</w:t>
                                  </w:r>
                                </w:p>
                              </w:tc>
                            </w:tr>
                            <w:tr>
                              <w:trPr/>
                              <w:tc>
                                <w:tcPr>
                                  <w:tcW w:w="4292" w:type="dxa"/>
                                  <w:tcBorders/>
                                  <w:shd w:fill="auto" w:val="clear"/>
                                </w:tcPr>
                                <w:p>
                                  <w:pPr>
                                    <w:pStyle w:val="Normal"/>
                                    <w:rPr>
                                      <w:b/>
                                      <w:b/>
                                    </w:rPr>
                                  </w:pPr>
                                  <w:r>
                                    <w:rPr>
                                      <w:b/>
                                    </w:rPr>
                                  </w:r>
                                </w:p>
                              </w:tc>
                              <w:tc>
                                <w:tcPr>
                                  <w:tcW w:w="2099" w:type="dxa"/>
                                  <w:tcBorders/>
                                  <w:shd w:fill="auto" w:val="clear"/>
                                </w:tcPr>
                                <w:p>
                                  <w:pPr>
                                    <w:pStyle w:val="Normal"/>
                                    <w:ind w:left="0" w:hanging="0"/>
                                    <w:jc w:val="center"/>
                                    <w:rPr>
                                      <w:b/>
                                      <w:b/>
                                    </w:rPr>
                                  </w:pPr>
                                  <w:r>
                                    <w:rPr>
                                      <w:b/>
                                    </w:rPr>
                                  </w:r>
                                </w:p>
                              </w:tc>
                              <w:tc>
                                <w:tcPr>
                                  <w:tcW w:w="3329" w:type="dxa"/>
                                  <w:tcBorders/>
                                  <w:shd w:fill="auto" w:val="clear"/>
                                </w:tcPr>
                                <w:p>
                                  <w:pPr>
                                    <w:pStyle w:val="Normal"/>
                                    <w:tabs>
                                      <w:tab w:val="left" w:pos="939" w:leader="none"/>
                                    </w:tabs>
                                    <w:jc w:val="center"/>
                                    <w:rPr>
                                      <w:b/>
                                      <w:b/>
                                    </w:rPr>
                                  </w:pPr>
                                  <w:r>
                                    <w:rPr>
                                      <w:b/>
                                    </w:rPr>
                                  </w:r>
                                </w:p>
                              </w:tc>
                            </w:tr>
                            <w:tr>
                              <w:trPr/>
                              <w:tc>
                                <w:tcPr>
                                  <w:tcW w:w="4292" w:type="dxa"/>
                                  <w:tcBorders/>
                                  <w:shd w:fill="auto" w:val="clear"/>
                                </w:tcPr>
                                <w:p>
                                  <w:pPr>
                                    <w:pStyle w:val="Normal"/>
                                    <w:rPr/>
                                  </w:pPr>
                                  <w:r>
                                    <w:rPr>
                                      <w:b/>
                                    </w:rPr>
                                    <w:t>ГЛАВНЫЙ ИНЖЕНЕР ЛАБОРАТОРИИ</w:t>
                                  </w:r>
                                </w:p>
                              </w:tc>
                              <w:tc>
                                <w:tcPr>
                                  <w:tcW w:w="2099" w:type="dxa"/>
                                  <w:tcBorders/>
                                  <w:shd w:fill="auto" w:val="clear"/>
                                </w:tcPr>
                                <w:p>
                                  <w:pPr>
                                    <w:pStyle w:val="Normal"/>
                                    <w:ind w:left="0" w:hanging="0"/>
                                    <w:jc w:val="center"/>
                                    <w:rPr/>
                                  </w:pPr>
                                  <w:r>
                                    <w:rPr>
                                      <w:b/>
                                    </w:rPr>
                                    <w:t xml:space="preserve">____________________   </w:t>
                                  </w:r>
                                </w:p>
                              </w:tc>
                              <w:tc>
                                <w:tcPr>
                                  <w:tcW w:w="3329" w:type="dxa"/>
                                  <w:tcBorders/>
                                  <w:shd w:fill="auto" w:val="clear"/>
                                </w:tcPr>
                                <w:p>
                                  <w:pPr>
                                    <w:pStyle w:val="Normal"/>
                                    <w:tabs>
                                      <w:tab w:val="left" w:pos="939" w:leader="none"/>
                                    </w:tabs>
                                    <w:jc w:val="center"/>
                                    <w:rPr/>
                                  </w:pPr>
                                  <w:r>
                                    <w:rPr>
                                      <w:b/>
                                    </w:rPr>
                                    <w:t>«____»___________20   г.</w:t>
                                  </w:r>
                                </w:p>
                              </w:tc>
                            </w:tr>
                            <w:tr>
                              <w:trPr/>
                              <w:tc>
                                <w:tcPr>
                                  <w:tcW w:w="4292" w:type="dxa"/>
                                  <w:tcBorders/>
                                  <w:shd w:fill="auto" w:val="clear"/>
                                </w:tcPr>
                                <w:p>
                                  <w:pPr>
                                    <w:pStyle w:val="Normal"/>
                                    <w:rPr>
                                      <w:b/>
                                      <w:b/>
                                    </w:rPr>
                                  </w:pPr>
                                  <w:r>
                                    <w:rPr>
                                      <w:b/>
                                    </w:rPr>
                                  </w:r>
                                </w:p>
                              </w:tc>
                              <w:tc>
                                <w:tcPr>
                                  <w:tcW w:w="2099" w:type="dxa"/>
                                  <w:tcBorders/>
                                  <w:shd w:fill="auto" w:val="clear"/>
                                </w:tcPr>
                                <w:p>
                                  <w:pPr>
                                    <w:pStyle w:val="Normal"/>
                                    <w:ind w:left="0" w:hanging="0"/>
                                    <w:jc w:val="center"/>
                                    <w:rPr>
                                      <w:b/>
                                      <w:b/>
                                    </w:rPr>
                                  </w:pPr>
                                  <w:r>
                                    <w:rPr>
                                      <w:b/>
                                    </w:rPr>
                                  </w:r>
                                </w:p>
                              </w:tc>
                              <w:tc>
                                <w:tcPr>
                                  <w:tcW w:w="3329" w:type="dxa"/>
                                  <w:tcBorders/>
                                  <w:shd w:fill="auto" w:val="clear"/>
                                </w:tcPr>
                                <w:p>
                                  <w:pPr>
                                    <w:pStyle w:val="Normal"/>
                                    <w:tabs>
                                      <w:tab w:val="left" w:pos="939" w:leader="none"/>
                                    </w:tabs>
                                    <w:jc w:val="center"/>
                                    <w:rPr>
                                      <w:b/>
                                      <w:b/>
                                    </w:rPr>
                                  </w:pPr>
                                  <w:r>
                                    <w:rPr>
                                      <w:b/>
                                    </w:rPr>
                                  </w:r>
                                </w:p>
                              </w:tc>
                            </w:tr>
                            <w:tr>
                              <w:trPr/>
                              <w:tc>
                                <w:tcPr>
                                  <w:tcW w:w="4292" w:type="dxa"/>
                                  <w:tcBorders/>
                                  <w:shd w:fill="auto" w:val="clear"/>
                                </w:tcPr>
                                <w:p>
                                  <w:pPr>
                                    <w:pStyle w:val="Normal"/>
                                    <w:rPr/>
                                  </w:pPr>
                                  <w:r>
                                    <w:rPr>
                                      <w:b/>
                                    </w:rPr>
                                    <w:t>РУКОВОДИТЕЛЬ ПРОЕКТА</w:t>
                                  </w:r>
                                </w:p>
                              </w:tc>
                              <w:tc>
                                <w:tcPr>
                                  <w:tcW w:w="2099" w:type="dxa"/>
                                  <w:tcBorders/>
                                  <w:shd w:fill="auto" w:val="clear"/>
                                </w:tcPr>
                                <w:p>
                                  <w:pPr>
                                    <w:pStyle w:val="Normal"/>
                                    <w:ind w:left="0" w:hanging="0"/>
                                    <w:jc w:val="center"/>
                                    <w:rPr/>
                                  </w:pPr>
                                  <w:r>
                                    <w:rPr>
                                      <w:b/>
                                    </w:rPr>
                                    <w:t>_____________________</w:t>
                                  </w:r>
                                </w:p>
                              </w:tc>
                              <w:tc>
                                <w:tcPr>
                                  <w:tcW w:w="3329" w:type="dxa"/>
                                  <w:tcBorders/>
                                  <w:shd w:fill="auto" w:val="clear"/>
                                </w:tcPr>
                                <w:p>
                                  <w:pPr>
                                    <w:pStyle w:val="Normal"/>
                                    <w:tabs>
                                      <w:tab w:val="left" w:pos="939" w:leader="none"/>
                                    </w:tabs>
                                    <w:jc w:val="center"/>
                                    <w:rPr/>
                                  </w:pPr>
                                  <w:r>
                                    <w:rPr>
                                      <w:b/>
                                    </w:rPr>
                                    <w:t>«____»___________20   г.</w:t>
                                  </w:r>
                                </w:p>
                              </w:tc>
                            </w:tr>
                            <w:tr>
                              <w:trPr/>
                              <w:tc>
                                <w:tcPr>
                                  <w:tcW w:w="4292" w:type="dxa"/>
                                  <w:tcBorders/>
                                  <w:shd w:fill="auto" w:val="clear"/>
                                </w:tcPr>
                                <w:p>
                                  <w:pPr>
                                    <w:pStyle w:val="Normal"/>
                                    <w:rPr>
                                      <w:b/>
                                      <w:b/>
                                    </w:rPr>
                                  </w:pPr>
                                  <w:r>
                                    <w:rPr>
                                      <w:b/>
                                    </w:rPr>
                                  </w:r>
                                </w:p>
                              </w:tc>
                              <w:tc>
                                <w:tcPr>
                                  <w:tcW w:w="2099" w:type="dxa"/>
                                  <w:tcBorders/>
                                  <w:shd w:fill="auto" w:val="clear"/>
                                </w:tcPr>
                                <w:p>
                                  <w:pPr>
                                    <w:pStyle w:val="Normal"/>
                                    <w:ind w:left="0" w:hanging="0"/>
                                    <w:jc w:val="center"/>
                                    <w:rPr>
                                      <w:b/>
                                      <w:b/>
                                    </w:rPr>
                                  </w:pPr>
                                  <w:r>
                                    <w:rPr>
                                      <w:b/>
                                    </w:rPr>
                                  </w:r>
                                </w:p>
                              </w:tc>
                              <w:tc>
                                <w:tcPr>
                                  <w:tcW w:w="3329" w:type="dxa"/>
                                  <w:tcBorders/>
                                  <w:shd w:fill="auto" w:val="clear"/>
                                </w:tcPr>
                                <w:p>
                                  <w:pPr>
                                    <w:pStyle w:val="Normal"/>
                                    <w:tabs>
                                      <w:tab w:val="left" w:pos="939" w:leader="none"/>
                                    </w:tabs>
                                    <w:jc w:val="center"/>
                                    <w:rPr>
                                      <w:b/>
                                      <w:b/>
                                    </w:rPr>
                                  </w:pPr>
                                  <w:r>
                                    <w:rPr>
                                      <w:b/>
                                    </w:rPr>
                                  </w:r>
                                </w:p>
                              </w:tc>
                            </w:tr>
                            <w:tr>
                              <w:trPr/>
                              <w:tc>
                                <w:tcPr>
                                  <w:tcW w:w="4292" w:type="dxa"/>
                                  <w:tcBorders/>
                                  <w:shd w:fill="auto" w:val="clear"/>
                                </w:tcPr>
                                <w:p>
                                  <w:pPr>
                                    <w:pStyle w:val="Normal"/>
                                    <w:rPr>
                                      <w:b/>
                                      <w:b/>
                                    </w:rPr>
                                  </w:pPr>
                                  <w:r>
                                    <w:rPr>
                                      <w:b/>
                                    </w:rPr>
                                  </w:r>
                                </w:p>
                              </w:tc>
                              <w:tc>
                                <w:tcPr>
                                  <w:tcW w:w="2099" w:type="dxa"/>
                                  <w:tcBorders/>
                                  <w:shd w:fill="auto" w:val="clear"/>
                                </w:tcPr>
                                <w:p>
                                  <w:pPr>
                                    <w:pStyle w:val="Normal"/>
                                    <w:ind w:left="0" w:hanging="0"/>
                                    <w:jc w:val="center"/>
                                    <w:rPr/>
                                  </w:pPr>
                                  <w:r>
                                    <w:rPr>
                                      <w:b/>
                                    </w:rPr>
                                    <w:t xml:space="preserve">_____________________   </w:t>
                                  </w:r>
                                </w:p>
                              </w:tc>
                              <w:tc>
                                <w:tcPr>
                                  <w:tcW w:w="3329" w:type="dxa"/>
                                  <w:tcBorders/>
                                  <w:shd w:fill="auto" w:val="clear"/>
                                </w:tcPr>
                                <w:p>
                                  <w:pPr>
                                    <w:pStyle w:val="Normal"/>
                                    <w:tabs>
                                      <w:tab w:val="left" w:pos="939" w:leader="none"/>
                                    </w:tabs>
                                    <w:jc w:val="center"/>
                                    <w:rPr/>
                                  </w:pPr>
                                  <w:r>
                                    <w:rPr>
                                      <w:b/>
                                    </w:rPr>
                                    <w:t>«____»___________20  г.</w:t>
                                  </w:r>
                                </w:p>
                              </w:tc>
                            </w:tr>
                            <w:tr>
                              <w:trPr/>
                              <w:tc>
                                <w:tcPr>
                                  <w:tcW w:w="4292" w:type="dxa"/>
                                  <w:tcBorders/>
                                  <w:shd w:fill="auto" w:val="clear"/>
                                </w:tcPr>
                                <w:p>
                                  <w:pPr>
                                    <w:pStyle w:val="Normal"/>
                                    <w:jc w:val="both"/>
                                    <w:rPr>
                                      <w:b/>
                                      <w:b/>
                                    </w:rPr>
                                  </w:pPr>
                                  <w:r>
                                    <w:rPr>
                                      <w:b/>
                                    </w:rPr>
                                  </w:r>
                                </w:p>
                              </w:tc>
                              <w:tc>
                                <w:tcPr>
                                  <w:tcW w:w="2099" w:type="dxa"/>
                                  <w:tcBorders/>
                                  <w:shd w:fill="auto" w:val="clear"/>
                                </w:tcPr>
                                <w:p>
                                  <w:pPr>
                                    <w:pStyle w:val="Normal"/>
                                    <w:ind w:left="0" w:hanging="0"/>
                                    <w:jc w:val="center"/>
                                    <w:rPr>
                                      <w:b/>
                                      <w:b/>
                                    </w:rPr>
                                  </w:pPr>
                                  <w:r>
                                    <w:rPr>
                                      <w:b/>
                                    </w:rPr>
                                  </w:r>
                                </w:p>
                              </w:tc>
                              <w:tc>
                                <w:tcPr>
                                  <w:tcW w:w="3329" w:type="dxa"/>
                                  <w:tcBorders/>
                                  <w:shd w:fill="auto" w:val="clear"/>
                                </w:tcPr>
                                <w:p>
                                  <w:pPr>
                                    <w:pStyle w:val="Normal"/>
                                    <w:tabs>
                                      <w:tab w:val="left" w:pos="939" w:leader="none"/>
                                    </w:tabs>
                                    <w:jc w:val="center"/>
                                    <w:rPr>
                                      <w:b/>
                                      <w:b/>
                                    </w:rPr>
                                  </w:pPr>
                                  <w:r>
                                    <w:rPr>
                                      <w:b/>
                                    </w:rPr>
                                  </w:r>
                                </w:p>
                              </w:tc>
                            </w:tr>
                            <w:tr>
                              <w:trPr/>
                              <w:tc>
                                <w:tcPr>
                                  <w:tcW w:w="4292" w:type="dxa"/>
                                  <w:tcBorders/>
                                  <w:shd w:fill="auto" w:val="clear"/>
                                </w:tcPr>
                                <w:p>
                                  <w:pPr>
                                    <w:pStyle w:val="Normal"/>
                                    <w:jc w:val="both"/>
                                    <w:rPr>
                                      <w:b/>
                                      <w:b/>
                                    </w:rPr>
                                  </w:pPr>
                                  <w:r>
                                    <w:rPr>
                                      <w:b/>
                                    </w:rPr>
                                  </w:r>
                                </w:p>
                              </w:tc>
                              <w:tc>
                                <w:tcPr>
                                  <w:tcW w:w="2099" w:type="dxa"/>
                                  <w:tcBorders/>
                                  <w:shd w:fill="auto" w:val="clear"/>
                                </w:tcPr>
                                <w:p>
                                  <w:pPr>
                                    <w:pStyle w:val="Normal"/>
                                    <w:ind w:left="0" w:hanging="0"/>
                                    <w:jc w:val="center"/>
                                    <w:rPr>
                                      <w:b/>
                                      <w:b/>
                                    </w:rPr>
                                  </w:pPr>
                                  <w:r>
                                    <w:rPr>
                                      <w:b/>
                                    </w:rPr>
                                  </w:r>
                                </w:p>
                              </w:tc>
                              <w:tc>
                                <w:tcPr>
                                  <w:tcW w:w="3329" w:type="dxa"/>
                                  <w:tcBorders/>
                                  <w:shd w:fill="auto" w:val="clear"/>
                                </w:tcPr>
                                <w:p>
                                  <w:pPr>
                                    <w:pStyle w:val="Normal"/>
                                    <w:tabs>
                                      <w:tab w:val="left" w:pos="939" w:leader="none"/>
                                    </w:tabs>
                                    <w:jc w:val="center"/>
                                    <w:rPr>
                                      <w:b/>
                                      <w:b/>
                                    </w:rPr>
                                  </w:pPr>
                                  <w:r>
                                    <w:rPr>
                                      <w:b/>
                                    </w:rPr>
                                  </w:r>
                                </w:p>
                              </w:tc>
                            </w:tr>
                            <w:tr>
                              <w:trPr/>
                              <w:tc>
                                <w:tcPr>
                                  <w:tcW w:w="4292" w:type="dxa"/>
                                  <w:tcBorders/>
                                  <w:shd w:fill="auto" w:val="clear"/>
                                </w:tcPr>
                                <w:p>
                                  <w:pPr>
                                    <w:pStyle w:val="Normal"/>
                                    <w:jc w:val="both"/>
                                    <w:rPr>
                                      <w:b/>
                                      <w:b/>
                                    </w:rPr>
                                  </w:pPr>
                                  <w:r>
                                    <w:rPr>
                                      <w:b/>
                                    </w:rPr>
                                  </w:r>
                                </w:p>
                                <w:p>
                                  <w:pPr>
                                    <w:pStyle w:val="Normal"/>
                                    <w:jc w:val="both"/>
                                    <w:rPr/>
                                  </w:pPr>
                                  <w:r>
                                    <w:rPr>
                                      <w:b/>
                                    </w:rPr>
                                    <w:t>ОДОБРЕН</w:t>
                                  </w:r>
                                </w:p>
                              </w:tc>
                              <w:tc>
                                <w:tcPr>
                                  <w:tcW w:w="2099" w:type="dxa"/>
                                  <w:tcBorders/>
                                  <w:shd w:fill="auto" w:val="clear"/>
                                </w:tcPr>
                                <w:p>
                                  <w:pPr>
                                    <w:pStyle w:val="Normal"/>
                                    <w:ind w:left="0" w:hanging="0"/>
                                    <w:jc w:val="center"/>
                                    <w:rPr/>
                                  </w:pPr>
                                  <w:r>
                                    <w:rPr/>
                                    <w:t xml:space="preserve">   </w:t>
                                  </w:r>
                                </w:p>
                              </w:tc>
                              <w:tc>
                                <w:tcPr>
                                  <w:tcW w:w="3329" w:type="dxa"/>
                                  <w:tcBorders/>
                                  <w:shd w:fill="auto" w:val="clear"/>
                                </w:tcPr>
                                <w:p>
                                  <w:pPr>
                                    <w:pStyle w:val="Normal"/>
                                    <w:tabs>
                                      <w:tab w:val="left" w:pos="939" w:leader="none"/>
                                    </w:tabs>
                                    <w:rPr>
                                      <w:rFonts w:ascii="Calibri" w:hAnsi="Calibri"/>
                                      <w:sz w:val="22"/>
                                      <w:szCs w:val="22"/>
                                    </w:rPr>
                                  </w:pPr>
                                  <w:r>
                                    <w:rPr>
                                      <w:rFonts w:ascii="Calibri" w:hAnsi="Calibri"/>
                                      <w:sz w:val="22"/>
                                      <w:szCs w:val="22"/>
                                    </w:rPr>
                                  </w:r>
                                </w:p>
                              </w:tc>
                            </w:tr>
                            <w:tr>
                              <w:trPr/>
                              <w:tc>
                                <w:tcPr>
                                  <w:tcW w:w="4292" w:type="dxa"/>
                                  <w:tcBorders/>
                                  <w:shd w:fill="auto" w:val="clear"/>
                                </w:tcPr>
                                <w:p>
                                  <w:pPr>
                                    <w:pStyle w:val="Normal"/>
                                    <w:jc w:val="both"/>
                                    <w:rPr>
                                      <w:b/>
                                      <w:b/>
                                    </w:rPr>
                                  </w:pPr>
                                  <w:r>
                                    <w:rPr>
                                      <w:b/>
                                    </w:rPr>
                                  </w:r>
                                </w:p>
                              </w:tc>
                              <w:tc>
                                <w:tcPr>
                                  <w:tcW w:w="2099" w:type="dxa"/>
                                  <w:tcBorders/>
                                  <w:shd w:fill="auto" w:val="clear"/>
                                </w:tcPr>
                                <w:p>
                                  <w:pPr>
                                    <w:pStyle w:val="Normal"/>
                                    <w:ind w:left="0" w:hanging="0"/>
                                    <w:jc w:val="center"/>
                                    <w:rPr>
                                      <w:b/>
                                      <w:b/>
                                    </w:rPr>
                                  </w:pPr>
                                  <w:r>
                                    <w:rPr>
                                      <w:b/>
                                    </w:rPr>
                                  </w:r>
                                </w:p>
                              </w:tc>
                              <w:tc>
                                <w:tcPr>
                                  <w:tcW w:w="3329" w:type="dxa"/>
                                  <w:tcBorders/>
                                  <w:shd w:fill="auto" w:val="clear"/>
                                </w:tcPr>
                                <w:p>
                                  <w:pPr>
                                    <w:pStyle w:val="Normal"/>
                                    <w:tabs>
                                      <w:tab w:val="left" w:pos="939" w:leader="none"/>
                                    </w:tabs>
                                    <w:jc w:val="center"/>
                                    <w:rPr>
                                      <w:b/>
                                      <w:b/>
                                    </w:rPr>
                                  </w:pPr>
                                  <w:r>
                                    <w:rPr>
                                      <w:b/>
                                    </w:rPr>
                                  </w:r>
                                </w:p>
                              </w:tc>
                            </w:tr>
                            <w:tr>
                              <w:trPr/>
                              <w:tc>
                                <w:tcPr>
                                  <w:tcW w:w="4292" w:type="dxa"/>
                                  <w:tcBorders/>
                                  <w:shd w:fill="auto" w:val="clear"/>
                                </w:tcPr>
                                <w:p>
                                  <w:pPr>
                                    <w:pStyle w:val="Normal"/>
                                    <w:jc w:val="both"/>
                                    <w:rPr/>
                                  </w:pPr>
                                  <w:r>
                                    <w:rPr>
                                      <w:b/>
                                    </w:rPr>
                                    <w:t>ПКК ПО НАПРАВЛЕНИЮ</w:t>
                                  </w:r>
                                </w:p>
                              </w:tc>
                              <w:tc>
                                <w:tcPr>
                                  <w:tcW w:w="2099" w:type="dxa"/>
                                  <w:tcBorders/>
                                  <w:shd w:fill="auto" w:val="clear"/>
                                </w:tcPr>
                                <w:p>
                                  <w:pPr>
                                    <w:pStyle w:val="Normal"/>
                                    <w:ind w:left="0" w:hanging="0"/>
                                    <w:jc w:val="center"/>
                                    <w:rPr/>
                                  </w:pPr>
                                  <w:r>
                                    <w:rPr>
                                      <w:b/>
                                    </w:rPr>
                                    <w:t>_______________________</w:t>
                                  </w:r>
                                </w:p>
                              </w:tc>
                              <w:tc>
                                <w:tcPr>
                                  <w:tcW w:w="3329" w:type="dxa"/>
                                  <w:tcBorders/>
                                  <w:shd w:fill="auto" w:val="clear"/>
                                </w:tcPr>
                                <w:p>
                                  <w:pPr>
                                    <w:pStyle w:val="Normal"/>
                                    <w:tabs>
                                      <w:tab w:val="left" w:pos="939" w:leader="none"/>
                                    </w:tabs>
                                    <w:jc w:val="center"/>
                                    <w:rPr/>
                                  </w:pPr>
                                  <w:r>
                                    <w:rPr>
                                      <w:b/>
                                    </w:rPr>
                                    <w:t>«____»___________20   г.</w:t>
                                  </w:r>
                                </w:p>
                              </w:tc>
                            </w:tr>
                          </w:tbl>
                        </w:txbxContent>
                      </wps:txbx>
                      <wps:bodyPr anchor="t" lIns="0" tIns="0" rIns="0" bIns="0">
                        <a:spAutoFit/>
                      </wps:bodyPr>
                    </wps:wsp>
                  </a:graphicData>
                </a:graphic>
                <wp14:sizeRelH relativeFrom="margin">
                  <wp14:pctWidth>100000</wp14:pctWidth>
                </wp14:sizeRelH>
              </wp:anchor>
            </w:drawing>
          </mc:Choice>
          <mc:Fallback>
            <w:pict>
              <v:rect style="position:absolute;rotation:0;width:486pt;height:440.05pt;mso-wrap-distance-left:9pt;mso-wrap-distance-right:9pt;mso-wrap-distance-top:0pt;mso-wrap-distance-bottom:0pt;margin-top:10.25pt;mso-position-vertical-relative:text;margin-left:0pt;mso-position-horizontal:center;mso-position-horizontal-relative:margin">
                <v:textbox inset="0in,0in,0in,0in">
                  <w:txbxContent>
                    <w:tbl>
                      <w:tblPr>
                        <w:tblpPr w:bottomFromText="0" w:horzAnchor="margin" w:leftFromText="180" w:rightFromText="180" w:tblpX="0" w:tblpXSpec="center" w:tblpY="205" w:topFromText="0" w:vertAnchor="text"/>
                        <w:tblW w:w="5000" w:type="pct"/>
                        <w:jc w:val="center"/>
                        <w:tblInd w:w="0" w:type="dxa"/>
                        <w:tblBorders/>
                        <w:tblCellMar>
                          <w:top w:w="0" w:type="dxa"/>
                          <w:left w:w="108" w:type="dxa"/>
                          <w:bottom w:w="0" w:type="dxa"/>
                          <w:right w:w="108" w:type="dxa"/>
                        </w:tblCellMar>
                        <w:tblLook w:val="01e0" w:noVBand="0" w:noHBand="0" w:lastColumn="1" w:firstColumn="1" w:lastRow="1" w:firstRow="1"/>
                      </w:tblPr>
                      <w:tblGrid>
                        <w:gridCol w:w="4292"/>
                        <w:gridCol w:w="2099"/>
                        <w:gridCol w:w="3329"/>
                      </w:tblGrid>
                      <w:tr>
                        <w:trPr/>
                        <w:tc>
                          <w:tcPr>
                            <w:tcW w:w="4292" w:type="dxa"/>
                            <w:tcBorders/>
                            <w:shd w:fill="auto" w:val="clear"/>
                          </w:tcPr>
                          <w:p>
                            <w:pPr>
                              <w:pStyle w:val="Normal"/>
                              <w:jc w:val="both"/>
                              <w:rPr/>
                            </w:pPr>
                            <w:r>
                              <w:rPr>
                                <w:b/>
                              </w:rPr>
                              <w:t>УТВЕРЖДЕН  ДИРЕКТОРОМ  ОИЯИ</w:t>
                            </w:r>
                          </w:p>
                        </w:tc>
                        <w:tc>
                          <w:tcPr>
                            <w:tcW w:w="2099" w:type="dxa"/>
                            <w:tcBorders/>
                            <w:shd w:fill="auto" w:val="clear"/>
                          </w:tcPr>
                          <w:p>
                            <w:pPr>
                              <w:pStyle w:val="Normal"/>
                              <w:ind w:left="0" w:hanging="0"/>
                              <w:jc w:val="center"/>
                              <w:rPr>
                                <w:b/>
                                <w:b/>
                              </w:rPr>
                            </w:pPr>
                            <w:r>
                              <w:rPr>
                                <w:b/>
                              </w:rPr>
                            </w:r>
                          </w:p>
                          <w:p>
                            <w:pPr>
                              <w:pStyle w:val="Normal"/>
                              <w:ind w:left="0" w:hanging="0"/>
                              <w:jc w:val="center"/>
                              <w:rPr/>
                            </w:pPr>
                            <w:r>
                              <w:rPr>
                                <w:b/>
                              </w:rPr>
                              <w:t>____________________</w:t>
                            </w:r>
                          </w:p>
                        </w:tc>
                        <w:tc>
                          <w:tcPr>
                            <w:tcW w:w="3329" w:type="dxa"/>
                            <w:tcBorders/>
                            <w:shd w:fill="auto" w:val="clear"/>
                          </w:tcPr>
                          <w:p>
                            <w:pPr>
                              <w:pStyle w:val="Normal"/>
                              <w:jc w:val="both"/>
                              <w:rPr/>
                            </w:pPr>
                            <w:r>
                              <w:rPr>
                                <w:b/>
                              </w:rPr>
                              <w:t xml:space="preserve">       </w:t>
                            </w:r>
                            <w:r>
                              <w:rPr>
                                <w:b/>
                              </w:rPr>
                              <w:t>«____»___________20   г.</w:t>
                            </w:r>
                          </w:p>
                        </w:tc>
                      </w:tr>
                      <w:tr>
                        <w:trPr/>
                        <w:tc>
                          <w:tcPr>
                            <w:tcW w:w="4292" w:type="dxa"/>
                            <w:tcBorders/>
                            <w:shd w:fill="auto" w:val="clear"/>
                          </w:tcPr>
                          <w:p>
                            <w:pPr>
                              <w:pStyle w:val="Normal"/>
                              <w:jc w:val="both"/>
                              <w:rPr>
                                <w:b/>
                                <w:b/>
                              </w:rPr>
                            </w:pPr>
                            <w:r>
                              <w:rPr>
                                <w:b/>
                              </w:rPr>
                            </w:r>
                          </w:p>
                          <w:p>
                            <w:pPr>
                              <w:pStyle w:val="Normal"/>
                              <w:jc w:val="both"/>
                              <w:rPr>
                                <w:b/>
                                <w:b/>
                              </w:rPr>
                            </w:pPr>
                            <w:r>
                              <w:rPr>
                                <w:b/>
                              </w:rPr>
                            </w:r>
                          </w:p>
                          <w:p>
                            <w:pPr>
                              <w:pStyle w:val="Normal"/>
                              <w:jc w:val="both"/>
                              <w:rPr/>
                            </w:pPr>
                            <w:r>
                              <w:rPr>
                                <w:b/>
                              </w:rPr>
                              <w:t xml:space="preserve">СОГЛАСОВАНО:            </w:t>
                            </w:r>
                          </w:p>
                        </w:tc>
                        <w:tc>
                          <w:tcPr>
                            <w:tcW w:w="2099" w:type="dxa"/>
                            <w:tcBorders/>
                            <w:shd w:fill="auto" w:val="clear"/>
                          </w:tcPr>
                          <w:p>
                            <w:pPr>
                              <w:pStyle w:val="Normal"/>
                              <w:ind w:left="33" w:hanging="0"/>
                              <w:jc w:val="center"/>
                              <w:rPr/>
                            </w:pPr>
                            <w:r>
                              <w:rPr/>
                              <w:t>(Подпись)</w:t>
                            </w:r>
                          </w:p>
                        </w:tc>
                        <w:tc>
                          <w:tcPr>
                            <w:tcW w:w="3329" w:type="dxa"/>
                            <w:tcBorders/>
                            <w:shd w:fill="auto" w:val="clear"/>
                          </w:tcPr>
                          <w:p>
                            <w:pPr>
                              <w:pStyle w:val="Normal"/>
                              <w:jc w:val="center"/>
                              <w:rPr/>
                            </w:pPr>
                            <w:r>
                              <w:rPr/>
                              <w:t>(Дата)</w:t>
                            </w:r>
                          </w:p>
                        </w:tc>
                      </w:tr>
                      <w:tr>
                        <w:trPr/>
                        <w:tc>
                          <w:tcPr>
                            <w:tcW w:w="4292" w:type="dxa"/>
                            <w:tcBorders/>
                            <w:shd w:fill="auto" w:val="clear"/>
                          </w:tcPr>
                          <w:p>
                            <w:pPr>
                              <w:pStyle w:val="Normal"/>
                              <w:jc w:val="both"/>
                              <w:rPr>
                                <w:b/>
                                <w:b/>
                              </w:rPr>
                            </w:pPr>
                            <w:r>
                              <w:rPr>
                                <w:b/>
                              </w:rPr>
                            </w:r>
                          </w:p>
                        </w:tc>
                        <w:tc>
                          <w:tcPr>
                            <w:tcW w:w="2099" w:type="dxa"/>
                            <w:tcBorders/>
                            <w:shd w:fill="auto" w:val="clear"/>
                          </w:tcPr>
                          <w:p>
                            <w:pPr>
                              <w:pStyle w:val="Normal"/>
                              <w:ind w:left="0" w:hanging="0"/>
                              <w:jc w:val="center"/>
                              <w:rPr>
                                <w:b/>
                                <w:b/>
                              </w:rPr>
                            </w:pPr>
                            <w:r>
                              <w:rPr>
                                <w:b/>
                              </w:rPr>
                            </w:r>
                          </w:p>
                        </w:tc>
                        <w:tc>
                          <w:tcPr>
                            <w:tcW w:w="3329" w:type="dxa"/>
                            <w:tcBorders/>
                            <w:shd w:fill="auto" w:val="clear"/>
                          </w:tcPr>
                          <w:p>
                            <w:pPr>
                              <w:pStyle w:val="Normal"/>
                              <w:jc w:val="center"/>
                              <w:rPr>
                                <w:b/>
                                <w:b/>
                              </w:rPr>
                            </w:pPr>
                            <w:r>
                              <w:rPr>
                                <w:b/>
                              </w:rPr>
                            </w:r>
                          </w:p>
                        </w:tc>
                      </w:tr>
                      <w:tr>
                        <w:trPr/>
                        <w:tc>
                          <w:tcPr>
                            <w:tcW w:w="4292" w:type="dxa"/>
                            <w:tcBorders/>
                            <w:shd w:fill="auto" w:val="clear"/>
                          </w:tcPr>
                          <w:p>
                            <w:pPr>
                              <w:pStyle w:val="Normal"/>
                              <w:rPr/>
                            </w:pPr>
                            <w:r>
                              <w:rPr>
                                <w:b/>
                              </w:rPr>
                              <w:t xml:space="preserve">ВИЦЕ-ДИРЕКТОР ОИЯИ                                                  </w:t>
                            </w:r>
                          </w:p>
                        </w:tc>
                        <w:tc>
                          <w:tcPr>
                            <w:tcW w:w="2099" w:type="dxa"/>
                            <w:tcBorders/>
                            <w:shd w:fill="auto" w:val="clear"/>
                          </w:tcPr>
                          <w:p>
                            <w:pPr>
                              <w:pStyle w:val="Normal"/>
                              <w:ind w:left="0" w:hanging="0"/>
                              <w:jc w:val="center"/>
                              <w:rPr/>
                            </w:pPr>
                            <w:r>
                              <w:rPr>
                                <w:b/>
                              </w:rPr>
                              <w:t xml:space="preserve">____________________   </w:t>
                            </w:r>
                          </w:p>
                        </w:tc>
                        <w:tc>
                          <w:tcPr>
                            <w:tcW w:w="3329" w:type="dxa"/>
                            <w:tcBorders/>
                            <w:shd w:fill="auto" w:val="clear"/>
                          </w:tcPr>
                          <w:p>
                            <w:pPr>
                              <w:pStyle w:val="Normal"/>
                              <w:jc w:val="center"/>
                              <w:rPr/>
                            </w:pPr>
                            <w:r>
                              <w:rPr>
                                <w:b/>
                              </w:rPr>
                              <w:t>«____»___________20   г.</w:t>
                            </w:r>
                          </w:p>
                        </w:tc>
                      </w:tr>
                      <w:tr>
                        <w:trPr/>
                        <w:tc>
                          <w:tcPr>
                            <w:tcW w:w="4292" w:type="dxa"/>
                            <w:tcBorders/>
                            <w:shd w:fill="auto" w:val="clear"/>
                          </w:tcPr>
                          <w:p>
                            <w:pPr>
                              <w:pStyle w:val="Normal"/>
                              <w:rPr>
                                <w:b/>
                                <w:b/>
                              </w:rPr>
                            </w:pPr>
                            <w:r>
                              <w:rPr>
                                <w:b/>
                              </w:rPr>
                            </w:r>
                          </w:p>
                        </w:tc>
                        <w:tc>
                          <w:tcPr>
                            <w:tcW w:w="2099" w:type="dxa"/>
                            <w:tcBorders/>
                            <w:shd w:fill="auto" w:val="clear"/>
                          </w:tcPr>
                          <w:p>
                            <w:pPr>
                              <w:pStyle w:val="Normal"/>
                              <w:ind w:left="0" w:hanging="0"/>
                              <w:jc w:val="center"/>
                              <w:rPr>
                                <w:b/>
                                <w:b/>
                              </w:rPr>
                            </w:pPr>
                            <w:r>
                              <w:rPr>
                                <w:b/>
                              </w:rPr>
                            </w:r>
                          </w:p>
                        </w:tc>
                        <w:tc>
                          <w:tcPr>
                            <w:tcW w:w="3329" w:type="dxa"/>
                            <w:tcBorders/>
                            <w:shd w:fill="auto" w:val="clear"/>
                          </w:tcPr>
                          <w:p>
                            <w:pPr>
                              <w:pStyle w:val="Normal"/>
                              <w:tabs>
                                <w:tab w:val="left" w:pos="939" w:leader="none"/>
                              </w:tabs>
                              <w:jc w:val="center"/>
                              <w:rPr>
                                <w:b/>
                                <w:b/>
                              </w:rPr>
                            </w:pPr>
                            <w:r>
                              <w:rPr>
                                <w:b/>
                              </w:rPr>
                            </w:r>
                          </w:p>
                        </w:tc>
                      </w:tr>
                      <w:tr>
                        <w:trPr/>
                        <w:tc>
                          <w:tcPr>
                            <w:tcW w:w="4292" w:type="dxa"/>
                            <w:tcBorders/>
                            <w:shd w:fill="auto" w:val="clear"/>
                          </w:tcPr>
                          <w:p>
                            <w:pPr>
                              <w:pStyle w:val="Normal"/>
                              <w:rPr/>
                            </w:pPr>
                            <w:r>
                              <w:rPr>
                                <w:b/>
                              </w:rPr>
                              <w:t>ГЛАВНЫЙ УЧЕНЫЙ СЕКРЕТАРЬ</w:t>
                            </w:r>
                          </w:p>
                        </w:tc>
                        <w:tc>
                          <w:tcPr>
                            <w:tcW w:w="2099" w:type="dxa"/>
                            <w:tcBorders/>
                            <w:shd w:fill="auto" w:val="clear"/>
                          </w:tcPr>
                          <w:p>
                            <w:pPr>
                              <w:pStyle w:val="Normal"/>
                              <w:ind w:left="0" w:hanging="0"/>
                              <w:jc w:val="center"/>
                              <w:rPr/>
                            </w:pPr>
                            <w:r>
                              <w:rPr>
                                <w:b/>
                              </w:rPr>
                              <w:t>____________________</w:t>
                            </w:r>
                          </w:p>
                        </w:tc>
                        <w:tc>
                          <w:tcPr>
                            <w:tcW w:w="3329" w:type="dxa"/>
                            <w:tcBorders/>
                            <w:shd w:fill="auto" w:val="clear"/>
                          </w:tcPr>
                          <w:p>
                            <w:pPr>
                              <w:pStyle w:val="Normal"/>
                              <w:tabs>
                                <w:tab w:val="left" w:pos="939" w:leader="none"/>
                              </w:tabs>
                              <w:jc w:val="center"/>
                              <w:rPr/>
                            </w:pPr>
                            <w:r>
                              <w:rPr>
                                <w:b/>
                              </w:rPr>
                              <w:t>«____»___________20   г.</w:t>
                            </w:r>
                          </w:p>
                        </w:tc>
                      </w:tr>
                      <w:tr>
                        <w:trPr>
                          <w:trHeight w:val="23" w:hRule="exact"/>
                        </w:trPr>
                        <w:tc>
                          <w:tcPr>
                            <w:tcW w:w="4292" w:type="dxa"/>
                            <w:tcBorders/>
                            <w:shd w:fill="auto" w:val="clear"/>
                          </w:tcPr>
                          <w:p>
                            <w:pPr>
                              <w:pStyle w:val="Normal"/>
                              <w:rPr>
                                <w:rFonts w:ascii="Calibri" w:hAnsi="Calibri"/>
                                <w:sz w:val="22"/>
                                <w:szCs w:val="22"/>
                              </w:rPr>
                            </w:pPr>
                            <w:r>
                              <w:rPr>
                                <w:rFonts w:ascii="Calibri" w:hAnsi="Calibri"/>
                                <w:sz w:val="22"/>
                                <w:szCs w:val="22"/>
                              </w:rPr>
                            </w:r>
                          </w:p>
                        </w:tc>
                        <w:tc>
                          <w:tcPr>
                            <w:tcW w:w="2099" w:type="dxa"/>
                            <w:tcBorders/>
                            <w:shd w:fill="auto" w:val="clear"/>
                          </w:tcPr>
                          <w:p>
                            <w:pPr>
                              <w:pStyle w:val="Normal"/>
                              <w:rPr>
                                <w:rFonts w:ascii="Calibri" w:hAnsi="Calibri"/>
                                <w:sz w:val="22"/>
                                <w:szCs w:val="22"/>
                              </w:rPr>
                            </w:pPr>
                            <w:r>
                              <w:rPr>
                                <w:rFonts w:ascii="Calibri" w:hAnsi="Calibri"/>
                                <w:sz w:val="22"/>
                                <w:szCs w:val="22"/>
                              </w:rPr>
                            </w:r>
                          </w:p>
                        </w:tc>
                        <w:tc>
                          <w:tcPr>
                            <w:tcW w:w="3329" w:type="dxa"/>
                            <w:tcBorders/>
                            <w:shd w:fill="auto" w:val="clear"/>
                          </w:tcPr>
                          <w:p>
                            <w:pPr>
                              <w:pStyle w:val="Normal"/>
                              <w:tabs>
                                <w:tab w:val="left" w:pos="939" w:leader="none"/>
                              </w:tabs>
                              <w:rPr>
                                <w:rFonts w:ascii="Calibri" w:hAnsi="Calibri"/>
                                <w:sz w:val="22"/>
                                <w:szCs w:val="22"/>
                              </w:rPr>
                            </w:pPr>
                            <w:r>
                              <w:rPr>
                                <w:rFonts w:ascii="Calibri" w:hAnsi="Calibri"/>
                                <w:sz w:val="22"/>
                                <w:szCs w:val="22"/>
                              </w:rPr>
                            </w:r>
                          </w:p>
                        </w:tc>
                      </w:tr>
                      <w:tr>
                        <w:trPr/>
                        <w:tc>
                          <w:tcPr>
                            <w:tcW w:w="4292" w:type="dxa"/>
                            <w:tcBorders/>
                            <w:shd w:fill="auto" w:val="clear"/>
                          </w:tcPr>
                          <w:p>
                            <w:pPr>
                              <w:pStyle w:val="Normal"/>
                              <w:rPr>
                                <w:b/>
                                <w:b/>
                              </w:rPr>
                            </w:pPr>
                            <w:r>
                              <w:rPr>
                                <w:b/>
                              </w:rPr>
                            </w:r>
                          </w:p>
                        </w:tc>
                        <w:tc>
                          <w:tcPr>
                            <w:tcW w:w="2099" w:type="dxa"/>
                            <w:tcBorders/>
                            <w:shd w:fill="auto" w:val="clear"/>
                          </w:tcPr>
                          <w:p>
                            <w:pPr>
                              <w:pStyle w:val="Normal"/>
                              <w:ind w:left="0" w:hanging="0"/>
                              <w:jc w:val="center"/>
                              <w:rPr>
                                <w:b/>
                                <w:b/>
                              </w:rPr>
                            </w:pPr>
                            <w:r>
                              <w:rPr>
                                <w:b/>
                              </w:rPr>
                            </w:r>
                          </w:p>
                        </w:tc>
                        <w:tc>
                          <w:tcPr>
                            <w:tcW w:w="3329" w:type="dxa"/>
                            <w:tcBorders/>
                            <w:shd w:fill="auto" w:val="clear"/>
                          </w:tcPr>
                          <w:p>
                            <w:pPr>
                              <w:pStyle w:val="Normal"/>
                              <w:tabs>
                                <w:tab w:val="left" w:pos="939" w:leader="none"/>
                              </w:tabs>
                              <w:jc w:val="center"/>
                              <w:rPr>
                                <w:b/>
                                <w:b/>
                              </w:rPr>
                            </w:pPr>
                            <w:r>
                              <w:rPr>
                                <w:b/>
                              </w:rPr>
                            </w:r>
                          </w:p>
                        </w:tc>
                      </w:tr>
                      <w:tr>
                        <w:trPr/>
                        <w:tc>
                          <w:tcPr>
                            <w:tcW w:w="4292" w:type="dxa"/>
                            <w:tcBorders/>
                            <w:shd w:fill="auto" w:val="clear"/>
                          </w:tcPr>
                          <w:p>
                            <w:pPr>
                              <w:pStyle w:val="Normal"/>
                              <w:rPr/>
                            </w:pPr>
                            <w:r>
                              <w:rPr>
                                <w:b/>
                              </w:rPr>
                              <w:t>ГЛАВНЫЙ ИНЖЕНЕР ОИЯИ</w:t>
                            </w:r>
                          </w:p>
                        </w:tc>
                        <w:tc>
                          <w:tcPr>
                            <w:tcW w:w="2099" w:type="dxa"/>
                            <w:tcBorders/>
                            <w:shd w:fill="auto" w:val="clear"/>
                          </w:tcPr>
                          <w:p>
                            <w:pPr>
                              <w:pStyle w:val="Normal"/>
                              <w:ind w:left="0" w:hanging="0"/>
                              <w:jc w:val="center"/>
                              <w:rPr/>
                            </w:pPr>
                            <w:r>
                              <w:rPr>
                                <w:b/>
                              </w:rPr>
                              <w:t xml:space="preserve">____________________   </w:t>
                            </w:r>
                          </w:p>
                        </w:tc>
                        <w:tc>
                          <w:tcPr>
                            <w:tcW w:w="3329" w:type="dxa"/>
                            <w:tcBorders/>
                            <w:shd w:fill="auto" w:val="clear"/>
                          </w:tcPr>
                          <w:p>
                            <w:pPr>
                              <w:pStyle w:val="Normal"/>
                              <w:tabs>
                                <w:tab w:val="left" w:pos="939" w:leader="none"/>
                              </w:tabs>
                              <w:jc w:val="center"/>
                              <w:rPr/>
                            </w:pPr>
                            <w:r>
                              <w:rPr>
                                <w:b/>
                              </w:rPr>
                              <w:t>«____»___________20   г.</w:t>
                            </w:r>
                          </w:p>
                        </w:tc>
                      </w:tr>
                      <w:tr>
                        <w:trPr/>
                        <w:tc>
                          <w:tcPr>
                            <w:tcW w:w="4292" w:type="dxa"/>
                            <w:tcBorders/>
                            <w:shd w:fill="auto" w:val="clear"/>
                          </w:tcPr>
                          <w:p>
                            <w:pPr>
                              <w:pStyle w:val="Normal"/>
                              <w:rPr>
                                <w:b/>
                                <w:b/>
                              </w:rPr>
                            </w:pPr>
                            <w:r>
                              <w:rPr>
                                <w:b/>
                              </w:rPr>
                            </w:r>
                          </w:p>
                        </w:tc>
                        <w:tc>
                          <w:tcPr>
                            <w:tcW w:w="2099" w:type="dxa"/>
                            <w:tcBorders/>
                            <w:shd w:fill="auto" w:val="clear"/>
                          </w:tcPr>
                          <w:p>
                            <w:pPr>
                              <w:pStyle w:val="Normal"/>
                              <w:ind w:left="0" w:hanging="0"/>
                              <w:jc w:val="center"/>
                              <w:rPr>
                                <w:b/>
                                <w:b/>
                              </w:rPr>
                            </w:pPr>
                            <w:r>
                              <w:rPr>
                                <w:b/>
                              </w:rPr>
                            </w:r>
                          </w:p>
                        </w:tc>
                        <w:tc>
                          <w:tcPr>
                            <w:tcW w:w="3329" w:type="dxa"/>
                            <w:tcBorders/>
                            <w:shd w:fill="auto" w:val="clear"/>
                          </w:tcPr>
                          <w:p>
                            <w:pPr>
                              <w:pStyle w:val="Normal"/>
                              <w:tabs>
                                <w:tab w:val="left" w:pos="939" w:leader="none"/>
                              </w:tabs>
                              <w:jc w:val="center"/>
                              <w:rPr>
                                <w:b/>
                                <w:b/>
                              </w:rPr>
                            </w:pPr>
                            <w:r>
                              <w:rPr>
                                <w:b/>
                              </w:rPr>
                            </w:r>
                          </w:p>
                        </w:tc>
                      </w:tr>
                      <w:tr>
                        <w:trPr/>
                        <w:tc>
                          <w:tcPr>
                            <w:tcW w:w="4292" w:type="dxa"/>
                            <w:tcBorders/>
                            <w:shd w:fill="auto" w:val="clear"/>
                          </w:tcPr>
                          <w:p>
                            <w:pPr>
                              <w:pStyle w:val="Normal"/>
                              <w:rPr/>
                            </w:pPr>
                            <w:r>
                              <w:rPr>
                                <w:b/>
                              </w:rPr>
                              <w:t>НАЧАЛЬНИК НОО</w:t>
                            </w:r>
                          </w:p>
                        </w:tc>
                        <w:tc>
                          <w:tcPr>
                            <w:tcW w:w="2099" w:type="dxa"/>
                            <w:tcBorders/>
                            <w:shd w:fill="auto" w:val="clear"/>
                          </w:tcPr>
                          <w:p>
                            <w:pPr>
                              <w:pStyle w:val="Normal"/>
                              <w:ind w:left="0" w:hanging="0"/>
                              <w:jc w:val="center"/>
                              <w:rPr/>
                            </w:pPr>
                            <w:r>
                              <w:rPr>
                                <w:b/>
                              </w:rPr>
                              <w:t xml:space="preserve">____________________   </w:t>
                            </w:r>
                          </w:p>
                        </w:tc>
                        <w:tc>
                          <w:tcPr>
                            <w:tcW w:w="3329" w:type="dxa"/>
                            <w:tcBorders/>
                            <w:shd w:fill="auto" w:val="clear"/>
                          </w:tcPr>
                          <w:p>
                            <w:pPr>
                              <w:pStyle w:val="Normal"/>
                              <w:tabs>
                                <w:tab w:val="left" w:pos="939" w:leader="none"/>
                              </w:tabs>
                              <w:jc w:val="center"/>
                              <w:rPr/>
                            </w:pPr>
                            <w:r>
                              <w:rPr>
                                <w:b/>
                              </w:rPr>
                              <w:t>«____»___________20   г.</w:t>
                            </w:r>
                          </w:p>
                        </w:tc>
                      </w:tr>
                      <w:tr>
                        <w:trPr/>
                        <w:tc>
                          <w:tcPr>
                            <w:tcW w:w="4292" w:type="dxa"/>
                            <w:tcBorders/>
                            <w:shd w:fill="auto" w:val="clear"/>
                          </w:tcPr>
                          <w:p>
                            <w:pPr>
                              <w:pStyle w:val="Normal"/>
                              <w:rPr>
                                <w:b/>
                                <w:b/>
                              </w:rPr>
                            </w:pPr>
                            <w:r>
                              <w:rPr>
                                <w:b/>
                              </w:rPr>
                            </w:r>
                          </w:p>
                          <w:p>
                            <w:pPr>
                              <w:pStyle w:val="Normal"/>
                              <w:rPr>
                                <w:b/>
                                <w:b/>
                              </w:rPr>
                            </w:pPr>
                            <w:r>
                              <w:rPr>
                                <w:b/>
                              </w:rPr>
                            </w:r>
                          </w:p>
                        </w:tc>
                        <w:tc>
                          <w:tcPr>
                            <w:tcW w:w="2099" w:type="dxa"/>
                            <w:tcBorders/>
                            <w:shd w:fill="auto" w:val="clear"/>
                          </w:tcPr>
                          <w:p>
                            <w:pPr>
                              <w:pStyle w:val="Normal"/>
                              <w:ind w:left="0" w:hanging="0"/>
                              <w:jc w:val="center"/>
                              <w:rPr>
                                <w:b/>
                                <w:b/>
                              </w:rPr>
                            </w:pPr>
                            <w:r>
                              <w:rPr>
                                <w:b/>
                              </w:rPr>
                            </w:r>
                          </w:p>
                        </w:tc>
                        <w:tc>
                          <w:tcPr>
                            <w:tcW w:w="3329" w:type="dxa"/>
                            <w:tcBorders/>
                            <w:shd w:fill="auto" w:val="clear"/>
                          </w:tcPr>
                          <w:p>
                            <w:pPr>
                              <w:pStyle w:val="Normal"/>
                              <w:tabs>
                                <w:tab w:val="left" w:pos="939" w:leader="none"/>
                              </w:tabs>
                              <w:jc w:val="center"/>
                              <w:rPr>
                                <w:b/>
                                <w:b/>
                              </w:rPr>
                            </w:pPr>
                            <w:r>
                              <w:rPr>
                                <w:b/>
                              </w:rPr>
                            </w:r>
                          </w:p>
                        </w:tc>
                      </w:tr>
                      <w:tr>
                        <w:trPr/>
                        <w:tc>
                          <w:tcPr>
                            <w:tcW w:w="4292" w:type="dxa"/>
                            <w:tcBorders/>
                            <w:shd w:fill="auto" w:val="clear"/>
                          </w:tcPr>
                          <w:p>
                            <w:pPr>
                              <w:pStyle w:val="Normal"/>
                              <w:rPr/>
                            </w:pPr>
                            <w:r>
                              <w:rPr>
                                <w:b/>
                              </w:rPr>
                              <w:t>ДИРЕКТОР ЛАБОРАТОРИИ</w:t>
                            </w:r>
                          </w:p>
                        </w:tc>
                        <w:tc>
                          <w:tcPr>
                            <w:tcW w:w="2099" w:type="dxa"/>
                            <w:tcBorders/>
                            <w:shd w:fill="auto" w:val="clear"/>
                          </w:tcPr>
                          <w:p>
                            <w:pPr>
                              <w:pStyle w:val="Normal"/>
                              <w:ind w:left="0" w:hanging="0"/>
                              <w:jc w:val="center"/>
                              <w:rPr/>
                            </w:pPr>
                            <w:r>
                              <w:rPr>
                                <w:b/>
                              </w:rPr>
                              <w:t xml:space="preserve">____________________   </w:t>
                            </w:r>
                          </w:p>
                        </w:tc>
                        <w:tc>
                          <w:tcPr>
                            <w:tcW w:w="3329" w:type="dxa"/>
                            <w:tcBorders/>
                            <w:shd w:fill="auto" w:val="clear"/>
                          </w:tcPr>
                          <w:p>
                            <w:pPr>
                              <w:pStyle w:val="Normal"/>
                              <w:tabs>
                                <w:tab w:val="left" w:pos="939" w:leader="none"/>
                              </w:tabs>
                              <w:jc w:val="center"/>
                              <w:rPr/>
                            </w:pPr>
                            <w:r>
                              <w:rPr>
                                <w:b/>
                              </w:rPr>
                              <w:t>«____»___________20   г.</w:t>
                            </w:r>
                          </w:p>
                        </w:tc>
                      </w:tr>
                      <w:tr>
                        <w:trPr/>
                        <w:tc>
                          <w:tcPr>
                            <w:tcW w:w="4292" w:type="dxa"/>
                            <w:tcBorders/>
                            <w:shd w:fill="auto" w:val="clear"/>
                          </w:tcPr>
                          <w:p>
                            <w:pPr>
                              <w:pStyle w:val="Normal"/>
                              <w:rPr>
                                <w:b/>
                                <w:b/>
                              </w:rPr>
                            </w:pPr>
                            <w:r>
                              <w:rPr>
                                <w:b/>
                              </w:rPr>
                            </w:r>
                          </w:p>
                        </w:tc>
                        <w:tc>
                          <w:tcPr>
                            <w:tcW w:w="2099" w:type="dxa"/>
                            <w:tcBorders/>
                            <w:shd w:fill="auto" w:val="clear"/>
                          </w:tcPr>
                          <w:p>
                            <w:pPr>
                              <w:pStyle w:val="Normal"/>
                              <w:ind w:left="0" w:hanging="0"/>
                              <w:jc w:val="center"/>
                              <w:rPr>
                                <w:b/>
                                <w:b/>
                              </w:rPr>
                            </w:pPr>
                            <w:r>
                              <w:rPr>
                                <w:b/>
                              </w:rPr>
                            </w:r>
                          </w:p>
                        </w:tc>
                        <w:tc>
                          <w:tcPr>
                            <w:tcW w:w="3329" w:type="dxa"/>
                            <w:tcBorders/>
                            <w:shd w:fill="auto" w:val="clear"/>
                          </w:tcPr>
                          <w:p>
                            <w:pPr>
                              <w:pStyle w:val="Normal"/>
                              <w:tabs>
                                <w:tab w:val="left" w:pos="939" w:leader="none"/>
                              </w:tabs>
                              <w:jc w:val="center"/>
                              <w:rPr>
                                <w:b/>
                                <w:b/>
                              </w:rPr>
                            </w:pPr>
                            <w:r>
                              <w:rPr>
                                <w:b/>
                              </w:rPr>
                            </w:r>
                          </w:p>
                        </w:tc>
                      </w:tr>
                      <w:tr>
                        <w:trPr/>
                        <w:tc>
                          <w:tcPr>
                            <w:tcW w:w="4292" w:type="dxa"/>
                            <w:tcBorders/>
                            <w:shd w:fill="auto" w:val="clear"/>
                          </w:tcPr>
                          <w:p>
                            <w:pPr>
                              <w:pStyle w:val="Normal"/>
                              <w:rPr/>
                            </w:pPr>
                            <w:r>
                              <w:rPr>
                                <w:b/>
                              </w:rPr>
                              <w:t>ГЛАВНЫЙ ИНЖЕНЕР ЛАБОРАТОРИИ</w:t>
                            </w:r>
                          </w:p>
                        </w:tc>
                        <w:tc>
                          <w:tcPr>
                            <w:tcW w:w="2099" w:type="dxa"/>
                            <w:tcBorders/>
                            <w:shd w:fill="auto" w:val="clear"/>
                          </w:tcPr>
                          <w:p>
                            <w:pPr>
                              <w:pStyle w:val="Normal"/>
                              <w:ind w:left="0" w:hanging="0"/>
                              <w:jc w:val="center"/>
                              <w:rPr/>
                            </w:pPr>
                            <w:r>
                              <w:rPr>
                                <w:b/>
                              </w:rPr>
                              <w:t xml:space="preserve">____________________   </w:t>
                            </w:r>
                          </w:p>
                        </w:tc>
                        <w:tc>
                          <w:tcPr>
                            <w:tcW w:w="3329" w:type="dxa"/>
                            <w:tcBorders/>
                            <w:shd w:fill="auto" w:val="clear"/>
                          </w:tcPr>
                          <w:p>
                            <w:pPr>
                              <w:pStyle w:val="Normal"/>
                              <w:tabs>
                                <w:tab w:val="left" w:pos="939" w:leader="none"/>
                              </w:tabs>
                              <w:jc w:val="center"/>
                              <w:rPr/>
                            </w:pPr>
                            <w:r>
                              <w:rPr>
                                <w:b/>
                              </w:rPr>
                              <w:t>«____»___________20   г.</w:t>
                            </w:r>
                          </w:p>
                        </w:tc>
                      </w:tr>
                      <w:tr>
                        <w:trPr/>
                        <w:tc>
                          <w:tcPr>
                            <w:tcW w:w="4292" w:type="dxa"/>
                            <w:tcBorders/>
                            <w:shd w:fill="auto" w:val="clear"/>
                          </w:tcPr>
                          <w:p>
                            <w:pPr>
                              <w:pStyle w:val="Normal"/>
                              <w:rPr>
                                <w:b/>
                                <w:b/>
                              </w:rPr>
                            </w:pPr>
                            <w:r>
                              <w:rPr>
                                <w:b/>
                              </w:rPr>
                            </w:r>
                          </w:p>
                        </w:tc>
                        <w:tc>
                          <w:tcPr>
                            <w:tcW w:w="2099" w:type="dxa"/>
                            <w:tcBorders/>
                            <w:shd w:fill="auto" w:val="clear"/>
                          </w:tcPr>
                          <w:p>
                            <w:pPr>
                              <w:pStyle w:val="Normal"/>
                              <w:ind w:left="0" w:hanging="0"/>
                              <w:jc w:val="center"/>
                              <w:rPr>
                                <w:b/>
                                <w:b/>
                              </w:rPr>
                            </w:pPr>
                            <w:r>
                              <w:rPr>
                                <w:b/>
                              </w:rPr>
                            </w:r>
                          </w:p>
                        </w:tc>
                        <w:tc>
                          <w:tcPr>
                            <w:tcW w:w="3329" w:type="dxa"/>
                            <w:tcBorders/>
                            <w:shd w:fill="auto" w:val="clear"/>
                          </w:tcPr>
                          <w:p>
                            <w:pPr>
                              <w:pStyle w:val="Normal"/>
                              <w:tabs>
                                <w:tab w:val="left" w:pos="939" w:leader="none"/>
                              </w:tabs>
                              <w:jc w:val="center"/>
                              <w:rPr>
                                <w:b/>
                                <w:b/>
                              </w:rPr>
                            </w:pPr>
                            <w:r>
                              <w:rPr>
                                <w:b/>
                              </w:rPr>
                            </w:r>
                          </w:p>
                        </w:tc>
                      </w:tr>
                      <w:tr>
                        <w:trPr/>
                        <w:tc>
                          <w:tcPr>
                            <w:tcW w:w="4292" w:type="dxa"/>
                            <w:tcBorders/>
                            <w:shd w:fill="auto" w:val="clear"/>
                          </w:tcPr>
                          <w:p>
                            <w:pPr>
                              <w:pStyle w:val="Normal"/>
                              <w:rPr/>
                            </w:pPr>
                            <w:r>
                              <w:rPr>
                                <w:b/>
                              </w:rPr>
                              <w:t>РУКОВОДИТЕЛЬ ПРОЕКТА</w:t>
                            </w:r>
                          </w:p>
                        </w:tc>
                        <w:tc>
                          <w:tcPr>
                            <w:tcW w:w="2099" w:type="dxa"/>
                            <w:tcBorders/>
                            <w:shd w:fill="auto" w:val="clear"/>
                          </w:tcPr>
                          <w:p>
                            <w:pPr>
                              <w:pStyle w:val="Normal"/>
                              <w:ind w:left="0" w:hanging="0"/>
                              <w:jc w:val="center"/>
                              <w:rPr/>
                            </w:pPr>
                            <w:r>
                              <w:rPr>
                                <w:b/>
                              </w:rPr>
                              <w:t>_____________________</w:t>
                            </w:r>
                          </w:p>
                        </w:tc>
                        <w:tc>
                          <w:tcPr>
                            <w:tcW w:w="3329" w:type="dxa"/>
                            <w:tcBorders/>
                            <w:shd w:fill="auto" w:val="clear"/>
                          </w:tcPr>
                          <w:p>
                            <w:pPr>
                              <w:pStyle w:val="Normal"/>
                              <w:tabs>
                                <w:tab w:val="left" w:pos="939" w:leader="none"/>
                              </w:tabs>
                              <w:jc w:val="center"/>
                              <w:rPr/>
                            </w:pPr>
                            <w:r>
                              <w:rPr>
                                <w:b/>
                              </w:rPr>
                              <w:t>«____»___________20   г.</w:t>
                            </w:r>
                          </w:p>
                        </w:tc>
                      </w:tr>
                      <w:tr>
                        <w:trPr/>
                        <w:tc>
                          <w:tcPr>
                            <w:tcW w:w="4292" w:type="dxa"/>
                            <w:tcBorders/>
                            <w:shd w:fill="auto" w:val="clear"/>
                          </w:tcPr>
                          <w:p>
                            <w:pPr>
                              <w:pStyle w:val="Normal"/>
                              <w:rPr>
                                <w:b/>
                                <w:b/>
                              </w:rPr>
                            </w:pPr>
                            <w:r>
                              <w:rPr>
                                <w:b/>
                              </w:rPr>
                            </w:r>
                          </w:p>
                        </w:tc>
                        <w:tc>
                          <w:tcPr>
                            <w:tcW w:w="2099" w:type="dxa"/>
                            <w:tcBorders/>
                            <w:shd w:fill="auto" w:val="clear"/>
                          </w:tcPr>
                          <w:p>
                            <w:pPr>
                              <w:pStyle w:val="Normal"/>
                              <w:ind w:left="0" w:hanging="0"/>
                              <w:jc w:val="center"/>
                              <w:rPr>
                                <w:b/>
                                <w:b/>
                              </w:rPr>
                            </w:pPr>
                            <w:r>
                              <w:rPr>
                                <w:b/>
                              </w:rPr>
                            </w:r>
                          </w:p>
                        </w:tc>
                        <w:tc>
                          <w:tcPr>
                            <w:tcW w:w="3329" w:type="dxa"/>
                            <w:tcBorders/>
                            <w:shd w:fill="auto" w:val="clear"/>
                          </w:tcPr>
                          <w:p>
                            <w:pPr>
                              <w:pStyle w:val="Normal"/>
                              <w:tabs>
                                <w:tab w:val="left" w:pos="939" w:leader="none"/>
                              </w:tabs>
                              <w:jc w:val="center"/>
                              <w:rPr>
                                <w:b/>
                                <w:b/>
                              </w:rPr>
                            </w:pPr>
                            <w:r>
                              <w:rPr>
                                <w:b/>
                              </w:rPr>
                            </w:r>
                          </w:p>
                        </w:tc>
                      </w:tr>
                      <w:tr>
                        <w:trPr/>
                        <w:tc>
                          <w:tcPr>
                            <w:tcW w:w="4292" w:type="dxa"/>
                            <w:tcBorders/>
                            <w:shd w:fill="auto" w:val="clear"/>
                          </w:tcPr>
                          <w:p>
                            <w:pPr>
                              <w:pStyle w:val="Normal"/>
                              <w:rPr>
                                <w:b/>
                                <w:b/>
                              </w:rPr>
                            </w:pPr>
                            <w:r>
                              <w:rPr>
                                <w:b/>
                              </w:rPr>
                            </w:r>
                          </w:p>
                        </w:tc>
                        <w:tc>
                          <w:tcPr>
                            <w:tcW w:w="2099" w:type="dxa"/>
                            <w:tcBorders/>
                            <w:shd w:fill="auto" w:val="clear"/>
                          </w:tcPr>
                          <w:p>
                            <w:pPr>
                              <w:pStyle w:val="Normal"/>
                              <w:ind w:left="0" w:hanging="0"/>
                              <w:jc w:val="center"/>
                              <w:rPr/>
                            </w:pPr>
                            <w:r>
                              <w:rPr>
                                <w:b/>
                              </w:rPr>
                              <w:t xml:space="preserve">_____________________   </w:t>
                            </w:r>
                          </w:p>
                        </w:tc>
                        <w:tc>
                          <w:tcPr>
                            <w:tcW w:w="3329" w:type="dxa"/>
                            <w:tcBorders/>
                            <w:shd w:fill="auto" w:val="clear"/>
                          </w:tcPr>
                          <w:p>
                            <w:pPr>
                              <w:pStyle w:val="Normal"/>
                              <w:tabs>
                                <w:tab w:val="left" w:pos="939" w:leader="none"/>
                              </w:tabs>
                              <w:jc w:val="center"/>
                              <w:rPr/>
                            </w:pPr>
                            <w:r>
                              <w:rPr>
                                <w:b/>
                              </w:rPr>
                              <w:t>«____»___________20  г.</w:t>
                            </w:r>
                          </w:p>
                        </w:tc>
                      </w:tr>
                      <w:tr>
                        <w:trPr/>
                        <w:tc>
                          <w:tcPr>
                            <w:tcW w:w="4292" w:type="dxa"/>
                            <w:tcBorders/>
                            <w:shd w:fill="auto" w:val="clear"/>
                          </w:tcPr>
                          <w:p>
                            <w:pPr>
                              <w:pStyle w:val="Normal"/>
                              <w:jc w:val="both"/>
                              <w:rPr>
                                <w:b/>
                                <w:b/>
                              </w:rPr>
                            </w:pPr>
                            <w:r>
                              <w:rPr>
                                <w:b/>
                              </w:rPr>
                            </w:r>
                          </w:p>
                        </w:tc>
                        <w:tc>
                          <w:tcPr>
                            <w:tcW w:w="2099" w:type="dxa"/>
                            <w:tcBorders/>
                            <w:shd w:fill="auto" w:val="clear"/>
                          </w:tcPr>
                          <w:p>
                            <w:pPr>
                              <w:pStyle w:val="Normal"/>
                              <w:ind w:left="0" w:hanging="0"/>
                              <w:jc w:val="center"/>
                              <w:rPr>
                                <w:b/>
                                <w:b/>
                              </w:rPr>
                            </w:pPr>
                            <w:r>
                              <w:rPr>
                                <w:b/>
                              </w:rPr>
                            </w:r>
                          </w:p>
                        </w:tc>
                        <w:tc>
                          <w:tcPr>
                            <w:tcW w:w="3329" w:type="dxa"/>
                            <w:tcBorders/>
                            <w:shd w:fill="auto" w:val="clear"/>
                          </w:tcPr>
                          <w:p>
                            <w:pPr>
                              <w:pStyle w:val="Normal"/>
                              <w:tabs>
                                <w:tab w:val="left" w:pos="939" w:leader="none"/>
                              </w:tabs>
                              <w:jc w:val="center"/>
                              <w:rPr>
                                <w:b/>
                                <w:b/>
                              </w:rPr>
                            </w:pPr>
                            <w:r>
                              <w:rPr>
                                <w:b/>
                              </w:rPr>
                            </w:r>
                          </w:p>
                        </w:tc>
                      </w:tr>
                      <w:tr>
                        <w:trPr/>
                        <w:tc>
                          <w:tcPr>
                            <w:tcW w:w="4292" w:type="dxa"/>
                            <w:tcBorders/>
                            <w:shd w:fill="auto" w:val="clear"/>
                          </w:tcPr>
                          <w:p>
                            <w:pPr>
                              <w:pStyle w:val="Normal"/>
                              <w:jc w:val="both"/>
                              <w:rPr>
                                <w:b/>
                                <w:b/>
                              </w:rPr>
                            </w:pPr>
                            <w:r>
                              <w:rPr>
                                <w:b/>
                              </w:rPr>
                            </w:r>
                          </w:p>
                        </w:tc>
                        <w:tc>
                          <w:tcPr>
                            <w:tcW w:w="2099" w:type="dxa"/>
                            <w:tcBorders/>
                            <w:shd w:fill="auto" w:val="clear"/>
                          </w:tcPr>
                          <w:p>
                            <w:pPr>
                              <w:pStyle w:val="Normal"/>
                              <w:ind w:left="0" w:hanging="0"/>
                              <w:jc w:val="center"/>
                              <w:rPr>
                                <w:b/>
                                <w:b/>
                              </w:rPr>
                            </w:pPr>
                            <w:r>
                              <w:rPr>
                                <w:b/>
                              </w:rPr>
                            </w:r>
                          </w:p>
                        </w:tc>
                        <w:tc>
                          <w:tcPr>
                            <w:tcW w:w="3329" w:type="dxa"/>
                            <w:tcBorders/>
                            <w:shd w:fill="auto" w:val="clear"/>
                          </w:tcPr>
                          <w:p>
                            <w:pPr>
                              <w:pStyle w:val="Normal"/>
                              <w:tabs>
                                <w:tab w:val="left" w:pos="939" w:leader="none"/>
                              </w:tabs>
                              <w:jc w:val="center"/>
                              <w:rPr>
                                <w:b/>
                                <w:b/>
                              </w:rPr>
                            </w:pPr>
                            <w:r>
                              <w:rPr>
                                <w:b/>
                              </w:rPr>
                            </w:r>
                          </w:p>
                        </w:tc>
                      </w:tr>
                      <w:tr>
                        <w:trPr/>
                        <w:tc>
                          <w:tcPr>
                            <w:tcW w:w="4292" w:type="dxa"/>
                            <w:tcBorders/>
                            <w:shd w:fill="auto" w:val="clear"/>
                          </w:tcPr>
                          <w:p>
                            <w:pPr>
                              <w:pStyle w:val="Normal"/>
                              <w:jc w:val="both"/>
                              <w:rPr>
                                <w:b/>
                                <w:b/>
                              </w:rPr>
                            </w:pPr>
                            <w:r>
                              <w:rPr>
                                <w:b/>
                              </w:rPr>
                            </w:r>
                          </w:p>
                          <w:p>
                            <w:pPr>
                              <w:pStyle w:val="Normal"/>
                              <w:jc w:val="both"/>
                              <w:rPr/>
                            </w:pPr>
                            <w:r>
                              <w:rPr>
                                <w:b/>
                              </w:rPr>
                              <w:t>ОДОБРЕН</w:t>
                            </w:r>
                          </w:p>
                        </w:tc>
                        <w:tc>
                          <w:tcPr>
                            <w:tcW w:w="2099" w:type="dxa"/>
                            <w:tcBorders/>
                            <w:shd w:fill="auto" w:val="clear"/>
                          </w:tcPr>
                          <w:p>
                            <w:pPr>
                              <w:pStyle w:val="Normal"/>
                              <w:ind w:left="0" w:hanging="0"/>
                              <w:jc w:val="center"/>
                              <w:rPr/>
                            </w:pPr>
                            <w:r>
                              <w:rPr/>
                              <w:t xml:space="preserve">   </w:t>
                            </w:r>
                          </w:p>
                        </w:tc>
                        <w:tc>
                          <w:tcPr>
                            <w:tcW w:w="3329" w:type="dxa"/>
                            <w:tcBorders/>
                            <w:shd w:fill="auto" w:val="clear"/>
                          </w:tcPr>
                          <w:p>
                            <w:pPr>
                              <w:pStyle w:val="Normal"/>
                              <w:tabs>
                                <w:tab w:val="left" w:pos="939" w:leader="none"/>
                              </w:tabs>
                              <w:rPr>
                                <w:rFonts w:ascii="Calibri" w:hAnsi="Calibri"/>
                                <w:sz w:val="22"/>
                                <w:szCs w:val="22"/>
                              </w:rPr>
                            </w:pPr>
                            <w:r>
                              <w:rPr>
                                <w:rFonts w:ascii="Calibri" w:hAnsi="Calibri"/>
                                <w:sz w:val="22"/>
                                <w:szCs w:val="22"/>
                              </w:rPr>
                            </w:r>
                          </w:p>
                        </w:tc>
                      </w:tr>
                      <w:tr>
                        <w:trPr/>
                        <w:tc>
                          <w:tcPr>
                            <w:tcW w:w="4292" w:type="dxa"/>
                            <w:tcBorders/>
                            <w:shd w:fill="auto" w:val="clear"/>
                          </w:tcPr>
                          <w:p>
                            <w:pPr>
                              <w:pStyle w:val="Normal"/>
                              <w:jc w:val="both"/>
                              <w:rPr>
                                <w:b/>
                                <w:b/>
                              </w:rPr>
                            </w:pPr>
                            <w:r>
                              <w:rPr>
                                <w:b/>
                              </w:rPr>
                            </w:r>
                          </w:p>
                        </w:tc>
                        <w:tc>
                          <w:tcPr>
                            <w:tcW w:w="2099" w:type="dxa"/>
                            <w:tcBorders/>
                            <w:shd w:fill="auto" w:val="clear"/>
                          </w:tcPr>
                          <w:p>
                            <w:pPr>
                              <w:pStyle w:val="Normal"/>
                              <w:ind w:left="0" w:hanging="0"/>
                              <w:jc w:val="center"/>
                              <w:rPr>
                                <w:b/>
                                <w:b/>
                              </w:rPr>
                            </w:pPr>
                            <w:r>
                              <w:rPr>
                                <w:b/>
                              </w:rPr>
                            </w:r>
                          </w:p>
                        </w:tc>
                        <w:tc>
                          <w:tcPr>
                            <w:tcW w:w="3329" w:type="dxa"/>
                            <w:tcBorders/>
                            <w:shd w:fill="auto" w:val="clear"/>
                          </w:tcPr>
                          <w:p>
                            <w:pPr>
                              <w:pStyle w:val="Normal"/>
                              <w:tabs>
                                <w:tab w:val="left" w:pos="939" w:leader="none"/>
                              </w:tabs>
                              <w:jc w:val="center"/>
                              <w:rPr>
                                <w:b/>
                                <w:b/>
                              </w:rPr>
                            </w:pPr>
                            <w:r>
                              <w:rPr>
                                <w:b/>
                              </w:rPr>
                            </w:r>
                          </w:p>
                        </w:tc>
                      </w:tr>
                      <w:tr>
                        <w:trPr/>
                        <w:tc>
                          <w:tcPr>
                            <w:tcW w:w="4292" w:type="dxa"/>
                            <w:tcBorders/>
                            <w:shd w:fill="auto" w:val="clear"/>
                          </w:tcPr>
                          <w:p>
                            <w:pPr>
                              <w:pStyle w:val="Normal"/>
                              <w:jc w:val="both"/>
                              <w:rPr/>
                            </w:pPr>
                            <w:r>
                              <w:rPr>
                                <w:b/>
                              </w:rPr>
                              <w:t>ПКК ПО НАПРАВЛЕНИЮ</w:t>
                            </w:r>
                          </w:p>
                        </w:tc>
                        <w:tc>
                          <w:tcPr>
                            <w:tcW w:w="2099" w:type="dxa"/>
                            <w:tcBorders/>
                            <w:shd w:fill="auto" w:val="clear"/>
                          </w:tcPr>
                          <w:p>
                            <w:pPr>
                              <w:pStyle w:val="Normal"/>
                              <w:ind w:left="0" w:hanging="0"/>
                              <w:jc w:val="center"/>
                              <w:rPr/>
                            </w:pPr>
                            <w:r>
                              <w:rPr>
                                <w:b/>
                              </w:rPr>
                              <w:t>_______________________</w:t>
                            </w:r>
                          </w:p>
                        </w:tc>
                        <w:tc>
                          <w:tcPr>
                            <w:tcW w:w="3329" w:type="dxa"/>
                            <w:tcBorders/>
                            <w:shd w:fill="auto" w:val="clear"/>
                          </w:tcPr>
                          <w:p>
                            <w:pPr>
                              <w:pStyle w:val="Normal"/>
                              <w:tabs>
                                <w:tab w:val="left" w:pos="939" w:leader="none"/>
                              </w:tabs>
                              <w:jc w:val="center"/>
                              <w:rPr/>
                            </w:pPr>
                            <w:r>
                              <w:rPr>
                                <w:b/>
                              </w:rPr>
                              <w:t>«____»___________20   г.</w:t>
                            </w:r>
                          </w:p>
                        </w:tc>
                      </w:tr>
                    </w:tbl>
                  </w:txbxContent>
                </v:textbox>
                <w10:wrap type="square"/>
              </v:rect>
            </w:pict>
          </mc:Fallback>
        </mc:AlternateContent>
      </w:r>
    </w:p>
    <w:p>
      <w:pPr>
        <w:pStyle w:val="Normal"/>
        <w:suppressAutoHyphens w:val="false"/>
        <w:rPr>
          <w:b/>
          <w:b/>
          <w:u w:val="single"/>
        </w:rPr>
      </w:pPr>
      <w:r>
        <w:rPr>
          <w:b/>
          <w:u w:val="single"/>
        </w:rPr>
      </w:r>
      <w:r>
        <w:br w:type="page"/>
      </w:r>
    </w:p>
    <w:p>
      <w:pPr>
        <w:pStyle w:val="WWPlainText"/>
        <w:tabs>
          <w:tab w:val="left" w:pos="6480" w:leader="none"/>
        </w:tabs>
        <w:spacing w:before="0" w:after="240"/>
        <w:rPr>
          <w:b/>
          <w:b/>
          <w:bCs/>
          <w:u w:val="single"/>
        </w:rPr>
      </w:pPr>
      <w:r>
        <w:rPr>
          <w:b/>
          <w:u w:val="single"/>
        </w:rPr>
        <w:t>Введение</w:t>
      </w:r>
    </w:p>
    <w:p>
      <w:pPr>
        <w:pStyle w:val="Normal"/>
        <w:spacing w:before="0" w:after="120"/>
        <w:ind w:firstLine="567"/>
        <w:jc w:val="both"/>
        <w:rPr/>
      </w:pPr>
      <w:r>
        <w:rPr/>
        <w:t xml:space="preserve">Предлагаемый проект является продолжением трех этапов проекта </w:t>
      </w:r>
      <w:r>
        <w:rPr>
          <w:lang w:val="en-US"/>
        </w:rPr>
        <w:t>NA</w:t>
      </w:r>
      <w:r>
        <w:rPr/>
        <w:t xml:space="preserve">62, реализованного в ОИЯИ ЛФВЭ в 2010-2018 годах. Целью всех этапов проекта является участие в проведении эксперимента </w:t>
      </w:r>
      <w:r>
        <w:rPr>
          <w:lang w:val="en-US"/>
        </w:rPr>
        <w:t>NA</w:t>
      </w:r>
      <w:r>
        <w:rPr/>
        <w:t xml:space="preserve">62 на </w:t>
      </w:r>
      <w:r>
        <w:rPr>
          <w:lang w:val="en-US"/>
        </w:rPr>
        <w:t>SPS</w:t>
      </w:r>
      <w:r>
        <w:rPr/>
        <w:t xml:space="preserve"> </w:t>
      </w:r>
      <w:r>
        <w:rPr>
          <w:lang w:val="en-US"/>
        </w:rPr>
        <w:t>CERN</w:t>
      </w:r>
      <w:r>
        <w:rPr/>
        <w:t xml:space="preserve">, где с помощью изучения сверх-редкого распада каона </w:t>
      </w:r>
      <w:r>
        <w:rPr>
          <w:spacing w:val="1"/>
          <w:w w:val="120"/>
          <w:sz w:val="22"/>
          <w:szCs w:val="24"/>
          <w:lang w:val="en-US"/>
        </w:rPr>
        <w:t>K</w:t>
      </w:r>
      <w:r>
        <w:rPr>
          <w:spacing w:val="1"/>
          <w:w w:val="120"/>
          <w:sz w:val="22"/>
          <w:szCs w:val="24"/>
          <w:vertAlign w:val="superscript"/>
        </w:rPr>
        <w:t>+</w:t>
      </w:r>
      <w:r>
        <w:rPr>
          <w:rFonts w:cs="Symbol" w:ascii="Symbol" w:hAnsi="Symbol"/>
          <w:spacing w:val="1"/>
          <w:w w:val="120"/>
          <w:sz w:val="22"/>
          <w:szCs w:val="24"/>
          <w:lang w:val="en-US"/>
        </w:rPr>
        <w:t></w:t>
      </w:r>
      <w:r>
        <w:rPr>
          <w:spacing w:val="1"/>
          <w:w w:val="120"/>
          <w:sz w:val="22"/>
          <w:szCs w:val="24"/>
          <w:vertAlign w:val="superscript"/>
        </w:rPr>
        <w:t>+</w:t>
      </w:r>
      <w:r>
        <w:rPr>
          <w:rFonts w:cs="Symbol" w:ascii="Symbol" w:hAnsi="Symbol"/>
          <w:spacing w:val="1"/>
          <w:w w:val="120"/>
          <w:sz w:val="22"/>
          <w:szCs w:val="24"/>
          <w:lang w:val="en-US"/>
        </w:rPr>
        <w:t></w:t>
      </w:r>
      <w:r>
        <w:rPr>
          <w:rFonts w:cs="Symbol" w:ascii="Symbol" w:hAnsi="Symbol"/>
          <w:spacing w:val="2"/>
          <w:w w:val="120"/>
          <w:sz w:val="22"/>
          <w:szCs w:val="24"/>
          <w:lang w:val="en-US"/>
        </w:rPr>
        <w:t></w:t>
      </w:r>
      <w:r>
        <w:rPr>
          <w:rFonts w:cs="Symbol" w:ascii="Symbol" w:hAnsi="Symbol"/>
          <w:i/>
          <w:spacing w:val="2"/>
          <w:w w:val="120"/>
          <w:sz w:val="22"/>
          <w:szCs w:val="24"/>
          <w:lang w:val="en-US"/>
        </w:rPr>
        <w:t></w:t>
      </w:r>
      <w:r>
        <w:rPr/>
        <w:t xml:space="preserve">планируется провести решающую  проверку Стандартной Модели (СМ) и измерить элемент матрицы смешивания Кабиббо-Кобаяши-Маскава (KKM) </w:t>
      </w:r>
      <w:r>
        <w:rPr>
          <w:i/>
          <w:iCs/>
          <w:spacing w:val="2"/>
          <w:lang w:val="en-US"/>
        </w:rPr>
        <w:t>V</w:t>
      </w:r>
      <w:r>
        <w:rPr>
          <w:i/>
          <w:iCs/>
          <w:spacing w:val="2"/>
          <w:vertAlign w:val="subscript"/>
          <w:lang w:val="en-US"/>
        </w:rPr>
        <w:t>td</w:t>
      </w:r>
      <w:r>
        <w:rPr/>
        <w:t xml:space="preserve"> с 10%-ной точностью.</w:t>
      </w:r>
    </w:p>
    <w:p>
      <w:pPr>
        <w:pStyle w:val="Normal"/>
        <w:spacing w:before="0" w:after="120"/>
        <w:ind w:firstLine="567"/>
        <w:jc w:val="both"/>
        <w:rPr/>
      </w:pPr>
      <w:r>
        <w:rPr>
          <w:spacing w:val="2"/>
        </w:rPr>
        <w:t xml:space="preserve">Цель эксперимента </w:t>
      </w:r>
      <w:r>
        <w:rPr>
          <w:spacing w:val="2"/>
          <w:lang w:val="en-US"/>
        </w:rPr>
        <w:t>NA</w:t>
      </w:r>
      <w:r>
        <w:rPr>
          <w:spacing w:val="2"/>
        </w:rPr>
        <w:t xml:space="preserve">62, подробное описание которого дано в [1,2,3,4], ‒ зарегистрировать около 100 событий распадов </w:t>
      </w:r>
      <w:r>
        <w:rPr>
          <w:spacing w:val="1"/>
          <w:w w:val="120"/>
          <w:sz w:val="22"/>
          <w:szCs w:val="24"/>
          <w:lang w:val="en-US"/>
        </w:rPr>
        <w:t>K</w:t>
      </w:r>
      <w:r>
        <w:rPr>
          <w:spacing w:val="1"/>
          <w:w w:val="120"/>
          <w:sz w:val="22"/>
          <w:szCs w:val="24"/>
          <w:vertAlign w:val="superscript"/>
        </w:rPr>
        <w:t>+</w:t>
      </w:r>
      <w:r>
        <w:rPr>
          <w:rFonts w:cs="Symbol" w:ascii="Symbol" w:hAnsi="Symbol"/>
          <w:spacing w:val="1"/>
          <w:w w:val="120"/>
          <w:sz w:val="22"/>
          <w:szCs w:val="24"/>
          <w:lang w:val="en-US"/>
        </w:rPr>
        <w:t></w:t>
      </w:r>
      <w:r>
        <w:rPr>
          <w:spacing w:val="1"/>
          <w:w w:val="120"/>
          <w:sz w:val="22"/>
          <w:szCs w:val="24"/>
          <w:vertAlign w:val="superscript"/>
        </w:rPr>
        <w:t>+</w:t>
      </w:r>
      <w:r>
        <w:rPr>
          <w:rFonts w:cs="Symbol" w:ascii="Symbol" w:hAnsi="Symbol"/>
          <w:spacing w:val="1"/>
          <w:w w:val="120"/>
          <w:sz w:val="22"/>
          <w:szCs w:val="24"/>
          <w:lang w:val="en-US"/>
        </w:rPr>
        <w:t></w:t>
      </w:r>
      <w:r>
        <w:rPr>
          <w:rFonts w:cs="Symbol" w:ascii="Symbol" w:hAnsi="Symbol"/>
          <w:spacing w:val="2"/>
          <w:w w:val="120"/>
          <w:sz w:val="22"/>
          <w:szCs w:val="24"/>
          <w:lang w:val="en-US"/>
        </w:rPr>
        <w:t></w:t>
      </w:r>
      <w:r>
        <w:rPr>
          <w:rFonts w:cs="Symbol" w:ascii="Symbol" w:hAnsi="Symbol"/>
          <w:i/>
          <w:spacing w:val="2"/>
          <w:w w:val="120"/>
          <w:sz w:val="22"/>
          <w:szCs w:val="24"/>
          <w:lang w:val="en-US"/>
        </w:rPr>
        <w:t></w:t>
      </w:r>
      <w:r>
        <w:rPr>
          <w:spacing w:val="2"/>
        </w:rPr>
        <w:t xml:space="preserve"> с малой систематической неопределенностью. Для этой цели требуются, по меньшей мере, </w:t>
      </w:r>
      <w:r>
        <w:rPr>
          <w:rFonts w:cs="Calibri"/>
        </w:rPr>
        <w:t>2</w:t>
      </w:r>
      <w:r>
        <w:rPr>
          <w:rFonts w:eastAsia="Tahoma" w:cs="Liberation Serif" w:ascii="Liberation Serif" w:hAnsi="Liberation Serif"/>
          <w:i/>
          <w:sz w:val="24"/>
          <w:szCs w:val="24"/>
        </w:rPr>
        <w:t>×</w:t>
      </w:r>
      <w:r>
        <w:rPr>
          <w:rFonts w:cs="Calibri"/>
        </w:rPr>
        <w:t>10</w:t>
      </w:r>
      <w:r>
        <w:rPr>
          <w:rFonts w:cs="Calibri"/>
          <w:vertAlign w:val="superscript"/>
        </w:rPr>
        <w:t xml:space="preserve">13 </w:t>
      </w:r>
      <w:r>
        <w:rPr>
          <w:spacing w:val="2"/>
        </w:rPr>
        <w:t xml:space="preserve">распадов </w:t>
      </w:r>
      <w:r>
        <w:rPr>
          <w:rFonts w:cs="Calibri"/>
          <w:lang w:val="en-US"/>
        </w:rPr>
        <w:t>K</w:t>
      </w:r>
      <w:r>
        <w:rPr>
          <w:rFonts w:cs="Calibri"/>
          <w:vertAlign w:val="superscript"/>
        </w:rPr>
        <w:t>+</w:t>
      </w:r>
      <w:r>
        <w:rPr>
          <w:spacing w:val="2"/>
        </w:rPr>
        <w:t xml:space="preserve">, принимая во внимание 10%-ный </w:t>
      </w:r>
      <w:r>
        <w:rPr/>
        <w:t>аксептанс установки</w:t>
      </w:r>
      <w:r>
        <w:rPr>
          <w:spacing w:val="2"/>
        </w:rPr>
        <w:t xml:space="preserve"> и </w:t>
      </w:r>
      <w:r>
        <w:rPr/>
        <w:t>вероятность исследуемого распада ‒ 10</w:t>
      </w:r>
      <w:r>
        <w:rPr>
          <w:vertAlign w:val="superscript"/>
        </w:rPr>
        <w:t>-10</w:t>
      </w:r>
      <w:r>
        <w:rPr>
          <w:spacing w:val="2"/>
        </w:rPr>
        <w:t xml:space="preserve">. Для достижения малой систематической неопределенности требуется </w:t>
      </w:r>
      <w:r>
        <w:rPr/>
        <w:t>фактор подавления основных распадов каонов порядка 10</w:t>
      </w:r>
      <w:r>
        <w:rPr>
          <w:vertAlign w:val="superscript"/>
        </w:rPr>
        <w:t>12</w:t>
      </w:r>
      <w:r>
        <w:rPr>
          <w:spacing w:val="2"/>
        </w:rPr>
        <w:t xml:space="preserve"> и возможность измерения эффективности регистрации и факторов подавления фона непосредственно из данных. Возможность работать в интенсивном каонном пучке, надежность извлечения сигнала и подавление фона являются основными критериями успеха в подготовке и проведении эксперимента </w:t>
      </w:r>
      <w:r>
        <w:rPr>
          <w:spacing w:val="2"/>
          <w:lang w:val="en-US"/>
        </w:rPr>
        <w:t>NA</w:t>
      </w:r>
      <w:r>
        <w:rPr>
          <w:spacing w:val="2"/>
        </w:rPr>
        <w:t>62.</w:t>
      </w:r>
    </w:p>
    <w:p>
      <w:pPr>
        <w:pStyle w:val="Normal"/>
        <w:spacing w:before="0" w:after="120"/>
        <w:ind w:firstLine="567"/>
        <w:jc w:val="both"/>
        <w:rPr/>
      </w:pPr>
      <w:r>
        <w:rPr/>
      </w:r>
    </w:p>
    <w:p>
      <w:pPr>
        <w:pStyle w:val="WWNormalWeb"/>
        <w:spacing w:before="100" w:after="240"/>
        <w:jc w:val="both"/>
        <w:rPr>
          <w:b/>
          <w:b/>
          <w:u w:val="single"/>
        </w:rPr>
      </w:pPr>
      <w:r>
        <w:rPr>
          <w:b/>
          <w:u w:val="single"/>
        </w:rPr>
        <w:t>Физическая мотивация</w:t>
      </w:r>
    </w:p>
    <w:p>
      <w:pPr>
        <w:pStyle w:val="Normal"/>
        <w:ind w:firstLine="720"/>
        <w:jc w:val="both"/>
        <w:rPr/>
      </w:pPr>
      <w:r>
        <w:rPr/>
        <w:t xml:space="preserve">Используя обозначения Вольфенштейна для элементов матрицы ККМ, связь между параметрами </w:t>
      </w:r>
      <w:r>
        <w:rPr>
          <w:lang w:val="en-US"/>
        </w:rPr>
        <w:t>ρ</w:t>
      </w:r>
      <w:r>
        <w:rPr/>
        <w:t xml:space="preserve"> и </w:t>
      </w:r>
      <w:r>
        <w:rPr>
          <w:lang w:val="en-US"/>
        </w:rPr>
        <w:t>η</w:t>
      </w:r>
      <w:r>
        <w:rPr/>
        <w:t xml:space="preserve"> может быть представлена в виде треугольника унитарности, показанным на рисунке 1. «Золотые моды» распада </w:t>
      </w:r>
      <w:r>
        <w:rPr>
          <w:spacing w:val="1"/>
          <w:w w:val="120"/>
          <w:sz w:val="22"/>
          <w:szCs w:val="24"/>
          <w:lang w:val="en-US"/>
        </w:rPr>
        <w:t>K</w:t>
      </w:r>
      <w:r>
        <w:rPr>
          <w:spacing w:val="1"/>
          <w:w w:val="120"/>
          <w:sz w:val="22"/>
          <w:szCs w:val="24"/>
          <w:vertAlign w:val="superscript"/>
        </w:rPr>
        <w:t>0</w:t>
      </w:r>
      <w:r>
        <w:rPr>
          <w:rFonts w:cs="Symbol" w:ascii="Symbol" w:hAnsi="Symbol"/>
          <w:spacing w:val="1"/>
          <w:w w:val="120"/>
          <w:sz w:val="22"/>
          <w:szCs w:val="24"/>
          <w:lang w:val="en-US"/>
        </w:rPr>
        <w:t></w:t>
      </w:r>
      <w:r>
        <w:rPr>
          <w:spacing w:val="1"/>
          <w:w w:val="120"/>
          <w:sz w:val="22"/>
          <w:szCs w:val="24"/>
          <w:vertAlign w:val="superscript"/>
        </w:rPr>
        <w:t>0</w:t>
      </w:r>
      <w:r>
        <w:rPr>
          <w:rFonts w:cs="Symbol" w:ascii="Symbol" w:hAnsi="Symbol"/>
          <w:spacing w:val="1"/>
          <w:w w:val="120"/>
          <w:sz w:val="22"/>
          <w:szCs w:val="24"/>
          <w:lang w:val="en-US"/>
        </w:rPr>
        <w:t></w:t>
      </w:r>
      <w:r>
        <w:rPr>
          <w:rFonts w:cs="Symbol" w:ascii="Symbol" w:hAnsi="Symbol"/>
          <w:spacing w:val="2"/>
          <w:w w:val="120"/>
          <w:sz w:val="22"/>
          <w:szCs w:val="24"/>
          <w:lang w:val="en-US"/>
        </w:rPr>
        <w:t></w:t>
      </w:r>
      <w:r>
        <w:rPr>
          <w:sz w:val="22"/>
        </w:rPr>
        <w:t xml:space="preserve"> </w:t>
      </w:r>
      <w:r>
        <w:rPr/>
        <w:t>и</w:t>
      </w:r>
      <w:r>
        <w:rPr>
          <w:sz w:val="24"/>
        </w:rPr>
        <w:t xml:space="preserve"> </w:t>
      </w:r>
      <w:r>
        <w:rPr>
          <w:spacing w:val="1"/>
          <w:w w:val="120"/>
          <w:sz w:val="22"/>
          <w:szCs w:val="24"/>
          <w:lang w:val="en-US"/>
        </w:rPr>
        <w:t>K</w:t>
      </w:r>
      <w:r>
        <w:rPr>
          <w:spacing w:val="1"/>
          <w:w w:val="120"/>
          <w:sz w:val="22"/>
          <w:szCs w:val="24"/>
          <w:vertAlign w:val="superscript"/>
        </w:rPr>
        <w:t>+</w:t>
      </w:r>
      <w:r>
        <w:rPr>
          <w:rFonts w:cs="Symbol" w:ascii="Symbol" w:hAnsi="Symbol"/>
          <w:spacing w:val="1"/>
          <w:w w:val="120"/>
          <w:sz w:val="22"/>
          <w:szCs w:val="24"/>
          <w:lang w:val="en-US"/>
        </w:rPr>
        <w:t></w:t>
      </w:r>
      <w:r>
        <w:rPr>
          <w:spacing w:val="1"/>
          <w:w w:val="120"/>
          <w:sz w:val="22"/>
          <w:szCs w:val="24"/>
          <w:vertAlign w:val="superscript"/>
        </w:rPr>
        <w:t>+</w:t>
      </w:r>
      <w:r>
        <w:rPr>
          <w:rFonts w:cs="Symbol" w:ascii="Symbol" w:hAnsi="Symbol"/>
          <w:spacing w:val="1"/>
          <w:w w:val="120"/>
          <w:sz w:val="22"/>
          <w:szCs w:val="24"/>
          <w:lang w:val="en-US"/>
        </w:rPr>
        <w:t></w:t>
      </w:r>
      <w:r>
        <w:rPr>
          <w:rFonts w:cs="Symbol" w:ascii="Symbol" w:hAnsi="Symbol"/>
          <w:spacing w:val="2"/>
          <w:w w:val="120"/>
          <w:sz w:val="22"/>
          <w:szCs w:val="24"/>
          <w:lang w:val="en-US"/>
        </w:rPr>
        <w:t></w:t>
      </w:r>
      <w:r>
        <w:rPr/>
        <w:t xml:space="preserve">дают возможность проводить очень чувствительные тесты СМ, так как их вероятности напрямую связаны с </w:t>
      </w:r>
      <w:r>
        <w:rPr>
          <w:rFonts w:eastAsia="Verdana" w:cs="Verdana" w:ascii="Symbol" w:hAnsi="Symbol"/>
        </w:rPr>
        <w:t></w:t>
      </w:r>
      <w:r>
        <w:rPr>
          <w:vertAlign w:val="superscript"/>
        </w:rPr>
        <w:t>2</w:t>
      </w:r>
      <w:r>
        <w:rPr/>
        <w:t xml:space="preserve"> (высота треугольника) и (ρ </w:t>
      </w:r>
      <w:r>
        <w:rPr>
          <w:rFonts w:cs="Symbol" w:ascii="Symbol" w:hAnsi="Symbol"/>
        </w:rPr>
        <w:t></w:t>
      </w:r>
      <w:r>
        <w:rPr/>
        <w:t>1.4)</w:t>
      </w:r>
      <w:r>
        <w:rPr>
          <w:vertAlign w:val="superscript"/>
        </w:rPr>
        <w:t xml:space="preserve">2 </w:t>
      </w:r>
      <w:r>
        <w:rPr/>
        <w:t xml:space="preserve">+ </w:t>
      </w:r>
      <w:r>
        <w:rPr>
          <w:rFonts w:cs="Symbol" w:ascii="Symbol" w:hAnsi="Symbol"/>
        </w:rPr>
        <w:t></w:t>
      </w:r>
      <w:r>
        <w:rPr>
          <w:vertAlign w:val="superscript"/>
        </w:rPr>
        <w:t>2</w:t>
      </w:r>
      <w:r>
        <w:rPr/>
        <w:t>. Предсказания СМ для этих двух вероятностей распада имеют точность лучше 2% и 8%, соответственно, и если будут наблюдаться значительные отклонения от предсказаний, то это будет несомненным проявлением новой физики за пределами СМ.</w:t>
      </w:r>
    </w:p>
    <w:p>
      <w:pPr>
        <w:pStyle w:val="Normal"/>
        <w:ind w:firstLine="720"/>
        <w:jc w:val="both"/>
        <w:rPr/>
      </w:pPr>
      <w:r>
        <w:rPr/>
      </w:r>
    </w:p>
    <w:p>
      <w:pPr>
        <w:pStyle w:val="Normal"/>
        <w:ind w:firstLine="720"/>
        <w:jc w:val="both"/>
        <w:rPr/>
      </w:pPr>
      <w:r>
        <w:rPr/>
        <w:drawing>
          <wp:anchor behindDoc="0" distT="0" distB="0" distL="18415" distR="0" simplePos="0" locked="0" layoutInCell="1" allowOverlap="1" relativeHeight="24">
            <wp:simplePos x="0" y="0"/>
            <wp:positionH relativeFrom="column">
              <wp:posOffset>1683385</wp:posOffset>
            </wp:positionH>
            <wp:positionV relativeFrom="paragraph">
              <wp:posOffset>48895</wp:posOffset>
            </wp:positionV>
            <wp:extent cx="2692400" cy="1715135"/>
            <wp:effectExtent l="0" t="0" r="0" b="0"/>
            <wp:wrapSquare wrapText="largest"/>
            <wp:docPr id="3"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9" descr=""/>
                    <pic:cNvPicPr>
                      <a:picLocks noChangeAspect="1" noChangeArrowheads="1"/>
                    </pic:cNvPicPr>
                  </pic:nvPicPr>
                  <pic:blipFill>
                    <a:blip r:embed="rId3"/>
                    <a:stretch>
                      <a:fillRect/>
                    </a:stretch>
                  </pic:blipFill>
                  <pic:spPr bwMode="auto">
                    <a:xfrm>
                      <a:off x="0" y="0"/>
                      <a:ext cx="2692400" cy="1715135"/>
                    </a:xfrm>
                    <a:prstGeom prst="rect">
                      <a:avLst/>
                    </a:prstGeom>
                  </pic:spPr>
                </pic:pic>
              </a:graphicData>
            </a:graphic>
          </wp:anchor>
        </w:drawing>
      </w:r>
    </w:p>
    <w:p>
      <w:pPr>
        <w:pStyle w:val="Normal"/>
        <w:ind w:firstLine="720"/>
        <w:jc w:val="both"/>
        <w:rPr/>
      </w:pPr>
      <w:r>
        <w:rPr/>
      </w:r>
    </w:p>
    <w:p>
      <w:pPr>
        <w:pStyle w:val="Normal"/>
        <w:ind w:firstLine="720"/>
        <w:jc w:val="both"/>
        <w:rPr/>
      </w:pPr>
      <w:r>
        <w:rPr/>
      </w:r>
    </w:p>
    <w:p>
      <w:pPr>
        <w:pStyle w:val="Normal"/>
        <w:jc w:val="both"/>
        <w:rPr/>
      </w:pPr>
      <w:r>
        <w:rPr/>
      </w:r>
    </w:p>
    <w:p>
      <w:pPr>
        <w:pStyle w:val="Normal"/>
        <w:rPr>
          <w:i/>
          <w:i/>
          <w:sz w:val="22"/>
          <w:szCs w:val="22"/>
        </w:rPr>
      </w:pPr>
      <w:r>
        <w:rPr>
          <w:i/>
          <w:sz w:val="22"/>
          <w:szCs w:val="22"/>
        </w:rPr>
      </w:r>
    </w:p>
    <w:p>
      <w:pPr>
        <w:pStyle w:val="Normal"/>
        <w:rPr>
          <w:i/>
          <w:i/>
          <w:sz w:val="22"/>
          <w:szCs w:val="22"/>
        </w:rPr>
      </w:pPr>
      <w:r>
        <w:rPr>
          <w:i/>
          <w:sz w:val="22"/>
          <w:szCs w:val="22"/>
        </w:rPr>
      </w:r>
    </w:p>
    <w:p>
      <w:pPr>
        <w:pStyle w:val="Normal"/>
        <w:rPr>
          <w:i/>
          <w:i/>
          <w:sz w:val="22"/>
          <w:szCs w:val="22"/>
        </w:rPr>
      </w:pPr>
      <w:r>
        <w:rPr>
          <w:i/>
          <w:sz w:val="22"/>
          <w:szCs w:val="22"/>
        </w:rPr>
      </w:r>
    </w:p>
    <w:p>
      <w:pPr>
        <w:pStyle w:val="Normal"/>
        <w:rPr>
          <w:i/>
          <w:i/>
          <w:sz w:val="22"/>
          <w:szCs w:val="22"/>
        </w:rPr>
      </w:pPr>
      <w:r>
        <w:rPr>
          <w:i/>
          <w:sz w:val="22"/>
          <w:szCs w:val="22"/>
        </w:rPr>
      </w:r>
    </w:p>
    <w:p>
      <w:pPr>
        <w:pStyle w:val="Normal"/>
        <w:rPr>
          <w:i/>
          <w:i/>
          <w:sz w:val="22"/>
          <w:szCs w:val="22"/>
        </w:rPr>
      </w:pPr>
      <w:r>
        <w:rPr>
          <w:i/>
          <w:sz w:val="22"/>
          <w:szCs w:val="22"/>
        </w:rPr>
      </w:r>
    </w:p>
    <w:p>
      <w:pPr>
        <w:pStyle w:val="Normal"/>
        <w:rPr>
          <w:i/>
          <w:i/>
          <w:sz w:val="22"/>
          <w:szCs w:val="22"/>
        </w:rPr>
      </w:pPr>
      <w:r>
        <w:rPr>
          <w:i/>
          <w:sz w:val="22"/>
          <w:szCs w:val="22"/>
        </w:rPr>
      </w:r>
    </w:p>
    <w:p>
      <w:pPr>
        <w:pStyle w:val="Normal"/>
        <w:rPr>
          <w:i/>
          <w:i/>
          <w:sz w:val="22"/>
          <w:szCs w:val="22"/>
        </w:rPr>
      </w:pPr>
      <w:r>
        <w:rPr>
          <w:i/>
          <w:sz w:val="22"/>
          <w:szCs w:val="22"/>
        </w:rPr>
      </w:r>
    </w:p>
    <w:p>
      <w:pPr>
        <w:pStyle w:val="Normal"/>
        <w:rPr>
          <w:i/>
          <w:i/>
          <w:sz w:val="22"/>
          <w:szCs w:val="22"/>
        </w:rPr>
      </w:pPr>
      <w:r>
        <w:rPr>
          <w:i/>
          <w:sz w:val="22"/>
          <w:szCs w:val="22"/>
        </w:rPr>
      </w:r>
    </w:p>
    <w:p>
      <w:pPr>
        <w:pStyle w:val="Normal"/>
        <w:rPr>
          <w:i/>
          <w:i/>
          <w:sz w:val="22"/>
          <w:szCs w:val="22"/>
        </w:rPr>
      </w:pPr>
      <w:r>
        <w:rPr>
          <w:i/>
          <w:sz w:val="22"/>
          <w:szCs w:val="22"/>
        </w:rPr>
      </w:r>
    </w:p>
    <w:p>
      <w:pPr>
        <w:pStyle w:val="Normal"/>
        <w:spacing w:before="0" w:after="240"/>
        <w:ind w:firstLine="425"/>
        <w:jc w:val="center"/>
        <w:rPr>
          <w:i/>
          <w:i/>
          <w:iCs/>
        </w:rPr>
      </w:pPr>
      <w:r>
        <w:rPr/>
        <w:t xml:space="preserve">Рис. 1. </w:t>
      </w:r>
      <w:r>
        <w:rPr>
          <w:i/>
          <w:iCs/>
        </w:rPr>
        <w:t xml:space="preserve">Распад </w:t>
      </w:r>
      <w:r>
        <w:rPr>
          <w:spacing w:val="1"/>
          <w:w w:val="120"/>
          <w:szCs w:val="22"/>
          <w:lang w:val="en-US" w:eastAsia="ru-RU"/>
        </w:rPr>
        <w:t>K</w:t>
      </w:r>
      <w:r>
        <w:rPr>
          <w:spacing w:val="1"/>
          <w:w w:val="120"/>
          <w:szCs w:val="22"/>
          <w:vertAlign w:val="superscript"/>
          <w:lang w:eastAsia="ru-RU"/>
        </w:rPr>
        <w:t>+</w:t>
      </w:r>
      <w:r>
        <w:rPr>
          <w:rFonts w:cs="Symbol" w:ascii="Symbol" w:hAnsi="Symbol"/>
          <w:spacing w:val="1"/>
          <w:w w:val="120"/>
          <w:szCs w:val="22"/>
          <w:lang w:val="en-US" w:eastAsia="ru-RU"/>
        </w:rPr>
        <w:t></w:t>
      </w:r>
      <w:r>
        <w:rPr>
          <w:spacing w:val="1"/>
          <w:w w:val="120"/>
          <w:szCs w:val="22"/>
          <w:vertAlign w:val="superscript"/>
          <w:lang w:eastAsia="ru-RU"/>
        </w:rPr>
        <w:t>+</w:t>
      </w:r>
      <w:r>
        <w:rPr>
          <w:rFonts w:cs="Symbol" w:ascii="Symbol" w:hAnsi="Symbol"/>
          <w:spacing w:val="1"/>
          <w:w w:val="120"/>
          <w:szCs w:val="22"/>
          <w:lang w:val="en-US" w:eastAsia="ru-RU"/>
        </w:rPr>
        <w:t></w:t>
      </w:r>
      <w:r>
        <w:rPr>
          <w:rFonts w:cs="Symbol" w:ascii="Symbol" w:hAnsi="Symbol"/>
          <w:spacing w:val="2"/>
          <w:w w:val="120"/>
          <w:szCs w:val="22"/>
          <w:lang w:val="en-US" w:eastAsia="ru-RU"/>
        </w:rPr>
        <w:t></w:t>
      </w:r>
      <w:r>
        <w:rPr>
          <w:i/>
          <w:szCs w:val="22"/>
          <w:lang w:eastAsia="ru-RU"/>
        </w:rPr>
        <w:t xml:space="preserve"> </w:t>
      </w:r>
      <w:r>
        <w:rPr>
          <w:i/>
          <w:iCs/>
        </w:rPr>
        <w:t>представлен в правом сегменте треугольника.</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uppressAutoHyphens w:val="false"/>
        <w:ind w:firstLine="567"/>
        <w:jc w:val="both"/>
        <w:rPr/>
      </w:pPr>
      <w:r>
        <w:rPr>
          <w:rFonts w:cs="Calibri"/>
        </w:rPr>
        <w:t xml:space="preserve">Наиболее точные экспериментальные результаты были получены экспериментами E787 и E949 в BNL путем изучения распадов остановленных каонов [5]: </w:t>
      </w:r>
      <w:r>
        <w:rPr>
          <w:spacing w:val="2"/>
          <w:lang w:val="en-US"/>
        </w:rPr>
        <w:t>B</w:t>
      </w:r>
      <w:r>
        <w:rPr>
          <w:spacing w:val="2"/>
        </w:rPr>
        <w:t>(</w:t>
      </w:r>
      <w:r>
        <w:rPr>
          <w:spacing w:val="1"/>
          <w:w w:val="120"/>
          <w:sz w:val="22"/>
          <w:szCs w:val="24"/>
          <w:lang w:val="en-US" w:eastAsia="ru-RU"/>
        </w:rPr>
        <w:t>K</w:t>
      </w:r>
      <w:r>
        <w:rPr>
          <w:spacing w:val="1"/>
          <w:w w:val="120"/>
          <w:sz w:val="22"/>
          <w:szCs w:val="24"/>
          <w:vertAlign w:val="superscript"/>
          <w:lang w:eastAsia="ru-RU"/>
        </w:rPr>
        <w:t>+</w:t>
      </w:r>
      <w:r>
        <w:rPr>
          <w:rFonts w:cs="Symbol" w:ascii="Symbol" w:hAnsi="Symbol"/>
          <w:spacing w:val="1"/>
          <w:w w:val="120"/>
          <w:sz w:val="22"/>
          <w:szCs w:val="24"/>
          <w:lang w:val="en-US" w:eastAsia="ru-RU"/>
        </w:rPr>
        <w:t></w:t>
      </w:r>
      <w:r>
        <w:rPr>
          <w:spacing w:val="1"/>
          <w:w w:val="120"/>
          <w:sz w:val="22"/>
          <w:szCs w:val="24"/>
          <w:vertAlign w:val="superscript"/>
          <w:lang w:eastAsia="ru-RU"/>
        </w:rPr>
        <w:t>+</w:t>
      </w:r>
      <w:r>
        <w:rPr>
          <w:rFonts w:cs="Symbol" w:ascii="Symbol" w:hAnsi="Symbol"/>
          <w:spacing w:val="1"/>
          <w:w w:val="120"/>
          <w:sz w:val="22"/>
          <w:szCs w:val="24"/>
          <w:lang w:val="en-US" w:eastAsia="ru-RU"/>
        </w:rPr>
        <w:t></w:t>
      </w:r>
      <w:r>
        <w:rPr>
          <w:rFonts w:cs="Symbol" w:ascii="Symbol" w:hAnsi="Symbol"/>
          <w:spacing w:val="2"/>
          <w:w w:val="120"/>
          <w:sz w:val="22"/>
          <w:szCs w:val="24"/>
          <w:lang w:val="en-US" w:eastAsia="ru-RU"/>
        </w:rPr>
        <w:t></w:t>
      </w:r>
      <w:r>
        <w:rPr>
          <w:spacing w:val="2"/>
          <w:sz w:val="18"/>
        </w:rPr>
        <w:t>) = (</w:t>
      </w:r>
      <w:r>
        <w:rPr>
          <w:spacing w:val="2"/>
        </w:rPr>
        <w:t>1,73</w:t>
      </w:r>
      <w:r>
        <w:rPr>
          <w:spacing w:val="2"/>
          <w:position w:val="9"/>
          <w:sz w:val="19"/>
        </w:rPr>
        <w:t>+1,15</w:t>
      </w:r>
      <w:r>
        <w:rPr>
          <w:spacing w:val="2"/>
          <w:sz w:val="19"/>
        </w:rPr>
        <w:t>-1,05</w:t>
      </w:r>
      <w:r>
        <w:rPr>
          <w:rFonts w:eastAsia="Tahoma" w:cs="Liberation Serif" w:ascii="Liberation Serif" w:hAnsi="Liberation Serif"/>
          <w:spacing w:val="2"/>
        </w:rPr>
        <w:t>)×</w:t>
      </w:r>
      <w:r>
        <w:rPr>
          <w:spacing w:val="2"/>
        </w:rPr>
        <w:t>10</w:t>
      </w:r>
      <w:r>
        <w:rPr>
          <w:spacing w:val="2"/>
          <w:position w:val="9"/>
          <w:sz w:val="19"/>
        </w:rPr>
        <w:t>-10</w:t>
      </w:r>
      <w:r>
        <w:rPr>
          <w:rFonts w:cs="Calibri"/>
        </w:rPr>
        <w:t xml:space="preserve">. Существующий разрыв между теоретической точностью и большой экспериментальной ошибкой мотивирует проведение дальнейших исследований. </w:t>
      </w:r>
      <w:r>
        <w:rPr/>
        <w:t xml:space="preserve">Новые существенные </w:t>
      </w:r>
      <w:r>
        <w:rPr>
          <w:rFonts w:cs="Calibri"/>
        </w:rPr>
        <w:t>ограничения могут быть получены при измерении относительной вероятности этого процесса на уровне 10% или лучше.</w:t>
      </w:r>
    </w:p>
    <w:p>
      <w:pPr>
        <w:pStyle w:val="Normal"/>
        <w:spacing w:before="0" w:after="120"/>
        <w:ind w:firstLine="567"/>
        <w:jc w:val="both"/>
        <w:rPr/>
      </w:pPr>
      <w:r>
        <w:rPr/>
        <w:t xml:space="preserve">Большая статистика распадов каонов, которую планируется получить в эксперименте NA62, а также наличие детекторов для точного измерения кинематики распадающегося заряженного каона и продуктов  его распада позволяют проводить исследования по поиску ряда других редких распадов каонов и изучать их характеристики, в том числе проверить предсказания [6] о существовании суперпартнеров фермиона Голдстоуна ‒ псевдоскалярного сголстино </w:t>
      </w:r>
      <w:r>
        <w:rPr>
          <w:lang w:val="en-US"/>
        </w:rPr>
        <w:t>P</w:t>
      </w:r>
      <w:r>
        <w:rPr/>
        <w:t>.</w:t>
      </w:r>
    </w:p>
    <w:p>
      <w:pPr>
        <w:pStyle w:val="Normal"/>
        <w:spacing w:before="0" w:after="120"/>
        <w:ind w:firstLine="567"/>
        <w:jc w:val="both"/>
        <w:rPr/>
      </w:pPr>
      <w:r>
        <w:rPr>
          <w:rFonts w:cs="Calibri"/>
        </w:rPr>
        <w:t>Кроме того, может быть проведен ряд точных измерений для редких распадов каонов, чтобы проверить справедливость киральной пертурбативной теории (КПТ), которая предоставляет приближение низких энергий для описания сильных взаимодействий. Поиск редких распадов, которые запрещены или чрезвычайно подавлены в рамках СМ, открывает возможность обнаружить новую физику или установить новые ограничения на справедливость СМ и некоторых ее расширений. Это включает и поиск новых легких кандидатов в темную материю, которые могут рождаться в редких распадах каонов.</w:t>
      </w:r>
    </w:p>
    <w:p>
      <w:pPr>
        <w:pStyle w:val="Normal"/>
        <w:spacing w:before="0" w:after="120"/>
        <w:ind w:firstLine="567"/>
        <w:jc w:val="both"/>
        <w:rPr/>
      </w:pPr>
      <w:r>
        <w:rPr>
          <w:rFonts w:cs="Calibri"/>
        </w:rPr>
        <w:t xml:space="preserve">Физическая мотивация эксперимента детально представлена в главе 2 Предложения эксперимента [1] и в главе 3 доклада [4]. </w:t>
      </w:r>
    </w:p>
    <w:p>
      <w:pPr>
        <w:pStyle w:val="Normal"/>
        <w:spacing w:before="0" w:after="120"/>
        <w:ind w:firstLine="567"/>
        <w:jc w:val="both"/>
        <w:rPr>
          <w:rFonts w:cs="Calibri"/>
        </w:rPr>
      </w:pPr>
      <w:r>
        <w:rPr>
          <w:rFonts w:cs="Calibri"/>
        </w:rPr>
      </w:r>
    </w:p>
    <w:p>
      <w:pPr>
        <w:pStyle w:val="WWNormalWeb"/>
        <w:spacing w:before="100" w:after="240"/>
        <w:jc w:val="both"/>
        <w:rPr>
          <w:b/>
          <w:b/>
          <w:u w:val="single"/>
        </w:rPr>
      </w:pPr>
      <w:r>
        <w:rPr>
          <w:b/>
          <w:u w:val="single"/>
        </w:rPr>
        <w:t>Стратегия эксперимента</w:t>
      </w:r>
    </w:p>
    <w:p>
      <w:pPr>
        <w:pStyle w:val="WWNormalWeb"/>
        <w:spacing w:before="100" w:after="240"/>
        <w:jc w:val="both"/>
        <w:rPr/>
      </w:pPr>
      <w:r>
        <w:rPr>
          <w:spacing w:val="7"/>
        </w:rPr>
        <w:tab/>
        <w:t xml:space="preserve">Стратегия эксперимента </w:t>
      </w:r>
      <w:r>
        <w:rPr>
          <w:spacing w:val="7"/>
          <w:lang w:val="en-US"/>
        </w:rPr>
        <w:t>NA</w:t>
      </w:r>
      <w:r>
        <w:rPr>
          <w:spacing w:val="7"/>
        </w:rPr>
        <w:t xml:space="preserve">62 основана на измерении распадов на лету </w:t>
      </w:r>
      <w:r>
        <w:rPr>
          <w:lang w:val="en-US"/>
        </w:rPr>
        <w:t>K</w:t>
      </w:r>
      <w:r>
        <w:rPr>
          <w:vertAlign w:val="superscript"/>
        </w:rPr>
        <w:t>+</w:t>
      </w:r>
      <w:r>
        <w:rPr>
          <w:spacing w:val="7"/>
        </w:rPr>
        <w:t xml:space="preserve"> с высокой энергией. В этом случае сечение образования каонов оптимизируется в зависимости от энергии протонов, и регистрация фотонов эффективна из-за их высоких энергий в лабораторной системе отсчета. Экспериментальная установка схематически показана на рисунке 2.</w:t>
      </w:r>
    </w:p>
    <w:p>
      <w:pPr>
        <w:pStyle w:val="Normal"/>
        <w:spacing w:lineRule="atLeast" w:line="100" w:before="0" w:after="240"/>
        <w:jc w:val="center"/>
        <w:rPr>
          <w:bCs/>
          <w:i/>
          <w:i/>
          <w:iCs/>
          <w:szCs w:val="22"/>
        </w:rPr>
      </w:pPr>
      <w:r>
        <w:rPr/>
        <w:drawing>
          <wp:inline distT="0" distB="0" distL="0" distR="0">
            <wp:extent cx="6082665" cy="2623820"/>
            <wp:effectExtent l="0" t="0" r="0" b="0"/>
            <wp:docPr id="4"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descr=""/>
                    <pic:cNvPicPr>
                      <a:picLocks noChangeAspect="1" noChangeArrowheads="1"/>
                    </pic:cNvPicPr>
                  </pic:nvPicPr>
                  <pic:blipFill>
                    <a:blip r:embed="rId4"/>
                    <a:stretch>
                      <a:fillRect/>
                    </a:stretch>
                  </pic:blipFill>
                  <pic:spPr bwMode="auto">
                    <a:xfrm>
                      <a:off x="0" y="0"/>
                      <a:ext cx="6082665" cy="2623820"/>
                    </a:xfrm>
                    <a:prstGeom prst="rect">
                      <a:avLst/>
                    </a:prstGeom>
                  </pic:spPr>
                </pic:pic>
              </a:graphicData>
            </a:graphic>
          </wp:inline>
        </w:drawing>
      </w:r>
    </w:p>
    <w:p>
      <w:pPr>
        <w:pStyle w:val="Normal"/>
        <w:spacing w:lineRule="atLeast" w:line="100" w:before="0" w:after="240"/>
        <w:jc w:val="center"/>
        <w:rPr>
          <w:bCs/>
          <w:i/>
          <w:i/>
          <w:iCs/>
          <w:szCs w:val="22"/>
        </w:rPr>
      </w:pPr>
      <w:r>
        <w:rPr>
          <w:bCs/>
          <w:iCs/>
        </w:rPr>
        <w:t xml:space="preserve">Рис. 2. </w:t>
      </w:r>
      <w:r>
        <w:rPr>
          <w:bCs/>
          <w:i/>
          <w:iCs/>
        </w:rPr>
        <w:t>Схема экспериментальной установки NA62.</w:t>
      </w:r>
    </w:p>
    <w:p>
      <w:pPr>
        <w:pStyle w:val="Normal"/>
        <w:spacing w:before="0" w:after="120"/>
        <w:ind w:firstLine="567"/>
        <w:jc w:val="both"/>
        <w:rPr/>
      </w:pPr>
      <w:r>
        <w:rPr>
          <w:spacing w:val="7"/>
        </w:rPr>
        <w:t xml:space="preserve">Заряженные продукты изучаемых распадов </w:t>
      </w:r>
      <w:r>
        <w:rPr>
          <w:lang w:val="en-US"/>
        </w:rPr>
        <w:t>K</w:t>
      </w:r>
      <w:r>
        <w:rPr>
          <w:vertAlign w:val="superscript"/>
        </w:rPr>
        <w:t>+</w:t>
      </w:r>
      <w:r>
        <w:rPr>
          <w:spacing w:val="7"/>
        </w:rPr>
        <w:t xml:space="preserve"> регистрируются в первую очередь строу трекером, который позволяет зарегистрировать </w:t>
      </w:r>
      <w:r>
        <w:rPr/>
        <w:t xml:space="preserve">единственный </w:t>
      </w:r>
      <w:r>
        <w:rPr>
          <w:spacing w:val="7"/>
        </w:rPr>
        <w:t xml:space="preserve">трек и измерить соответствующий импульс с хорошей точностью. Чтобы выделить сигнал, анализируется распределение квадрата недостающей массы системы </w:t>
      </w:r>
      <w:r>
        <w:rPr>
          <w:i/>
          <w:iCs/>
          <w:spacing w:val="1"/>
          <w:w w:val="120"/>
        </w:rPr>
        <w:t>K</w:t>
      </w:r>
      <w:r>
        <w:rPr>
          <w:i/>
          <w:iCs/>
          <w:spacing w:val="1"/>
          <w:w w:val="120"/>
          <w:vertAlign w:val="superscript"/>
        </w:rPr>
        <w:t>+</w:t>
      </w:r>
      <w:r>
        <w:rPr>
          <w:spacing w:val="7"/>
        </w:rPr>
        <w:t xml:space="preserve"> и положительно заряженного трека в предположении, что это - трек</w:t>
      </w:r>
      <w:r>
        <w:rPr>
          <w:iCs/>
          <w:spacing w:val="1"/>
          <w:w w:val="120"/>
        </w:rPr>
        <w:t xml:space="preserve"> </w:t>
      </w:r>
      <w:r>
        <w:rPr>
          <w:rFonts w:ascii="Symbol" w:hAnsi="Symbol"/>
          <w:spacing w:val="1"/>
          <w:w w:val="120"/>
        </w:rPr>
        <w:t></w:t>
      </w:r>
      <w:r>
        <w:rPr>
          <w:spacing w:val="1"/>
          <w:w w:val="120"/>
          <w:vertAlign w:val="superscript"/>
        </w:rPr>
        <w:t>+</w:t>
      </w:r>
      <w:r>
        <w:rPr>
          <w:spacing w:val="7"/>
        </w:rPr>
        <w:t xml:space="preserve">. Распределение квадрата </w:t>
      </w:r>
      <w:r>
        <w:rPr>
          <w:iCs/>
        </w:rPr>
        <w:t>недостающей массы</w:t>
      </w:r>
      <w:r>
        <w:rPr>
          <w:spacing w:val="7"/>
        </w:rPr>
        <w:t xml:space="preserve"> без учета экспериментального разрешения для распада </w:t>
      </w:r>
      <w:r>
        <w:rPr>
          <w:spacing w:val="1"/>
          <w:w w:val="120"/>
          <w:sz w:val="22"/>
          <w:szCs w:val="24"/>
          <w:lang w:val="en-US" w:eastAsia="ru-RU"/>
        </w:rPr>
        <w:t>K</w:t>
      </w:r>
      <w:r>
        <w:rPr>
          <w:spacing w:val="1"/>
          <w:w w:val="120"/>
          <w:sz w:val="22"/>
          <w:szCs w:val="24"/>
          <w:vertAlign w:val="superscript"/>
          <w:lang w:eastAsia="ru-RU"/>
        </w:rPr>
        <w:t>+</w:t>
      </w:r>
      <w:r>
        <w:rPr>
          <w:rFonts w:cs="Symbol" w:ascii="Symbol" w:hAnsi="Symbol"/>
          <w:spacing w:val="1"/>
          <w:w w:val="120"/>
          <w:sz w:val="22"/>
          <w:szCs w:val="24"/>
          <w:lang w:val="en-US" w:eastAsia="ru-RU"/>
        </w:rPr>
        <w:t></w:t>
      </w:r>
      <w:r>
        <w:rPr>
          <w:spacing w:val="1"/>
          <w:w w:val="120"/>
          <w:sz w:val="22"/>
          <w:szCs w:val="24"/>
          <w:vertAlign w:val="superscript"/>
          <w:lang w:eastAsia="ru-RU"/>
        </w:rPr>
        <w:t>+</w:t>
      </w:r>
      <w:r>
        <w:rPr>
          <w:rFonts w:cs="Symbol" w:ascii="Symbol" w:hAnsi="Symbol"/>
          <w:spacing w:val="1"/>
          <w:w w:val="120"/>
          <w:sz w:val="22"/>
          <w:szCs w:val="24"/>
          <w:lang w:val="en-US" w:eastAsia="ru-RU"/>
        </w:rPr>
        <w:t></w:t>
      </w:r>
      <w:r>
        <w:rPr>
          <w:rFonts w:cs="Symbol" w:ascii="Symbol" w:hAnsi="Symbol"/>
          <w:spacing w:val="2"/>
          <w:w w:val="120"/>
          <w:sz w:val="22"/>
          <w:szCs w:val="24"/>
          <w:lang w:val="en-US" w:eastAsia="ru-RU"/>
        </w:rPr>
        <w:t></w:t>
      </w:r>
      <w:r>
        <w:rPr>
          <w:rFonts w:cs="Symbol" w:ascii="Symbol" w:hAnsi="Symbol"/>
          <w:i/>
          <w:spacing w:val="2"/>
          <w:w w:val="120"/>
          <w:sz w:val="22"/>
          <w:szCs w:val="24"/>
          <w:lang w:val="en-US" w:eastAsia="ru-RU"/>
        </w:rPr>
        <w:t></w:t>
      </w:r>
      <w:r>
        <w:rPr>
          <w:spacing w:val="7"/>
        </w:rPr>
        <w:t xml:space="preserve"> показано на левой диаграмме рис. 3 сплошной красной линией. Области регистрации сигнала выбираются с учетом разрешения установки </w:t>
      </w:r>
      <w:r>
        <w:rPr>
          <w:spacing w:val="7"/>
          <w:lang w:val="en-US"/>
        </w:rPr>
        <w:t>NA</w:t>
      </w:r>
      <w:r>
        <w:rPr>
          <w:spacing w:val="7"/>
        </w:rPr>
        <w:t xml:space="preserve">62 (регион </w:t>
      </w:r>
      <w:r>
        <w:rPr>
          <w:spacing w:val="7"/>
          <w:lang w:val="en-US"/>
        </w:rPr>
        <w:t>I</w:t>
      </w:r>
      <w:r>
        <w:rPr>
          <w:spacing w:val="7"/>
        </w:rPr>
        <w:t xml:space="preserve"> и область </w:t>
      </w:r>
      <w:r>
        <w:rPr>
          <w:spacing w:val="7"/>
          <w:lang w:val="en-US"/>
        </w:rPr>
        <w:t>II</w:t>
      </w:r>
      <w:r>
        <w:rPr>
          <w:spacing w:val="7"/>
        </w:rPr>
        <w:t xml:space="preserve"> на рисунке 3). На левой диаграмме показаны распределения фоновых распадов, которые могут быть отделены от сигнала кинематически, а на правой ‒ с кинематически неотделимым фоном.</w:t>
      </w:r>
    </w:p>
    <w:p>
      <w:pPr>
        <w:pStyle w:val="Normal"/>
        <w:ind w:firstLine="567"/>
        <w:jc w:val="both"/>
        <w:rPr/>
      </w:pPr>
      <w:r>
        <w:rPr>
          <w:spacing w:val="7"/>
        </w:rPr>
        <w:tab/>
      </w:r>
    </w:p>
    <w:p>
      <w:pPr>
        <w:pStyle w:val="Normal"/>
        <w:rPr>
          <w:lang w:val="en-US"/>
        </w:rPr>
      </w:pPr>
      <w:r>
        <w:rPr/>
        <w:drawing>
          <wp:inline distT="0" distB="0" distL="0" distR="0">
            <wp:extent cx="2759075" cy="1876425"/>
            <wp:effectExtent l="0" t="0" r="0" b="0"/>
            <wp:docPr id="5"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 descr=""/>
                    <pic:cNvPicPr>
                      <a:picLocks noChangeAspect="1" noChangeArrowheads="1"/>
                    </pic:cNvPicPr>
                  </pic:nvPicPr>
                  <pic:blipFill>
                    <a:blip r:embed="rId5"/>
                    <a:stretch>
                      <a:fillRect/>
                    </a:stretch>
                  </pic:blipFill>
                  <pic:spPr bwMode="auto">
                    <a:xfrm>
                      <a:off x="0" y="0"/>
                      <a:ext cx="2759075" cy="1876425"/>
                    </a:xfrm>
                    <a:prstGeom prst="rect">
                      <a:avLst/>
                    </a:prstGeom>
                  </pic:spPr>
                </pic:pic>
              </a:graphicData>
            </a:graphic>
          </wp:inline>
        </w:drawing>
        <w:drawing>
          <wp:anchor behindDoc="0" distT="0" distB="0" distL="133985" distR="116205" simplePos="0" locked="0" layoutInCell="1" allowOverlap="1" relativeHeight="2">
            <wp:simplePos x="0" y="0"/>
            <wp:positionH relativeFrom="column">
              <wp:posOffset>3404870</wp:posOffset>
            </wp:positionH>
            <wp:positionV relativeFrom="paragraph">
              <wp:posOffset>18415</wp:posOffset>
            </wp:positionV>
            <wp:extent cx="2646680" cy="1827530"/>
            <wp:effectExtent l="0" t="0" r="0" b="0"/>
            <wp:wrapSquare wrapText="bothSides"/>
            <wp:docPr id="6"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3" descr=""/>
                    <pic:cNvPicPr>
                      <a:picLocks noChangeAspect="1" noChangeArrowheads="1"/>
                    </pic:cNvPicPr>
                  </pic:nvPicPr>
                  <pic:blipFill>
                    <a:blip r:embed="rId6"/>
                    <a:stretch>
                      <a:fillRect/>
                    </a:stretch>
                  </pic:blipFill>
                  <pic:spPr bwMode="auto">
                    <a:xfrm>
                      <a:off x="0" y="0"/>
                      <a:ext cx="2646680" cy="1827530"/>
                    </a:xfrm>
                    <a:prstGeom prst="rect">
                      <a:avLst/>
                    </a:prstGeom>
                  </pic:spPr>
                </pic:pic>
              </a:graphicData>
            </a:graphic>
          </wp:anchor>
        </w:drawing>
      </w:r>
    </w:p>
    <w:p>
      <w:pPr>
        <w:pStyle w:val="Normal"/>
        <w:jc w:val="both"/>
        <w:rPr>
          <w:lang w:val="en-US"/>
        </w:rPr>
      </w:pPr>
      <w:r>
        <w:rPr>
          <w:lang w:val="en-US"/>
        </w:rPr>
      </w:r>
    </w:p>
    <w:p>
      <w:pPr>
        <w:pStyle w:val="Normal"/>
        <w:spacing w:before="0" w:after="240"/>
        <w:jc w:val="center"/>
        <w:rPr>
          <w:i/>
          <w:i/>
        </w:rPr>
      </w:pPr>
      <w:r>
        <w:rPr/>
        <w:t xml:space="preserve">Рис. 3. </w:t>
      </w:r>
      <w:r>
        <w:rPr>
          <w:i/>
          <w:iCs/>
        </w:rPr>
        <w:t>Распределение квадрата недостающей массы</w:t>
      </w:r>
      <w:r>
        <w:rPr>
          <w:i/>
          <w:iCs/>
          <w:spacing w:val="1"/>
          <w:w w:val="120"/>
          <w:vertAlign w:val="superscript"/>
        </w:rPr>
        <w:t xml:space="preserve"> </w:t>
      </w:r>
      <w:r>
        <w:rPr>
          <w:i/>
          <w:iCs/>
          <w:spacing w:val="1"/>
          <w:w w:val="120"/>
        </w:rPr>
        <w:t>m</w:t>
      </w:r>
      <w:r>
        <w:rPr>
          <w:i/>
          <w:iCs/>
          <w:spacing w:val="1"/>
          <w:w w:val="120"/>
          <w:vertAlign w:val="superscript"/>
        </w:rPr>
        <w:t>2</w:t>
      </w:r>
      <w:r>
        <w:rPr>
          <w:i/>
          <w:iCs/>
          <w:spacing w:val="1"/>
          <w:w w:val="120"/>
          <w:vertAlign w:val="subscript"/>
        </w:rPr>
        <w:t>miss</w:t>
      </w:r>
      <w:r>
        <w:rPr>
          <w:i/>
          <w:iCs/>
          <w:spacing w:val="1"/>
          <w:w w:val="120"/>
        </w:rPr>
        <w:t xml:space="preserve"> = (P</w:t>
      </w:r>
      <w:r>
        <w:rPr>
          <w:i/>
          <w:iCs/>
          <w:spacing w:val="1"/>
          <w:w w:val="120"/>
          <w:vertAlign w:val="subscript"/>
        </w:rPr>
        <w:t>K</w:t>
      </w:r>
      <w:r>
        <w:rPr>
          <w:i/>
          <w:iCs/>
          <w:spacing w:val="1"/>
          <w:w w:val="120"/>
        </w:rPr>
        <w:t xml:space="preserve"> – P</w:t>
      </w:r>
      <w:r>
        <w:rPr>
          <w:i/>
          <w:iCs/>
          <w:spacing w:val="1"/>
          <w:w w:val="120"/>
          <w:vertAlign w:val="subscript"/>
        </w:rPr>
        <w:t>track</w:t>
      </w:r>
      <w:r>
        <w:rPr>
          <w:i/>
          <w:iCs/>
          <w:spacing w:val="1"/>
          <w:w w:val="120"/>
        </w:rPr>
        <w:t>)</w:t>
      </w:r>
      <w:r>
        <w:rPr>
          <w:i/>
          <w:iCs/>
          <w:spacing w:val="1"/>
          <w:w w:val="120"/>
          <w:vertAlign w:val="superscript"/>
        </w:rPr>
        <w:t>2</w:t>
      </w:r>
      <w:r>
        <w:rPr>
          <w:i/>
          <w:iCs/>
        </w:rPr>
        <w:t xml:space="preserve"> </w:t>
      </w:r>
      <w:r>
        <w:rPr>
          <w:i/>
        </w:rPr>
        <w:t>для сигнала (красная линия) и фоновых событий. Источники фона относятся к распадам, отделяемым (слева) и неотделяемым (справа) кинематически.</w:t>
      </w:r>
    </w:p>
    <w:p>
      <w:pPr>
        <w:pStyle w:val="Normal"/>
        <w:ind w:firstLine="567"/>
        <w:jc w:val="both"/>
        <w:rPr/>
      </w:pPr>
      <w:r>
        <w:rPr>
          <w:spacing w:val="7"/>
        </w:rPr>
        <w:t xml:space="preserve">Чтобы подавить фон от двухчастичных распадов, необходимы кинематические </w:t>
      </w:r>
      <w:r>
        <w:rPr/>
        <w:t xml:space="preserve">ограничения </w:t>
      </w:r>
      <w:r>
        <w:rPr>
          <w:spacing w:val="7"/>
        </w:rPr>
        <w:t xml:space="preserve">и идентификация частиц (ИЧ). Фоны от трех- и четырехчастичных распадов </w:t>
      </w:r>
      <w:r>
        <w:rPr>
          <w:i/>
          <w:iCs/>
          <w:lang w:val="en-US"/>
        </w:rPr>
        <w:t>K</w:t>
      </w:r>
      <w:r>
        <w:rPr>
          <w:i/>
          <w:iCs/>
          <w:vertAlign w:val="superscript"/>
        </w:rPr>
        <w:t>+</w:t>
      </w:r>
      <w:r>
        <w:rPr>
          <w:spacing w:val="7"/>
        </w:rPr>
        <w:t xml:space="preserve"> также значительны, что предполагает детальный анализ их свойств и применение конкретных методов отбраковки для каждого из них. </w:t>
      </w:r>
      <w:r>
        <w:rPr/>
        <w:t>Наиболее вероятные моды</w:t>
      </w:r>
      <w:r>
        <w:rPr>
          <w:i/>
          <w:iCs/>
        </w:rPr>
        <w:t xml:space="preserve"> </w:t>
      </w:r>
      <w:r>
        <w:rPr/>
        <w:t xml:space="preserve">распада </w:t>
      </w:r>
      <w:r>
        <w:rPr>
          <w:i/>
          <w:iCs/>
        </w:rPr>
        <w:t>K</w:t>
      </w:r>
      <w:r>
        <w:rPr>
          <w:i/>
          <w:iCs/>
          <w:vertAlign w:val="superscript"/>
        </w:rPr>
        <w:t>+</w:t>
      </w:r>
      <w:r>
        <w:rPr>
          <w:spacing w:val="7"/>
        </w:rPr>
        <w:t xml:space="preserve"> приведены в таблице 1 вместе с методами их подавления.</w:t>
      </w:r>
    </w:p>
    <w:p>
      <w:pPr>
        <w:pStyle w:val="WWPlainText"/>
        <w:jc w:val="center"/>
        <w:rPr>
          <w:iCs/>
          <w:spacing w:val="7"/>
          <w:sz w:val="22"/>
          <w:szCs w:val="22"/>
        </w:rPr>
      </w:pPr>
      <w:r>
        <w:rPr>
          <w:iCs/>
          <w:spacing w:val="7"/>
          <w:sz w:val="22"/>
          <w:szCs w:val="22"/>
        </w:rPr>
      </w:r>
    </w:p>
    <w:p>
      <w:pPr>
        <w:pStyle w:val="WWPlainText"/>
        <w:jc w:val="center"/>
        <w:rPr>
          <w:iCs/>
          <w:spacing w:val="7"/>
          <w:sz w:val="22"/>
          <w:szCs w:val="22"/>
        </w:rPr>
      </w:pPr>
      <w:r>
        <w:rPr>
          <w:iCs/>
          <w:spacing w:val="7"/>
          <w:sz w:val="22"/>
          <w:szCs w:val="22"/>
        </w:rPr>
      </w:r>
    </w:p>
    <w:p>
      <w:pPr>
        <w:pStyle w:val="WWPlainText"/>
        <w:jc w:val="center"/>
        <w:rPr>
          <w:iCs/>
          <w:spacing w:val="7"/>
          <w:sz w:val="22"/>
          <w:szCs w:val="22"/>
        </w:rPr>
      </w:pPr>
      <w:r>
        <w:rPr>
          <w:iCs/>
          <w:spacing w:val="7"/>
          <w:sz w:val="22"/>
          <w:szCs w:val="22"/>
        </w:rPr>
      </w:r>
    </w:p>
    <w:p>
      <w:pPr>
        <w:pStyle w:val="WWPlainText"/>
        <w:jc w:val="center"/>
        <w:rPr>
          <w:iCs/>
          <w:spacing w:val="7"/>
          <w:sz w:val="22"/>
          <w:szCs w:val="22"/>
        </w:rPr>
      </w:pPr>
      <w:r>
        <w:rPr>
          <w:iCs/>
          <w:spacing w:val="7"/>
          <w:sz w:val="22"/>
          <w:szCs w:val="22"/>
        </w:rPr>
      </w:r>
    </w:p>
    <w:p>
      <w:pPr>
        <w:pStyle w:val="Normal"/>
        <w:spacing w:lineRule="atLeast" w:line="100" w:before="0" w:after="240"/>
        <w:jc w:val="right"/>
        <w:rPr/>
      </w:pPr>
      <w:r>
        <w:rPr>
          <w:color w:val="000000"/>
          <w:spacing w:val="7"/>
        </w:rPr>
        <w:t xml:space="preserve">Таблица 1. Наиболее вероятные моды распада </w:t>
      </w:r>
      <w:r>
        <w:rPr>
          <w:i/>
          <w:iCs/>
          <w:spacing w:val="7"/>
        </w:rPr>
        <w:t>K</w:t>
      </w:r>
      <w:r>
        <w:rPr>
          <w:i/>
          <w:iCs/>
          <w:spacing w:val="7"/>
          <w:vertAlign w:val="superscript"/>
        </w:rPr>
        <w:t>+</w:t>
      </w:r>
      <w:r>
        <w:rPr>
          <w:color w:val="000000"/>
          <w:spacing w:val="7"/>
        </w:rPr>
        <w:t>.</w:t>
      </w:r>
    </w:p>
    <w:tbl>
      <w:tblPr>
        <w:tblW w:w="9217" w:type="dxa"/>
        <w:jc w:val="center"/>
        <w:tblInd w:w="0" w:type="dxa"/>
        <w:tblBorders>
          <w:top w:val="single" w:sz="4" w:space="0" w:color="000001"/>
          <w:left w:val="single" w:sz="4" w:space="0" w:color="000001"/>
          <w:bottom w:val="single" w:sz="4" w:space="0" w:color="000001"/>
          <w:insideH w:val="single" w:sz="4" w:space="0" w:color="000001"/>
        </w:tblBorders>
        <w:tblCellMar>
          <w:top w:w="0" w:type="dxa"/>
          <w:left w:w="-5" w:type="dxa"/>
          <w:bottom w:w="0" w:type="dxa"/>
          <w:right w:w="40" w:type="dxa"/>
        </w:tblCellMar>
        <w:tblLook w:val="0000" w:noVBand="0" w:noHBand="0" w:lastColumn="0" w:firstColumn="0" w:lastRow="0" w:firstRow="0"/>
      </w:tblPr>
      <w:tblGrid>
        <w:gridCol w:w="1624"/>
        <w:gridCol w:w="3119"/>
        <w:gridCol w:w="4474"/>
      </w:tblGrid>
      <w:tr>
        <w:trPr>
          <w:trHeight w:val="394" w:hRule="exact"/>
        </w:trPr>
        <w:tc>
          <w:tcPr>
            <w:tcW w:w="1624" w:type="dxa"/>
            <w:tcBorders>
              <w:top w:val="single" w:sz="4" w:space="0" w:color="000001"/>
              <w:left w:val="single" w:sz="4" w:space="0" w:color="000001"/>
              <w:bottom w:val="single" w:sz="4" w:space="0" w:color="000001"/>
              <w:insideH w:val="single" w:sz="4" w:space="0" w:color="000001"/>
            </w:tcBorders>
            <w:shd w:color="auto" w:fill="FFFFFF" w:val="clear"/>
            <w:tcMar>
              <w:left w:w="-5" w:type="dxa"/>
            </w:tcMar>
          </w:tcPr>
          <w:p>
            <w:pPr>
              <w:pStyle w:val="Normal"/>
              <w:snapToGrid w:val="false"/>
              <w:spacing w:lineRule="atLeast" w:line="100"/>
              <w:ind w:left="29" w:hanging="0"/>
              <w:jc w:val="center"/>
              <w:rPr/>
            </w:pPr>
            <w:r>
              <w:rPr/>
              <w:t>Распад</w:t>
            </w:r>
          </w:p>
        </w:tc>
        <w:tc>
          <w:tcPr>
            <w:tcW w:w="3119" w:type="dxa"/>
            <w:tcBorders>
              <w:top w:val="single" w:sz="4" w:space="0" w:color="000001"/>
              <w:left w:val="single" w:sz="4" w:space="0" w:color="000001"/>
              <w:bottom w:val="single" w:sz="4" w:space="0" w:color="000001"/>
              <w:insideH w:val="single" w:sz="4" w:space="0" w:color="000001"/>
            </w:tcBorders>
            <w:shd w:color="auto" w:fill="FFFFFF" w:val="clear"/>
            <w:tcMar>
              <w:left w:w="-5" w:type="dxa"/>
            </w:tcMar>
          </w:tcPr>
          <w:p>
            <w:pPr>
              <w:pStyle w:val="Normal"/>
              <w:snapToGrid w:val="false"/>
              <w:spacing w:lineRule="atLeast" w:line="100"/>
              <w:jc w:val="center"/>
              <w:rPr/>
            </w:pPr>
            <w:r>
              <w:rPr/>
              <w:t>Парциальная ширина</w:t>
            </w:r>
          </w:p>
        </w:tc>
        <w:tc>
          <w:tcPr>
            <w:tcW w:w="44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tcPr>
          <w:p>
            <w:pPr>
              <w:pStyle w:val="Heading1"/>
              <w:tabs>
                <w:tab w:val="left" w:pos="0" w:leader="none"/>
              </w:tabs>
              <w:snapToGrid w:val="false"/>
              <w:spacing w:lineRule="atLeast" w:line="100" w:before="28" w:after="28"/>
              <w:jc w:val="center"/>
              <w:rPr/>
            </w:pPr>
            <w:r>
              <w:rPr/>
              <w:t>Техника отбраковки фона</w:t>
            </w:r>
          </w:p>
        </w:tc>
      </w:tr>
      <w:tr>
        <w:trPr>
          <w:trHeight w:val="612" w:hRule="exact"/>
        </w:trPr>
        <w:tc>
          <w:tcPr>
            <w:tcW w:w="1624" w:type="dxa"/>
            <w:tcBorders>
              <w:top w:val="single" w:sz="4" w:space="0" w:color="000001"/>
              <w:left w:val="single" w:sz="4" w:space="0" w:color="000001"/>
              <w:bottom w:val="single" w:sz="4" w:space="0" w:color="000001"/>
              <w:insideH w:val="single" w:sz="4" w:space="0" w:color="000001"/>
            </w:tcBorders>
            <w:shd w:color="auto" w:fill="FFFFFF" w:val="clear"/>
            <w:tcMar>
              <w:left w:w="-5" w:type="dxa"/>
            </w:tcMar>
          </w:tcPr>
          <w:p>
            <w:pPr>
              <w:pStyle w:val="Normal"/>
              <w:shd w:val="clear" w:color="auto" w:fill="FFFFFF"/>
              <w:snapToGrid w:val="false"/>
              <w:ind w:left="29" w:hanging="0"/>
              <w:rPr>
                <w:i/>
                <w:i/>
                <w:iCs/>
                <w:spacing w:val="1"/>
                <w:w w:val="120"/>
              </w:rPr>
            </w:pPr>
            <w:r>
              <w:rPr>
                <w:i/>
                <w:iCs/>
                <w:spacing w:val="1"/>
                <w:w w:val="120"/>
              </w:rPr>
              <w:t>K</w:t>
            </w:r>
            <w:r>
              <w:rPr>
                <w:i/>
                <w:iCs/>
                <w:spacing w:val="1"/>
                <w:w w:val="120"/>
                <w:vertAlign w:val="superscript"/>
              </w:rPr>
              <w:t>+</w:t>
            </w:r>
            <w:r>
              <w:rPr>
                <w:i/>
                <w:iCs/>
                <w:spacing w:val="1"/>
                <w:w w:val="120"/>
              </w:rPr>
              <w:t xml:space="preserve"> </w:t>
            </w:r>
            <w:r>
              <w:rPr>
                <w:rFonts w:ascii="Symbol" w:hAnsi="Symbol"/>
                <w:i/>
                <w:iCs/>
                <w:spacing w:val="1"/>
                <w:w w:val="120"/>
              </w:rPr>
              <w:t></w:t>
            </w:r>
            <w:r>
              <w:rPr>
                <w:i/>
                <w:iCs/>
                <w:spacing w:val="1"/>
                <w:w w:val="120"/>
                <w:vertAlign w:val="superscript"/>
              </w:rPr>
              <w:t>+</w:t>
            </w:r>
            <w:r>
              <w:rPr>
                <w:rFonts w:ascii="Symbol" w:hAnsi="Symbol"/>
                <w:i/>
                <w:iCs/>
                <w:spacing w:val="1"/>
                <w:w w:val="120"/>
              </w:rPr>
              <w:t></w:t>
            </w:r>
            <w:r>
              <w:rPr>
                <w:i/>
                <w:iCs/>
                <w:spacing w:val="1"/>
                <w:w w:val="120"/>
              </w:rPr>
              <w:t xml:space="preserve"> </w:t>
            </w:r>
          </w:p>
        </w:tc>
        <w:tc>
          <w:tcPr>
            <w:tcW w:w="3119" w:type="dxa"/>
            <w:tcBorders>
              <w:top w:val="single" w:sz="4" w:space="0" w:color="000001"/>
              <w:left w:val="single" w:sz="4" w:space="0" w:color="000001"/>
              <w:bottom w:val="single" w:sz="4" w:space="0" w:color="000001"/>
              <w:insideH w:val="single" w:sz="4" w:space="0" w:color="000001"/>
            </w:tcBorders>
            <w:shd w:color="auto" w:fill="FFFFFF" w:val="clear"/>
            <w:tcMar>
              <w:left w:w="-5" w:type="dxa"/>
            </w:tcMar>
          </w:tcPr>
          <w:p>
            <w:pPr>
              <w:pStyle w:val="Normal"/>
              <w:shd w:val="clear" w:color="auto" w:fill="FFFFFF"/>
              <w:snapToGrid w:val="false"/>
              <w:jc w:val="center"/>
              <w:rPr>
                <w:i/>
                <w:i/>
                <w:iCs/>
                <w:spacing w:val="9"/>
              </w:rPr>
            </w:pPr>
            <w:r>
              <w:rPr>
                <w:spacing w:val="9"/>
              </w:rPr>
              <w:t xml:space="preserve">63% (так называемый </w:t>
            </w:r>
            <w:r>
              <w:rPr>
                <w:i/>
                <w:iCs/>
                <w:spacing w:val="9"/>
              </w:rPr>
              <w:t>K</w:t>
            </w:r>
            <w:r>
              <w:rPr>
                <w:rFonts w:ascii="Symbol" w:hAnsi="Symbol"/>
                <w:i/>
                <w:iCs/>
                <w:spacing w:val="0"/>
                <w:sz w:val="32"/>
                <w:szCs w:val="32"/>
                <w:vertAlign w:val="subscript"/>
              </w:rPr>
              <w:t></w:t>
            </w:r>
            <w:r>
              <w:rPr>
                <w:i/>
                <w:iCs/>
                <w:spacing w:val="0"/>
                <w:vertAlign w:val="subscript"/>
              </w:rPr>
              <w:t>2</w:t>
            </w:r>
            <w:r>
              <w:rPr>
                <w:i/>
                <w:iCs/>
                <w:spacing w:val="0"/>
                <w:vertAlign w:val="superscript"/>
              </w:rPr>
              <w:t>+</w:t>
            </w:r>
            <w:r>
              <w:rPr>
                <w:i/>
                <w:iCs/>
                <w:spacing w:val="9"/>
              </w:rPr>
              <w:t>)</w:t>
            </w:r>
          </w:p>
        </w:tc>
        <w:tc>
          <w:tcPr>
            <w:tcW w:w="44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tcPr>
          <w:p>
            <w:pPr>
              <w:pStyle w:val="Normal"/>
              <w:snapToGrid w:val="false"/>
              <w:spacing w:lineRule="atLeast" w:line="100"/>
              <w:jc w:val="center"/>
              <w:rPr/>
            </w:pPr>
            <w:r>
              <w:rPr>
                <w:rFonts w:eastAsia="Verdana" w:cs="Verdana"/>
                <w:i/>
                <w:iCs/>
              </w:rPr>
              <w:t>Идентификация мюона</w:t>
            </w:r>
            <w:r>
              <w:rPr/>
              <w:t xml:space="preserve">, двухчастичная кинематика </w:t>
            </w:r>
          </w:p>
        </w:tc>
      </w:tr>
      <w:tr>
        <w:trPr>
          <w:trHeight w:val="365" w:hRule="exact"/>
        </w:trPr>
        <w:tc>
          <w:tcPr>
            <w:tcW w:w="1624" w:type="dxa"/>
            <w:tcBorders>
              <w:top w:val="single" w:sz="4" w:space="0" w:color="000001"/>
              <w:left w:val="single" w:sz="4" w:space="0" w:color="000001"/>
              <w:bottom w:val="single" w:sz="4" w:space="0" w:color="000001"/>
              <w:insideH w:val="single" w:sz="4" w:space="0" w:color="000001"/>
            </w:tcBorders>
            <w:shd w:color="auto" w:fill="FFFFFF" w:val="clear"/>
            <w:tcMar>
              <w:left w:w="-5" w:type="dxa"/>
            </w:tcMar>
          </w:tcPr>
          <w:p>
            <w:pPr>
              <w:pStyle w:val="Normal"/>
              <w:shd w:val="clear" w:color="auto" w:fill="FFFFFF"/>
              <w:snapToGrid w:val="false"/>
              <w:ind w:left="29" w:hanging="0"/>
              <w:rPr>
                <w:i/>
                <w:i/>
                <w:iCs/>
                <w:spacing w:val="1"/>
                <w:w w:val="120"/>
                <w:vertAlign w:val="superscript"/>
              </w:rPr>
            </w:pPr>
            <w:r>
              <w:rPr>
                <w:i/>
                <w:iCs/>
                <w:spacing w:val="1"/>
                <w:w w:val="120"/>
              </w:rPr>
              <w:t>K</w:t>
            </w:r>
            <w:r>
              <w:rPr>
                <w:i/>
                <w:iCs/>
                <w:spacing w:val="1"/>
                <w:w w:val="120"/>
                <w:vertAlign w:val="superscript"/>
              </w:rPr>
              <w:t>+</w:t>
            </w:r>
            <w:r>
              <w:rPr>
                <w:i/>
                <w:iCs/>
                <w:spacing w:val="1"/>
                <w:w w:val="120"/>
              </w:rPr>
              <w:t xml:space="preserve"> </w:t>
            </w:r>
            <w:r>
              <w:rPr>
                <w:rFonts w:ascii="Symbol" w:hAnsi="Symbol"/>
                <w:i/>
                <w:iCs/>
                <w:spacing w:val="1"/>
                <w:w w:val="120"/>
              </w:rPr>
              <w:t></w:t>
            </w:r>
            <w:r>
              <w:rPr>
                <w:i/>
                <w:iCs/>
                <w:spacing w:val="1"/>
                <w:w w:val="120"/>
                <w:vertAlign w:val="superscript"/>
              </w:rPr>
              <w:t>+</w:t>
            </w:r>
            <w:r>
              <w:rPr>
                <w:rFonts w:ascii="Symbol" w:hAnsi="Symbol"/>
                <w:i/>
                <w:iCs/>
                <w:spacing w:val="1"/>
                <w:w w:val="120"/>
              </w:rPr>
              <w:t></w:t>
            </w:r>
            <w:r>
              <w:rPr>
                <w:i/>
                <w:iCs/>
                <w:spacing w:val="1"/>
                <w:w w:val="120"/>
                <w:vertAlign w:val="superscript"/>
              </w:rPr>
              <w:t>0</w:t>
            </w:r>
          </w:p>
        </w:tc>
        <w:tc>
          <w:tcPr>
            <w:tcW w:w="3119" w:type="dxa"/>
            <w:tcBorders>
              <w:top w:val="single" w:sz="4" w:space="0" w:color="000001"/>
              <w:left w:val="single" w:sz="4" w:space="0" w:color="000001"/>
              <w:bottom w:val="single" w:sz="4" w:space="0" w:color="000001"/>
              <w:insideH w:val="single" w:sz="4" w:space="0" w:color="000001"/>
            </w:tcBorders>
            <w:shd w:color="auto" w:fill="FFFFFF" w:val="clear"/>
            <w:tcMar>
              <w:left w:w="-5" w:type="dxa"/>
            </w:tcMar>
          </w:tcPr>
          <w:p>
            <w:pPr>
              <w:pStyle w:val="Normal"/>
              <w:shd w:val="clear" w:color="auto" w:fill="FFFFFF"/>
              <w:snapToGrid w:val="false"/>
              <w:jc w:val="center"/>
              <w:rPr/>
            </w:pPr>
            <w:r>
              <w:rPr/>
              <w:t>21%</w:t>
            </w:r>
          </w:p>
        </w:tc>
        <w:tc>
          <w:tcPr>
            <w:tcW w:w="44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tcPr>
          <w:p>
            <w:pPr>
              <w:pStyle w:val="Normal"/>
              <w:snapToGrid w:val="false"/>
              <w:spacing w:lineRule="atLeast" w:line="100"/>
              <w:jc w:val="center"/>
              <w:rPr/>
            </w:pPr>
            <w:r>
              <w:rPr/>
              <w:t>вето фотонов, двухчастичная кинематика</w:t>
            </w:r>
          </w:p>
        </w:tc>
      </w:tr>
      <w:tr>
        <w:trPr>
          <w:trHeight w:val="374" w:hRule="exact"/>
        </w:trPr>
        <w:tc>
          <w:tcPr>
            <w:tcW w:w="1624" w:type="dxa"/>
            <w:tcBorders>
              <w:top w:val="single" w:sz="4" w:space="0" w:color="000001"/>
              <w:left w:val="single" w:sz="4" w:space="0" w:color="000001"/>
              <w:bottom w:val="single" w:sz="4" w:space="0" w:color="000001"/>
              <w:insideH w:val="single" w:sz="4" w:space="0" w:color="000001"/>
            </w:tcBorders>
            <w:shd w:color="auto" w:fill="FFFFFF" w:val="clear"/>
            <w:tcMar>
              <w:left w:w="-5" w:type="dxa"/>
            </w:tcMar>
          </w:tcPr>
          <w:p>
            <w:pPr>
              <w:pStyle w:val="Normal"/>
              <w:shd w:val="clear" w:color="auto" w:fill="FFFFFF"/>
              <w:snapToGrid w:val="false"/>
              <w:ind w:left="29" w:hanging="0"/>
              <w:rPr>
                <w:i/>
                <w:i/>
                <w:iCs/>
                <w:spacing w:val="1"/>
                <w:w w:val="120"/>
                <w:vertAlign w:val="superscript"/>
              </w:rPr>
            </w:pPr>
            <w:r>
              <w:rPr>
                <w:i/>
                <w:iCs/>
                <w:spacing w:val="1"/>
                <w:w w:val="120"/>
              </w:rPr>
              <w:t>K</w:t>
            </w:r>
            <w:r>
              <w:rPr>
                <w:i/>
                <w:iCs/>
                <w:spacing w:val="1"/>
                <w:w w:val="120"/>
                <w:vertAlign w:val="superscript"/>
              </w:rPr>
              <w:t>+</w:t>
            </w:r>
            <w:r>
              <w:rPr>
                <w:i/>
                <w:iCs/>
                <w:spacing w:val="1"/>
                <w:w w:val="120"/>
              </w:rPr>
              <w:t xml:space="preserve"> </w:t>
            </w:r>
            <w:r>
              <w:rPr>
                <w:rFonts w:ascii="Symbol" w:hAnsi="Symbol"/>
                <w:i/>
                <w:iCs/>
                <w:spacing w:val="1"/>
                <w:w w:val="120"/>
              </w:rPr>
              <w:t></w:t>
            </w:r>
            <w:r>
              <w:rPr>
                <w:i/>
                <w:iCs/>
                <w:spacing w:val="1"/>
                <w:w w:val="120"/>
                <w:vertAlign w:val="superscript"/>
              </w:rPr>
              <w:t>+</w:t>
            </w:r>
            <w:r>
              <w:rPr>
                <w:rFonts w:ascii="Symbol" w:hAnsi="Symbol"/>
                <w:i/>
                <w:iCs/>
                <w:spacing w:val="1"/>
                <w:w w:val="120"/>
              </w:rPr>
              <w:t></w:t>
            </w:r>
            <w:r>
              <w:rPr>
                <w:i/>
                <w:iCs/>
                <w:spacing w:val="1"/>
                <w:w w:val="120"/>
                <w:vertAlign w:val="superscript"/>
              </w:rPr>
              <w:t>+</w:t>
            </w:r>
            <w:r>
              <w:rPr>
                <w:rFonts w:ascii="Symbol" w:hAnsi="Symbol"/>
                <w:i/>
                <w:iCs/>
                <w:spacing w:val="1"/>
                <w:w w:val="120"/>
              </w:rPr>
              <w:t></w:t>
            </w:r>
            <w:r>
              <w:rPr>
                <w:i/>
                <w:iCs/>
                <w:spacing w:val="1"/>
                <w:w w:val="120"/>
                <w:vertAlign w:val="superscript"/>
              </w:rPr>
              <w:t>-</w:t>
            </w:r>
          </w:p>
        </w:tc>
        <w:tc>
          <w:tcPr>
            <w:tcW w:w="3119" w:type="dxa"/>
            <w:tcBorders>
              <w:top w:val="single" w:sz="4" w:space="0" w:color="000001"/>
              <w:left w:val="single" w:sz="4" w:space="0" w:color="000001"/>
              <w:bottom w:val="single" w:sz="4" w:space="0" w:color="000001"/>
              <w:insideH w:val="single" w:sz="4" w:space="0" w:color="000001"/>
            </w:tcBorders>
            <w:shd w:color="auto" w:fill="FFFFFF" w:val="clear"/>
            <w:tcMar>
              <w:left w:w="-5" w:type="dxa"/>
            </w:tcMar>
          </w:tcPr>
          <w:p>
            <w:pPr>
              <w:pStyle w:val="Normal"/>
              <w:shd w:val="clear" w:color="auto" w:fill="FFFFFF"/>
              <w:snapToGrid w:val="false"/>
              <w:jc w:val="center"/>
              <w:rPr/>
            </w:pPr>
            <w:r>
              <w:rPr/>
              <w:t>6%</w:t>
            </w:r>
          </w:p>
        </w:tc>
        <w:tc>
          <w:tcPr>
            <w:tcW w:w="44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tcPr>
          <w:p>
            <w:pPr>
              <w:pStyle w:val="Normal"/>
              <w:snapToGrid w:val="false"/>
              <w:spacing w:lineRule="atLeast" w:line="100"/>
              <w:jc w:val="center"/>
              <w:rPr/>
            </w:pPr>
            <w:r>
              <w:rPr/>
              <w:t>вето заряженных частиц, кинематика</w:t>
            </w:r>
          </w:p>
        </w:tc>
      </w:tr>
      <w:tr>
        <w:trPr>
          <w:trHeight w:val="374" w:hRule="exact"/>
        </w:trPr>
        <w:tc>
          <w:tcPr>
            <w:tcW w:w="1624" w:type="dxa"/>
            <w:tcBorders>
              <w:top w:val="single" w:sz="4" w:space="0" w:color="000001"/>
              <w:left w:val="single" w:sz="4" w:space="0" w:color="000001"/>
              <w:bottom w:val="single" w:sz="4" w:space="0" w:color="000001"/>
              <w:insideH w:val="single" w:sz="4" w:space="0" w:color="000001"/>
            </w:tcBorders>
            <w:shd w:color="auto" w:fill="FFFFFF" w:val="clear"/>
            <w:tcMar>
              <w:left w:w="-5" w:type="dxa"/>
            </w:tcMar>
          </w:tcPr>
          <w:p>
            <w:pPr>
              <w:pStyle w:val="Normal"/>
              <w:shd w:val="clear" w:color="auto" w:fill="FFFFFF"/>
              <w:snapToGrid w:val="false"/>
              <w:ind w:left="29" w:hanging="0"/>
              <w:rPr>
                <w:i/>
                <w:i/>
                <w:iCs/>
                <w:spacing w:val="1"/>
                <w:w w:val="120"/>
                <w:vertAlign w:val="superscript"/>
              </w:rPr>
            </w:pPr>
            <w:r>
              <w:rPr>
                <w:i/>
                <w:iCs/>
                <w:spacing w:val="1"/>
                <w:w w:val="120"/>
              </w:rPr>
              <w:t>K</w:t>
            </w:r>
            <w:r>
              <w:rPr>
                <w:i/>
                <w:iCs/>
                <w:spacing w:val="1"/>
                <w:w w:val="120"/>
                <w:vertAlign w:val="superscript"/>
              </w:rPr>
              <w:t>+</w:t>
            </w:r>
            <w:r>
              <w:rPr>
                <w:i/>
                <w:iCs/>
                <w:spacing w:val="1"/>
                <w:w w:val="120"/>
              </w:rPr>
              <w:t xml:space="preserve"> </w:t>
            </w:r>
            <w:r>
              <w:rPr>
                <w:rFonts w:ascii="Symbol" w:hAnsi="Symbol"/>
                <w:i/>
                <w:iCs/>
                <w:spacing w:val="1"/>
                <w:w w:val="120"/>
              </w:rPr>
              <w:t></w:t>
            </w:r>
            <w:r>
              <w:rPr>
                <w:i/>
                <w:iCs/>
                <w:spacing w:val="1"/>
                <w:w w:val="120"/>
                <w:vertAlign w:val="superscript"/>
              </w:rPr>
              <w:t>+</w:t>
            </w:r>
            <w:r>
              <w:rPr>
                <w:rFonts w:ascii="Symbol" w:hAnsi="Symbol"/>
                <w:i/>
                <w:iCs/>
                <w:spacing w:val="1"/>
                <w:w w:val="120"/>
              </w:rPr>
              <w:t></w:t>
            </w:r>
            <w:r>
              <w:rPr>
                <w:i/>
                <w:iCs/>
                <w:spacing w:val="1"/>
                <w:w w:val="120"/>
                <w:vertAlign w:val="superscript"/>
              </w:rPr>
              <w:t>0</w:t>
            </w:r>
            <w:r>
              <w:rPr>
                <w:rFonts w:ascii="Symbol" w:hAnsi="Symbol"/>
                <w:i/>
                <w:iCs/>
                <w:spacing w:val="1"/>
                <w:w w:val="120"/>
              </w:rPr>
              <w:t></w:t>
            </w:r>
            <w:r>
              <w:rPr>
                <w:i/>
                <w:iCs/>
                <w:spacing w:val="1"/>
                <w:w w:val="120"/>
                <w:vertAlign w:val="superscript"/>
              </w:rPr>
              <w:t>0</w:t>
            </w:r>
          </w:p>
        </w:tc>
        <w:tc>
          <w:tcPr>
            <w:tcW w:w="3119" w:type="dxa"/>
            <w:tcBorders>
              <w:top w:val="single" w:sz="4" w:space="0" w:color="000001"/>
              <w:left w:val="single" w:sz="4" w:space="0" w:color="000001"/>
              <w:bottom w:val="single" w:sz="4" w:space="0" w:color="000001"/>
              <w:insideH w:val="single" w:sz="4" w:space="0" w:color="000001"/>
            </w:tcBorders>
            <w:shd w:color="auto" w:fill="FFFFFF" w:val="clear"/>
            <w:tcMar>
              <w:left w:w="-5" w:type="dxa"/>
            </w:tcMar>
          </w:tcPr>
          <w:p>
            <w:pPr>
              <w:pStyle w:val="Normal"/>
              <w:shd w:val="clear" w:color="auto" w:fill="FFFFFF"/>
              <w:snapToGrid w:val="false"/>
              <w:jc w:val="center"/>
              <w:rPr/>
            </w:pPr>
            <w:r>
              <w:rPr/>
              <w:t>2%</w:t>
            </w:r>
          </w:p>
        </w:tc>
        <w:tc>
          <w:tcPr>
            <w:tcW w:w="44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tcPr>
          <w:p>
            <w:pPr>
              <w:pStyle w:val="Normal"/>
              <w:snapToGrid w:val="false"/>
              <w:spacing w:lineRule="atLeast" w:line="100"/>
              <w:jc w:val="center"/>
              <w:rPr/>
            </w:pPr>
            <w:r>
              <w:rPr/>
              <w:t>вето фотонов, кинематика</w:t>
            </w:r>
          </w:p>
        </w:tc>
      </w:tr>
      <w:tr>
        <w:trPr>
          <w:trHeight w:val="384" w:hRule="exact"/>
        </w:trPr>
        <w:tc>
          <w:tcPr>
            <w:tcW w:w="1624" w:type="dxa"/>
            <w:tcBorders>
              <w:top w:val="single" w:sz="4" w:space="0" w:color="000001"/>
              <w:left w:val="single" w:sz="4" w:space="0" w:color="000001"/>
              <w:bottom w:val="single" w:sz="4" w:space="0" w:color="000001"/>
              <w:insideH w:val="single" w:sz="4" w:space="0" w:color="000001"/>
            </w:tcBorders>
            <w:shd w:color="auto" w:fill="FFFFFF" w:val="clear"/>
            <w:tcMar>
              <w:left w:w="-5" w:type="dxa"/>
            </w:tcMar>
          </w:tcPr>
          <w:p>
            <w:pPr>
              <w:pStyle w:val="Normal"/>
              <w:shd w:val="clear" w:color="auto" w:fill="FFFFFF"/>
              <w:snapToGrid w:val="false"/>
              <w:ind w:left="29" w:hanging="0"/>
              <w:rPr>
                <w:rFonts w:ascii="Symbol" w:hAnsi="Symbol"/>
                <w:i/>
                <w:i/>
                <w:iCs/>
                <w:spacing w:val="1"/>
                <w:w w:val="120"/>
              </w:rPr>
            </w:pPr>
            <w:r>
              <w:rPr>
                <w:i/>
                <w:iCs/>
                <w:spacing w:val="1"/>
                <w:w w:val="120"/>
              </w:rPr>
              <w:t>K</w:t>
            </w:r>
            <w:r>
              <w:rPr>
                <w:i/>
                <w:iCs/>
                <w:spacing w:val="1"/>
                <w:w w:val="120"/>
                <w:vertAlign w:val="superscript"/>
              </w:rPr>
              <w:t>+</w:t>
            </w:r>
            <w:r>
              <w:rPr>
                <w:i/>
                <w:iCs/>
                <w:spacing w:val="1"/>
                <w:w w:val="120"/>
              </w:rPr>
              <w:t xml:space="preserve"> </w:t>
            </w:r>
            <w:r>
              <w:rPr>
                <w:rFonts w:ascii="Symbol" w:hAnsi="Symbol"/>
                <w:i/>
                <w:iCs/>
                <w:spacing w:val="1"/>
                <w:w w:val="120"/>
              </w:rPr>
              <w:t></w:t>
            </w:r>
            <w:r>
              <w:rPr>
                <w:i/>
                <w:iCs/>
                <w:spacing w:val="1"/>
                <w:w w:val="120"/>
                <w:vertAlign w:val="superscript"/>
              </w:rPr>
              <w:t>0</w:t>
            </w:r>
            <w:r>
              <w:rPr>
                <w:rFonts w:ascii="Symbol" w:hAnsi="Symbol"/>
                <w:i/>
                <w:iCs/>
                <w:spacing w:val="1"/>
                <w:w w:val="120"/>
              </w:rPr>
              <w:t></w:t>
            </w:r>
            <w:r>
              <w:rPr>
                <w:i/>
                <w:iCs/>
                <w:spacing w:val="1"/>
                <w:w w:val="120"/>
                <w:vertAlign w:val="superscript"/>
              </w:rPr>
              <w:t>+</w:t>
            </w:r>
            <w:r>
              <w:rPr>
                <w:rFonts w:ascii="Symbol" w:hAnsi="Symbol"/>
                <w:i/>
                <w:iCs/>
                <w:spacing w:val="1"/>
                <w:w w:val="120"/>
              </w:rPr>
              <w:t></w:t>
            </w:r>
          </w:p>
        </w:tc>
        <w:tc>
          <w:tcPr>
            <w:tcW w:w="3119" w:type="dxa"/>
            <w:tcBorders>
              <w:top w:val="single" w:sz="4" w:space="0" w:color="000001"/>
              <w:left w:val="single" w:sz="4" w:space="0" w:color="000001"/>
              <w:bottom w:val="single" w:sz="4" w:space="0" w:color="000001"/>
              <w:insideH w:val="single" w:sz="4" w:space="0" w:color="000001"/>
            </w:tcBorders>
            <w:shd w:color="auto" w:fill="FFFFFF" w:val="clear"/>
            <w:tcMar>
              <w:left w:w="-5" w:type="dxa"/>
            </w:tcMar>
          </w:tcPr>
          <w:p>
            <w:pPr>
              <w:pStyle w:val="Normal"/>
              <w:shd w:val="clear" w:color="auto" w:fill="FFFFFF"/>
              <w:snapToGrid w:val="false"/>
              <w:jc w:val="center"/>
              <w:rPr>
                <w:i/>
                <w:i/>
                <w:iCs/>
                <w:spacing w:val="0"/>
              </w:rPr>
            </w:pPr>
            <w:r>
              <w:rPr>
                <w:spacing w:val="0"/>
              </w:rPr>
              <w:t>3% (т</w:t>
            </w:r>
            <w:r>
              <w:rPr>
                <w:spacing w:val="9"/>
              </w:rPr>
              <w:t>ак называемый</w:t>
            </w:r>
            <w:r>
              <w:rPr>
                <w:spacing w:val="0"/>
              </w:rPr>
              <w:t xml:space="preserve"> </w:t>
            </w:r>
            <w:r>
              <w:rPr>
                <w:i/>
                <w:iCs/>
                <w:spacing w:val="0"/>
              </w:rPr>
              <w:t>K</w:t>
            </w:r>
            <w:r>
              <w:rPr>
                <w:rFonts w:ascii="Symbol" w:hAnsi="Symbol"/>
                <w:i/>
                <w:iCs/>
                <w:spacing w:val="0"/>
                <w:vertAlign w:val="subscript"/>
              </w:rPr>
              <w:t></w:t>
            </w:r>
            <w:r>
              <w:rPr>
                <w:i/>
                <w:iCs/>
                <w:spacing w:val="0"/>
                <w:vertAlign w:val="subscript"/>
              </w:rPr>
              <w:t>3</w:t>
            </w:r>
            <w:r>
              <w:rPr>
                <w:i/>
                <w:iCs/>
                <w:spacing w:val="0"/>
                <w:vertAlign w:val="superscript"/>
              </w:rPr>
              <w:t>+</w:t>
            </w:r>
            <w:r>
              <w:rPr>
                <w:i/>
                <w:iCs/>
                <w:spacing w:val="0"/>
              </w:rPr>
              <w:t>)</w:t>
            </w:r>
          </w:p>
        </w:tc>
        <w:tc>
          <w:tcPr>
            <w:tcW w:w="44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tcPr>
          <w:p>
            <w:pPr>
              <w:pStyle w:val="Normal"/>
              <w:snapToGrid w:val="false"/>
              <w:spacing w:lineRule="atLeast" w:line="100"/>
              <w:jc w:val="center"/>
              <w:rPr>
                <w:rFonts w:eastAsia="Verdana" w:cs="Verdana"/>
              </w:rPr>
            </w:pPr>
            <w:r>
              <w:rPr/>
              <w:t xml:space="preserve">вето фотонов, </w:t>
            </w:r>
            <w:r>
              <w:rPr>
                <w:rFonts w:eastAsia="Verdana" w:cs="Verdana"/>
              </w:rPr>
              <w:t>идентификация мюонов</w:t>
            </w:r>
          </w:p>
        </w:tc>
      </w:tr>
      <w:tr>
        <w:trPr>
          <w:trHeight w:val="394" w:hRule="exact"/>
        </w:trPr>
        <w:tc>
          <w:tcPr>
            <w:tcW w:w="1624" w:type="dxa"/>
            <w:tcBorders>
              <w:top w:val="single" w:sz="4" w:space="0" w:color="000001"/>
              <w:left w:val="single" w:sz="4" w:space="0" w:color="000001"/>
              <w:bottom w:val="single" w:sz="4" w:space="0" w:color="000001"/>
              <w:insideH w:val="single" w:sz="4" w:space="0" w:color="000001"/>
            </w:tcBorders>
            <w:shd w:color="auto" w:fill="FFFFFF" w:val="clear"/>
            <w:tcMar>
              <w:left w:w="-5" w:type="dxa"/>
            </w:tcMar>
          </w:tcPr>
          <w:p>
            <w:pPr>
              <w:pStyle w:val="Normal"/>
              <w:shd w:val="clear" w:color="auto" w:fill="FFFFFF"/>
              <w:snapToGrid w:val="false"/>
              <w:rPr>
                <w:rFonts w:ascii="Symbol" w:hAnsi="Symbol"/>
                <w:i/>
                <w:i/>
                <w:iCs/>
                <w:spacing w:val="1"/>
                <w:w w:val="120"/>
              </w:rPr>
            </w:pPr>
            <w:r>
              <w:rPr>
                <w:i/>
                <w:iCs/>
                <w:spacing w:val="1"/>
                <w:w w:val="120"/>
              </w:rPr>
              <w:t>K</w:t>
            </w:r>
            <w:r>
              <w:rPr>
                <w:i/>
                <w:iCs/>
                <w:spacing w:val="1"/>
                <w:w w:val="120"/>
                <w:vertAlign w:val="superscript"/>
              </w:rPr>
              <w:t>+</w:t>
            </w:r>
            <w:r>
              <w:rPr>
                <w:i/>
                <w:iCs/>
                <w:spacing w:val="1"/>
                <w:w w:val="120"/>
              </w:rPr>
              <w:t xml:space="preserve"> </w:t>
            </w:r>
            <w:r>
              <w:rPr>
                <w:rFonts w:ascii="Symbol" w:hAnsi="Symbol"/>
                <w:i/>
                <w:iCs/>
                <w:spacing w:val="1"/>
                <w:w w:val="120"/>
              </w:rPr>
              <w:t></w:t>
            </w:r>
            <w:r>
              <w:rPr>
                <w:i/>
                <w:iCs/>
                <w:spacing w:val="1"/>
                <w:w w:val="120"/>
                <w:vertAlign w:val="superscript"/>
              </w:rPr>
              <w:t>0</w:t>
            </w:r>
            <w:r>
              <w:rPr>
                <w:i/>
                <w:iCs/>
                <w:spacing w:val="1"/>
                <w:w w:val="120"/>
              </w:rPr>
              <w:t>e</w:t>
            </w:r>
            <w:r>
              <w:rPr>
                <w:i/>
                <w:iCs/>
                <w:spacing w:val="1"/>
                <w:w w:val="120"/>
                <w:vertAlign w:val="superscript"/>
              </w:rPr>
              <w:t>+</w:t>
            </w:r>
            <w:r>
              <w:rPr>
                <w:rFonts w:ascii="Symbol" w:hAnsi="Symbol"/>
                <w:i/>
                <w:iCs/>
                <w:spacing w:val="1"/>
                <w:w w:val="120"/>
              </w:rPr>
              <w:t></w:t>
            </w:r>
          </w:p>
        </w:tc>
        <w:tc>
          <w:tcPr>
            <w:tcW w:w="3119" w:type="dxa"/>
            <w:tcBorders>
              <w:top w:val="single" w:sz="4" w:space="0" w:color="000001"/>
              <w:left w:val="single" w:sz="4" w:space="0" w:color="000001"/>
              <w:bottom w:val="single" w:sz="4" w:space="0" w:color="000001"/>
              <w:insideH w:val="single" w:sz="4" w:space="0" w:color="000001"/>
            </w:tcBorders>
            <w:shd w:color="auto" w:fill="FFFFFF" w:val="clear"/>
            <w:tcMar>
              <w:left w:w="-5" w:type="dxa"/>
            </w:tcMar>
          </w:tcPr>
          <w:p>
            <w:pPr>
              <w:pStyle w:val="Normal"/>
              <w:shd w:val="clear" w:color="auto" w:fill="FFFFFF"/>
              <w:snapToGrid w:val="false"/>
              <w:jc w:val="center"/>
              <w:rPr>
                <w:i/>
                <w:i/>
                <w:iCs/>
                <w:spacing w:val="0"/>
              </w:rPr>
            </w:pPr>
            <w:r>
              <w:rPr>
                <w:spacing w:val="0"/>
              </w:rPr>
              <w:t>5% (т</w:t>
            </w:r>
            <w:r>
              <w:rPr>
                <w:spacing w:val="9"/>
              </w:rPr>
              <w:t>ак называемый</w:t>
            </w:r>
            <w:r>
              <w:rPr>
                <w:spacing w:val="0"/>
              </w:rPr>
              <w:t xml:space="preserve"> </w:t>
            </w:r>
            <w:r>
              <w:rPr>
                <w:i/>
                <w:iCs/>
                <w:spacing w:val="0"/>
              </w:rPr>
              <w:t>K</w:t>
            </w:r>
            <w:r>
              <w:rPr>
                <w:i/>
                <w:iCs/>
                <w:spacing w:val="0"/>
                <w:vertAlign w:val="subscript"/>
              </w:rPr>
              <w:t>e3</w:t>
            </w:r>
            <w:r>
              <w:rPr>
                <w:i/>
                <w:iCs/>
                <w:spacing w:val="0"/>
                <w:vertAlign w:val="superscript"/>
              </w:rPr>
              <w:t>+</w:t>
            </w:r>
            <w:r>
              <w:rPr>
                <w:i/>
                <w:iCs/>
                <w:spacing w:val="0"/>
              </w:rPr>
              <w:t>)</w:t>
            </w:r>
          </w:p>
        </w:tc>
        <w:tc>
          <w:tcPr>
            <w:tcW w:w="44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tcPr>
          <w:p>
            <w:pPr>
              <w:pStyle w:val="Normal"/>
              <w:snapToGrid w:val="false"/>
              <w:spacing w:lineRule="atLeast" w:line="100"/>
              <w:jc w:val="center"/>
              <w:rPr>
                <w:i/>
                <w:i/>
                <w:iCs/>
              </w:rPr>
            </w:pPr>
            <w:r>
              <w:rPr/>
              <w:t xml:space="preserve">вето фотонов, </w:t>
            </w:r>
            <w:r>
              <w:rPr>
                <w:i/>
                <w:iCs/>
              </w:rPr>
              <w:t>Е/р</w:t>
            </w:r>
          </w:p>
        </w:tc>
      </w:tr>
    </w:tbl>
    <w:p>
      <w:pPr>
        <w:pStyle w:val="Normal"/>
        <w:shd w:val="clear" w:color="auto" w:fill="FFFFFF"/>
        <w:spacing w:before="360" w:after="240"/>
        <w:ind w:right="0" w:hanging="0"/>
        <w:jc w:val="both"/>
        <w:rPr/>
      </w:pPr>
      <w:r>
        <w:rPr/>
        <w:tab/>
        <w:t xml:space="preserve">Существуют также </w:t>
      </w:r>
      <w:r>
        <w:rPr>
          <w:spacing w:val="7"/>
        </w:rPr>
        <w:t xml:space="preserve">моды распада </w:t>
      </w:r>
      <w:r>
        <w:rPr>
          <w:spacing w:val="4"/>
          <w:sz w:val="22"/>
          <w:lang w:val="en-US"/>
        </w:rPr>
        <w:t>K</w:t>
      </w:r>
      <w:r>
        <w:rPr>
          <w:spacing w:val="4"/>
          <w:vertAlign w:val="superscript"/>
        </w:rPr>
        <w:t>+</w:t>
      </w:r>
      <w:r>
        <w:rPr>
          <w:spacing w:val="7"/>
        </w:rPr>
        <w:t xml:space="preserve"> (с парциальной шириной </w:t>
      </w:r>
      <w:r>
        <w:rPr>
          <w:spacing w:val="4"/>
        </w:rPr>
        <w:t>&gt; 10</w:t>
      </w:r>
      <w:r>
        <w:rPr>
          <w:spacing w:val="4"/>
          <w:vertAlign w:val="superscript"/>
        </w:rPr>
        <w:t>-5</w:t>
      </w:r>
      <w:r>
        <w:rPr>
          <w:spacing w:val="7"/>
        </w:rPr>
        <w:t>)</w:t>
      </w:r>
      <w:r>
        <w:rPr/>
        <w:t xml:space="preserve">, например, </w:t>
      </w:r>
      <w:r>
        <w:rPr>
          <w:spacing w:val="4"/>
          <w:lang w:val="en-US"/>
        </w:rPr>
        <w:t>K</w:t>
      </w:r>
      <w:r>
        <w:rPr>
          <w:spacing w:val="4"/>
          <w:vertAlign w:val="subscript"/>
          <w:lang w:val="en-US"/>
        </w:rPr>
        <w:t>e</w:t>
      </w:r>
      <w:r>
        <w:rPr>
          <w:spacing w:val="4"/>
          <w:vertAlign w:val="subscript"/>
        </w:rPr>
        <w:t>4</w:t>
      </w:r>
      <w:r>
        <w:rPr>
          <w:i/>
          <w:iCs/>
          <w:spacing w:val="4"/>
        </w:rPr>
        <w:t xml:space="preserve"> </w:t>
      </w:r>
      <w:r>
        <w:rPr>
          <w:spacing w:val="4"/>
        </w:rPr>
        <w:t>(</w:t>
      </w:r>
      <w:r>
        <w:rPr>
          <w:spacing w:val="4"/>
          <w:lang w:val="en-US"/>
        </w:rPr>
        <w:t>K</w:t>
      </w:r>
      <w:r>
        <w:rPr>
          <w:spacing w:val="4"/>
          <w:vertAlign w:val="superscript"/>
        </w:rPr>
        <w:t>+</w:t>
      </w:r>
      <w:r>
        <w:rPr>
          <w:rFonts w:cs="Symbol" w:ascii="Symbol" w:hAnsi="Symbol"/>
          <w:spacing w:val="1"/>
          <w:w w:val="120"/>
        </w:rPr>
        <w:t></w:t>
      </w:r>
      <w:r>
        <w:rPr>
          <w:spacing w:val="1"/>
          <w:w w:val="120"/>
          <w:vertAlign w:val="superscript"/>
        </w:rPr>
        <w:t>+</w:t>
      </w:r>
      <w:r>
        <w:rPr>
          <w:rFonts w:cs="Symbol" w:ascii="Symbol" w:hAnsi="Symbol"/>
          <w:spacing w:val="1"/>
          <w:w w:val="120"/>
        </w:rPr>
        <w:t></w:t>
      </w:r>
      <w:r>
        <w:rPr>
          <w:spacing w:val="1"/>
          <w:w w:val="120"/>
          <w:vertAlign w:val="superscript"/>
        </w:rPr>
        <w:t>-</w:t>
      </w:r>
      <w:r>
        <w:rPr>
          <w:spacing w:val="1"/>
          <w:w w:val="120"/>
          <w:lang w:val="en-US"/>
        </w:rPr>
        <w:t>e</w:t>
      </w:r>
      <w:r>
        <w:rPr>
          <w:spacing w:val="1"/>
          <w:w w:val="120"/>
          <w:vertAlign w:val="superscript"/>
        </w:rPr>
        <w:t>+</w:t>
      </w:r>
      <w:r>
        <w:rPr>
          <w:rFonts w:cs="Symbol" w:ascii="Symbol" w:hAnsi="Symbol"/>
          <w:spacing w:val="1"/>
          <w:w w:val="120"/>
        </w:rPr>
        <w:t></w:t>
      </w:r>
      <w:r>
        <w:rPr>
          <w:spacing w:val="4"/>
        </w:rPr>
        <w:t xml:space="preserve">) </w:t>
      </w:r>
      <w:r>
        <w:rPr/>
        <w:t xml:space="preserve">и </w:t>
      </w:r>
      <w:r>
        <w:rPr>
          <w:spacing w:val="7"/>
          <w:lang w:val="en-US"/>
        </w:rPr>
        <w:t>K</w:t>
      </w:r>
      <w:r>
        <w:rPr>
          <w:rFonts w:eastAsia="Verdana" w:cs="Symbol" w:ascii="Symbol" w:hAnsi="Symbol"/>
          <w:spacing w:val="7"/>
          <w:sz w:val="32"/>
          <w:vertAlign w:val="subscript"/>
        </w:rPr>
        <w:t></w:t>
      </w:r>
      <w:r>
        <w:rPr>
          <w:spacing w:val="7"/>
          <w:vertAlign w:val="subscript"/>
        </w:rPr>
        <w:t>4</w:t>
      </w:r>
      <w:r>
        <w:rPr/>
        <w:t xml:space="preserve">, которые могут иметь топологию, аналогичную изучаемому распаду, в тех случаях, когда отрицательно заряженный пион и </w:t>
      </w:r>
      <w:r>
        <w:rPr>
          <w:spacing w:val="7"/>
          <w:lang w:val="en-US"/>
        </w:rPr>
        <w:t>e</w:t>
      </w:r>
      <w:r>
        <w:rPr>
          <w:spacing w:val="7"/>
          <w:vertAlign w:val="superscript"/>
        </w:rPr>
        <w:t>+</w:t>
      </w:r>
      <w:r>
        <w:rPr>
          <w:spacing w:val="7"/>
        </w:rPr>
        <w:t>(</w:t>
      </w:r>
      <w:r>
        <w:rPr>
          <w:rFonts w:cs="Symbol" w:ascii="Symbol" w:hAnsi="Symbol"/>
          <w:spacing w:val="1"/>
          <w:w w:val="120"/>
        </w:rPr>
        <w:t></w:t>
      </w:r>
      <w:r>
        <w:rPr>
          <w:spacing w:val="1"/>
          <w:w w:val="120"/>
          <w:vertAlign w:val="superscript"/>
        </w:rPr>
        <w:t>+</w:t>
      </w:r>
      <w:r>
        <w:rPr>
          <w:spacing w:val="7"/>
        </w:rPr>
        <w:t xml:space="preserve">) не детектируются установкой. </w:t>
      </w:r>
      <w:r>
        <w:rPr/>
        <w:t>Поэтому необходимо, чтобы</w:t>
      </w:r>
      <w:r>
        <w:rPr>
          <w:spacing w:val="6"/>
        </w:rPr>
        <w:t xml:space="preserve"> </w:t>
      </w:r>
      <w:r>
        <w:rPr>
          <w:rFonts w:cs="Symbol" w:ascii="Symbol" w:hAnsi="Symbol"/>
          <w:spacing w:val="1"/>
          <w:w w:val="120"/>
        </w:rPr>
        <w:t></w:t>
      </w:r>
      <w:r>
        <w:rPr>
          <w:spacing w:val="1"/>
          <w:w w:val="120"/>
          <w:vertAlign w:val="superscript"/>
        </w:rPr>
        <w:t>-</w:t>
      </w:r>
      <w:r>
        <w:rPr>
          <w:spacing w:val="6"/>
        </w:rPr>
        <w:t xml:space="preserve"> </w:t>
      </w:r>
      <w:r>
        <w:rPr/>
        <w:t xml:space="preserve">регистрировался, и </w:t>
      </w:r>
      <w:r>
        <w:rPr>
          <w:spacing w:val="7"/>
        </w:rPr>
        <w:t xml:space="preserve">детектор, таким образом, должен быть герметичными по отношению к отрицательно заряженным частицам с импульсом &lt;60 ГэВ/с. </w:t>
      </w:r>
      <w:r>
        <w:rPr/>
        <w:t xml:space="preserve">Это обеспечивается системой из 4 </w:t>
      </w:r>
      <w:r>
        <w:rPr>
          <w:spacing w:val="7"/>
        </w:rPr>
        <w:t xml:space="preserve">трековых </w:t>
      </w:r>
      <w:r>
        <w:rPr/>
        <w:t xml:space="preserve">детекторов (камер, состоящих из строу-трубок), которые </w:t>
      </w:r>
      <w:r>
        <w:rPr>
          <w:spacing w:val="7"/>
        </w:rPr>
        <w:t xml:space="preserve">являются </w:t>
      </w:r>
      <w:r>
        <w:rPr/>
        <w:t>активными элементами магнитного спектрометра [3].</w:t>
      </w:r>
    </w:p>
    <w:p>
      <w:pPr>
        <w:pStyle w:val="Normal"/>
        <w:shd w:val="clear" w:color="auto" w:fill="FFFFFF"/>
        <w:spacing w:before="120" w:after="240"/>
        <w:ind w:right="0" w:hanging="0"/>
        <w:rPr>
          <w:spacing w:val="4"/>
        </w:rPr>
      </w:pPr>
      <w:r>
        <w:rPr>
          <w:b/>
          <w:bCs/>
          <w:spacing w:val="4"/>
          <w:u w:val="single"/>
        </w:rPr>
        <w:t>Дополнительные физические задачи</w:t>
      </w:r>
    </w:p>
    <w:p>
      <w:pPr>
        <w:pStyle w:val="Normal"/>
        <w:shd w:val="clear" w:color="auto" w:fill="FFFFFF"/>
        <w:spacing w:before="120" w:after="0"/>
        <w:ind w:right="0" w:firstLine="720"/>
        <w:jc w:val="both"/>
        <w:rPr/>
      </w:pPr>
      <w:r>
        <w:rPr>
          <w:spacing w:val="4"/>
        </w:rPr>
        <w:t xml:space="preserve">Помимо основной цели, сотрудничество </w:t>
      </w:r>
      <w:r>
        <w:rPr>
          <w:spacing w:val="4"/>
          <w:lang w:val="en-US"/>
        </w:rPr>
        <w:t>NA</w:t>
      </w:r>
      <w:r>
        <w:rPr>
          <w:spacing w:val="4"/>
        </w:rPr>
        <w:t xml:space="preserve">62 планирует исследовать ряд других редких распадов каона. Группа ОИЯИ участвует в анализе четырехлептонных распадов </w:t>
      </w:r>
      <w:r>
        <w:rPr>
          <w:spacing w:val="1"/>
          <w:w w:val="120"/>
          <w:lang w:val="en-US"/>
        </w:rPr>
        <w:t>K</w:t>
      </w:r>
      <w:r>
        <w:rPr>
          <w:spacing w:val="1"/>
          <w:w w:val="120"/>
          <w:vertAlign w:val="superscript"/>
        </w:rPr>
        <w:t>+</w:t>
      </w:r>
      <w:r>
        <w:rPr>
          <w:rFonts w:cs="Symbol" w:ascii="Symbol" w:hAnsi="Symbol"/>
          <w:spacing w:val="1"/>
          <w:w w:val="120"/>
        </w:rPr>
        <w:t></w:t>
      </w:r>
      <w:r>
        <w:rPr>
          <w:rFonts w:eastAsia="Wingdings" w:cs="Liberation Serif" w:ascii="Liberation Serif" w:hAnsi="Liberation Serif"/>
          <w:bCs/>
          <w:spacing w:val="4"/>
          <w:lang w:val="en-US"/>
        </w:rPr>
        <w:t>e</w:t>
      </w:r>
      <w:r>
        <w:rPr>
          <w:rFonts w:eastAsia="Wingdings" w:cs="Wingdings"/>
          <w:bCs/>
          <w:spacing w:val="4"/>
          <w:vertAlign w:val="superscript"/>
        </w:rPr>
        <w:t>+</w:t>
      </w:r>
      <w:r>
        <w:rPr>
          <w:rFonts w:eastAsia="Wingdings" w:cs="Symbol" w:ascii="Symbol" w:hAnsi="Symbol"/>
          <w:bCs/>
          <w:spacing w:val="4"/>
          <w:sz w:val="24"/>
          <w:lang w:val="en-US"/>
        </w:rPr>
        <w:t></w:t>
      </w:r>
      <w:r>
        <w:rPr>
          <w:rFonts w:eastAsia="Wingdings" w:cs="Symbol" w:ascii="Symbol" w:hAnsi="Symbol"/>
          <w:bCs/>
          <w:spacing w:val="4"/>
          <w:lang w:val="en-US"/>
        </w:rPr>
        <w:t></w:t>
      </w:r>
      <w:r>
        <w:rPr>
          <w:rFonts w:eastAsia="Wingdings"/>
          <w:bCs/>
          <w:spacing w:val="4"/>
          <w:vertAlign w:val="superscript"/>
        </w:rPr>
        <w:t>+</w:t>
      </w:r>
      <w:r>
        <w:rPr>
          <w:rFonts w:eastAsia="Wingdings" w:cs="Symbol" w:ascii="Symbol" w:hAnsi="Symbol"/>
          <w:bCs/>
          <w:spacing w:val="4"/>
          <w:lang w:val="en-US"/>
        </w:rPr>
        <w:t></w:t>
      </w:r>
      <w:r>
        <w:rPr>
          <w:rFonts w:eastAsia="Wingdings"/>
          <w:bCs/>
          <w:spacing w:val="4"/>
          <w:vertAlign w:val="superscript"/>
        </w:rPr>
        <w:t>-</w:t>
      </w:r>
      <w:r>
        <w:rPr>
          <w:i/>
          <w:spacing w:val="4"/>
        </w:rPr>
        <w:t xml:space="preserve">, </w:t>
      </w:r>
      <w:r>
        <w:rPr>
          <w:spacing w:val="1"/>
          <w:w w:val="120"/>
          <w:lang w:val="en-US"/>
        </w:rPr>
        <w:t>K</w:t>
      </w:r>
      <w:r>
        <w:rPr>
          <w:spacing w:val="1"/>
          <w:w w:val="120"/>
          <w:vertAlign w:val="superscript"/>
        </w:rPr>
        <w:t>+</w:t>
      </w:r>
      <w:r>
        <w:rPr>
          <w:rFonts w:cs="Symbol" w:ascii="Symbol" w:hAnsi="Symbol"/>
          <w:spacing w:val="1"/>
          <w:w w:val="120"/>
        </w:rPr>
        <w:t></w:t>
      </w:r>
      <w:r>
        <w:rPr>
          <w:rFonts w:eastAsia="Wingdings" w:cs="Liberation Serif" w:ascii="Liberation Serif" w:hAnsi="Liberation Serif"/>
          <w:bCs/>
          <w:spacing w:val="4"/>
          <w:lang w:val="en-US"/>
        </w:rPr>
        <w:t>e</w:t>
      </w:r>
      <w:r>
        <w:rPr>
          <w:rFonts w:eastAsia="Wingdings" w:cs="Wingdings"/>
          <w:bCs/>
          <w:spacing w:val="4"/>
          <w:vertAlign w:val="superscript"/>
        </w:rPr>
        <w:t>+</w:t>
      </w:r>
      <w:r>
        <w:rPr>
          <w:rFonts w:eastAsia="Wingdings" w:cs="Symbol" w:ascii="Symbol" w:hAnsi="Symbol"/>
          <w:bCs/>
          <w:spacing w:val="4"/>
          <w:sz w:val="24"/>
          <w:lang w:val="en-US"/>
        </w:rPr>
        <w:t></w:t>
      </w:r>
      <w:r>
        <w:rPr>
          <w:rFonts w:eastAsia="Wingdings" w:cs="Liberation Serif" w:ascii="Liberation Serif" w:hAnsi="Liberation Serif"/>
          <w:bCs/>
          <w:spacing w:val="4"/>
          <w:lang w:val="en-US"/>
        </w:rPr>
        <w:t>e</w:t>
      </w:r>
      <w:r>
        <w:rPr>
          <w:rFonts w:eastAsia="Wingdings"/>
          <w:bCs/>
          <w:spacing w:val="4"/>
          <w:vertAlign w:val="superscript"/>
        </w:rPr>
        <w:t>+</w:t>
      </w:r>
      <w:r>
        <w:rPr>
          <w:rFonts w:eastAsia="Wingdings" w:cs="Liberation Serif" w:ascii="Liberation Serif" w:hAnsi="Liberation Serif"/>
          <w:bCs/>
          <w:spacing w:val="4"/>
          <w:lang w:val="en-US"/>
        </w:rPr>
        <w:t>e</w:t>
      </w:r>
      <w:r>
        <w:rPr>
          <w:rFonts w:eastAsia="Wingdings"/>
          <w:bCs/>
          <w:spacing w:val="4"/>
          <w:vertAlign w:val="superscript"/>
        </w:rPr>
        <w:t>-</w:t>
      </w:r>
      <w:r>
        <w:rPr>
          <w:i/>
          <w:spacing w:val="4"/>
        </w:rPr>
        <w:t xml:space="preserve">, </w:t>
      </w:r>
      <w:r>
        <w:rPr>
          <w:spacing w:val="1"/>
          <w:w w:val="120"/>
          <w:lang w:val="en-US"/>
        </w:rPr>
        <w:t>K</w:t>
      </w:r>
      <w:r>
        <w:rPr>
          <w:spacing w:val="1"/>
          <w:w w:val="120"/>
          <w:vertAlign w:val="superscript"/>
        </w:rPr>
        <w:t>+</w:t>
      </w:r>
      <w:r>
        <w:rPr>
          <w:rFonts w:cs="Symbol" w:ascii="Symbol" w:hAnsi="Symbol"/>
          <w:spacing w:val="1"/>
          <w:w w:val="120"/>
        </w:rPr>
        <w:t></w:t>
      </w:r>
      <w:r>
        <w:rPr>
          <w:rFonts w:eastAsia="Wingdings" w:cs="Symbol" w:ascii="Symbol" w:hAnsi="Symbol"/>
          <w:bCs/>
          <w:spacing w:val="4"/>
          <w:lang w:val="en-US"/>
        </w:rPr>
        <w:t></w:t>
      </w:r>
      <w:r>
        <w:rPr>
          <w:rFonts w:eastAsia="Wingdings" w:cs="Wingdings"/>
          <w:bCs/>
          <w:spacing w:val="4"/>
          <w:vertAlign w:val="superscript"/>
        </w:rPr>
        <w:t>+</w:t>
      </w:r>
      <w:r>
        <w:rPr>
          <w:rFonts w:eastAsia="Wingdings" w:cs="Symbol" w:ascii="Symbol" w:hAnsi="Symbol"/>
          <w:bCs/>
          <w:spacing w:val="4"/>
          <w:sz w:val="24"/>
          <w:lang w:val="en-US"/>
        </w:rPr>
        <w:t></w:t>
      </w:r>
      <w:r>
        <w:rPr>
          <w:rFonts w:eastAsia="Wingdings" w:cs="Liberation Serif" w:ascii="Liberation Serif" w:hAnsi="Liberation Serif"/>
          <w:bCs/>
          <w:spacing w:val="4"/>
          <w:lang w:val="en-US"/>
        </w:rPr>
        <w:t>e</w:t>
      </w:r>
      <w:r>
        <w:rPr>
          <w:rFonts w:eastAsia="Wingdings"/>
          <w:bCs/>
          <w:spacing w:val="4"/>
          <w:vertAlign w:val="superscript"/>
        </w:rPr>
        <w:t>+</w:t>
      </w:r>
      <w:r>
        <w:rPr>
          <w:rFonts w:eastAsia="Wingdings" w:cs="Liberation Serif" w:ascii="Liberation Serif" w:hAnsi="Liberation Serif"/>
          <w:bCs/>
          <w:spacing w:val="4"/>
          <w:lang w:val="en-US"/>
        </w:rPr>
        <w:t>e</w:t>
      </w:r>
      <w:r>
        <w:rPr>
          <w:rFonts w:eastAsia="Wingdings"/>
          <w:bCs/>
          <w:spacing w:val="4"/>
          <w:vertAlign w:val="superscript"/>
        </w:rPr>
        <w:t>-</w:t>
      </w:r>
      <w:r>
        <w:rPr>
          <w:spacing w:val="4"/>
        </w:rPr>
        <w:t xml:space="preserve"> и </w:t>
      </w:r>
      <w:r>
        <w:rPr>
          <w:spacing w:val="1"/>
          <w:w w:val="120"/>
          <w:lang w:val="en-US"/>
        </w:rPr>
        <w:t>K</w:t>
      </w:r>
      <w:r>
        <w:rPr>
          <w:spacing w:val="1"/>
          <w:w w:val="120"/>
          <w:vertAlign w:val="superscript"/>
        </w:rPr>
        <w:t>+</w:t>
      </w:r>
      <w:r>
        <w:rPr>
          <w:rFonts w:cs="Symbol" w:ascii="Symbol" w:hAnsi="Symbol"/>
          <w:spacing w:val="1"/>
          <w:w w:val="120"/>
        </w:rPr>
        <w:t></w:t>
      </w:r>
      <w:r>
        <w:rPr>
          <w:rFonts w:eastAsia="Wingdings" w:cs="Symbol" w:ascii="Symbol" w:hAnsi="Symbol"/>
          <w:bCs/>
          <w:spacing w:val="4"/>
          <w:lang w:val="en-US"/>
        </w:rPr>
        <w:t></w:t>
      </w:r>
      <w:r>
        <w:rPr>
          <w:rFonts w:eastAsia="Wingdings" w:cs="Wingdings"/>
          <w:bCs/>
          <w:spacing w:val="4"/>
          <w:vertAlign w:val="superscript"/>
        </w:rPr>
        <w:t>+</w:t>
      </w:r>
      <w:r>
        <w:rPr>
          <w:rFonts w:eastAsia="Wingdings" w:cs="Symbol" w:ascii="Symbol" w:hAnsi="Symbol"/>
          <w:bCs/>
          <w:spacing w:val="4"/>
          <w:sz w:val="24"/>
          <w:lang w:val="en-US"/>
        </w:rPr>
        <w:t></w:t>
      </w:r>
      <w:r>
        <w:rPr>
          <w:rFonts w:eastAsia="Wingdings" w:cs="Symbol" w:ascii="Symbol" w:hAnsi="Symbol"/>
          <w:bCs/>
          <w:spacing w:val="4"/>
          <w:lang w:val="en-US"/>
        </w:rPr>
        <w:t></w:t>
      </w:r>
      <w:r>
        <w:rPr>
          <w:rFonts w:eastAsia="Wingdings"/>
          <w:bCs/>
          <w:spacing w:val="4"/>
          <w:vertAlign w:val="superscript"/>
        </w:rPr>
        <w:t>+</w:t>
      </w:r>
      <w:r>
        <w:rPr>
          <w:rFonts w:eastAsia="Wingdings" w:cs="Symbol" w:ascii="Symbol" w:hAnsi="Symbol"/>
          <w:bCs/>
          <w:spacing w:val="4"/>
          <w:lang w:val="en-US"/>
        </w:rPr>
        <w:t></w:t>
      </w:r>
      <w:r>
        <w:rPr>
          <w:rFonts w:eastAsia="Wingdings"/>
          <w:bCs/>
          <w:spacing w:val="4"/>
          <w:vertAlign w:val="superscript"/>
        </w:rPr>
        <w:t>-</w:t>
      </w:r>
      <w:r>
        <w:rPr>
          <w:spacing w:val="4"/>
        </w:rPr>
        <w:t xml:space="preserve"> (который еще не наблюдался) с </w:t>
      </w:r>
      <w:r>
        <w:rPr>
          <w:spacing w:val="7"/>
        </w:rPr>
        <w:t xml:space="preserve">парциальной шириной </w:t>
      </w:r>
      <w:r>
        <w:rPr>
          <w:spacing w:val="4"/>
        </w:rPr>
        <w:t>порядка 10</w:t>
      </w:r>
      <w:r>
        <w:rPr>
          <w:spacing w:val="4"/>
          <w:sz w:val="24"/>
          <w:szCs w:val="24"/>
          <w:vertAlign w:val="superscript"/>
        </w:rPr>
        <w:t>-8</w:t>
      </w:r>
      <w:r>
        <w:rPr>
          <w:spacing w:val="4"/>
        </w:rPr>
        <w:t xml:space="preserve">. Точное измерение этих распадов улучшит наши знания параметров КПТ и позволит проверить ее достоверность. Для проверки пределов СМ также предусмотрен поиск запрещенных мод распада  каонов: </w:t>
      </w:r>
      <w:r>
        <w:rPr>
          <w:spacing w:val="1"/>
          <w:w w:val="120"/>
          <w:szCs w:val="24"/>
          <w:lang w:val="en-US"/>
        </w:rPr>
        <w:t>K</w:t>
      </w:r>
      <w:r>
        <w:rPr>
          <w:spacing w:val="1"/>
          <w:w w:val="120"/>
          <w:szCs w:val="24"/>
          <w:vertAlign w:val="superscript"/>
        </w:rPr>
        <w:t>+</w:t>
      </w:r>
      <w:r>
        <w:rPr>
          <w:rFonts w:cs="Symbol" w:ascii="Symbol" w:hAnsi="Symbol"/>
          <w:spacing w:val="1"/>
          <w:w w:val="120"/>
          <w:szCs w:val="24"/>
        </w:rPr>
        <w:t></w:t>
      </w:r>
      <w:r>
        <w:rPr>
          <w:rFonts w:eastAsia="Wingdings" w:cs="Liberation Serif" w:ascii="Liberation Serif" w:hAnsi="Liberation Serif"/>
          <w:bCs/>
          <w:spacing w:val="4"/>
          <w:szCs w:val="24"/>
          <w:lang w:val="en-US"/>
        </w:rPr>
        <w:t>e</w:t>
      </w:r>
      <w:r>
        <w:rPr>
          <w:rFonts w:eastAsia="Wingdings" w:cs="Wingdings"/>
          <w:bCs/>
          <w:spacing w:val="4"/>
          <w:szCs w:val="24"/>
          <w:vertAlign w:val="superscript"/>
        </w:rPr>
        <w:t>-</w:t>
      </w:r>
      <w:r>
        <w:rPr>
          <w:rFonts w:eastAsia="Wingdings" w:cs="Symbol" w:ascii="Symbol" w:hAnsi="Symbol"/>
          <w:bCs/>
          <w:spacing w:val="4"/>
          <w:szCs w:val="24"/>
          <w:lang w:val="en-US"/>
        </w:rPr>
        <w:t></w:t>
      </w:r>
      <w:r>
        <w:rPr>
          <w:rFonts w:eastAsia="Wingdings"/>
          <w:bCs/>
          <w:spacing w:val="4"/>
          <w:szCs w:val="24"/>
          <w:vertAlign w:val="superscript"/>
        </w:rPr>
        <w:t>+</w:t>
      </w:r>
      <w:r>
        <w:rPr>
          <w:rFonts w:eastAsia="Wingdings" w:cs="Symbol" w:ascii="Symbol" w:hAnsi="Symbol"/>
          <w:bCs/>
          <w:spacing w:val="4"/>
          <w:szCs w:val="24"/>
          <w:lang w:val="en-US"/>
        </w:rPr>
        <w:t></w:t>
      </w:r>
      <w:r>
        <w:rPr>
          <w:rFonts w:eastAsia="Wingdings"/>
          <w:bCs/>
          <w:spacing w:val="4"/>
          <w:szCs w:val="24"/>
          <w:vertAlign w:val="superscript"/>
        </w:rPr>
        <w:t>+</w:t>
      </w:r>
      <w:r>
        <w:rPr>
          <w:i/>
          <w:spacing w:val="4"/>
          <w:szCs w:val="24"/>
        </w:rPr>
        <w:t xml:space="preserve">, </w:t>
      </w:r>
      <w:r>
        <w:rPr>
          <w:spacing w:val="1"/>
          <w:w w:val="120"/>
          <w:szCs w:val="24"/>
          <w:lang w:val="en-US"/>
        </w:rPr>
        <w:t>K</w:t>
      </w:r>
      <w:r>
        <w:rPr>
          <w:spacing w:val="1"/>
          <w:w w:val="120"/>
          <w:szCs w:val="24"/>
          <w:vertAlign w:val="superscript"/>
        </w:rPr>
        <w:t>+</w:t>
      </w:r>
      <w:r>
        <w:rPr>
          <w:rFonts w:cs="Symbol" w:ascii="Symbol" w:hAnsi="Symbol"/>
          <w:spacing w:val="1"/>
          <w:w w:val="120"/>
          <w:szCs w:val="24"/>
        </w:rPr>
        <w:t></w:t>
      </w:r>
      <w:r>
        <w:rPr>
          <w:rFonts w:eastAsia="Wingdings" w:cs="Symbol" w:ascii="Symbol" w:hAnsi="Symbol"/>
          <w:bCs/>
          <w:spacing w:val="4"/>
          <w:szCs w:val="24"/>
          <w:lang w:val="en-US"/>
        </w:rPr>
        <w:t></w:t>
      </w:r>
      <w:r>
        <w:rPr>
          <w:rFonts w:eastAsia="Wingdings" w:cs="Wingdings"/>
          <w:bCs/>
          <w:spacing w:val="4"/>
          <w:szCs w:val="24"/>
          <w:vertAlign w:val="superscript"/>
        </w:rPr>
        <w:t>-</w:t>
      </w:r>
      <w:r>
        <w:rPr>
          <w:rFonts w:eastAsia="Wingdings" w:cs="Symbol" w:ascii="Symbol" w:hAnsi="Symbol"/>
          <w:bCs/>
          <w:spacing w:val="4"/>
          <w:szCs w:val="24"/>
          <w:lang w:val="en-US"/>
        </w:rPr>
        <w:t></w:t>
      </w:r>
      <w:r>
        <w:rPr>
          <w:rFonts w:eastAsia="Wingdings" w:cs="Liberation Serif" w:ascii="Liberation Serif" w:hAnsi="Liberation Serif"/>
          <w:bCs/>
          <w:spacing w:val="4"/>
          <w:szCs w:val="24"/>
          <w:lang w:val="en-US"/>
        </w:rPr>
        <w:t>e</w:t>
      </w:r>
      <w:r>
        <w:rPr>
          <w:rFonts w:eastAsia="Wingdings"/>
          <w:bCs/>
          <w:spacing w:val="4"/>
          <w:szCs w:val="24"/>
          <w:vertAlign w:val="superscript"/>
        </w:rPr>
        <w:t>+</w:t>
      </w:r>
      <w:r>
        <w:rPr>
          <w:rFonts w:eastAsia="Wingdings" w:cs="Liberation Serif" w:ascii="Liberation Serif" w:hAnsi="Liberation Serif"/>
          <w:bCs/>
          <w:spacing w:val="4"/>
          <w:szCs w:val="24"/>
          <w:lang w:val="en-US"/>
        </w:rPr>
        <w:t>e</w:t>
      </w:r>
      <w:r>
        <w:rPr>
          <w:rFonts w:eastAsia="Wingdings"/>
          <w:bCs/>
          <w:spacing w:val="4"/>
          <w:szCs w:val="24"/>
          <w:vertAlign w:val="superscript"/>
        </w:rPr>
        <w:t>+</w:t>
      </w:r>
      <w:r>
        <w:rPr>
          <w:spacing w:val="4"/>
        </w:rPr>
        <w:t>.</w:t>
      </w:r>
    </w:p>
    <w:p>
      <w:pPr>
        <w:pStyle w:val="Normal"/>
        <w:shd w:val="clear" w:color="auto" w:fill="FFFFFF"/>
        <w:spacing w:before="120" w:after="0"/>
        <w:ind w:right="0" w:firstLine="720"/>
        <w:jc w:val="both"/>
        <w:rPr/>
      </w:pPr>
      <w:r>
        <w:rPr>
          <w:spacing w:val="4"/>
        </w:rPr>
        <w:t xml:space="preserve">Как уже упоминалось выше, большая статистика распадов каонов в предлагаемом эксперименте и наличие детекторов для точного измерения кинематики прилетевшего заряженного каона и кинематики продуктов его распада дают нам возможность проверить предсказание [6] о существовании фермиона </w:t>
      </w:r>
      <w:r>
        <w:rPr/>
        <w:t xml:space="preserve">Голдстоуна ‒ псевдоскалярного сголдстино </w:t>
      </w:r>
      <w:r>
        <w:rPr>
          <w:iCs/>
        </w:rPr>
        <w:t>P</w:t>
      </w:r>
      <w:r>
        <w:rPr/>
        <w:t xml:space="preserve"> </w:t>
      </w:r>
      <w:r>
        <w:rPr>
          <w:spacing w:val="4"/>
        </w:rPr>
        <w:t xml:space="preserve">(см. рисунок 4, левая часть). В эксперименте HyperCP [7] было зарегистрировано 3 распада </w:t>
      </w:r>
      <w:r>
        <w:rPr>
          <w:rFonts w:cs="Symbol" w:ascii="Symbol" w:hAnsi="Symbol"/>
          <w:bCs/>
        </w:rPr>
        <w:t></w:t>
      </w:r>
      <w:r>
        <w:rPr>
          <w:rFonts w:eastAsia="Wingdings" w:cs="Wingdings"/>
          <w:bCs/>
        </w:rPr>
        <w:t xml:space="preserve"> </w:t>
      </w:r>
      <w:bookmarkStart w:id="0" w:name="__DdeLink__2317_3427837231"/>
      <w:r>
        <w:rPr>
          <w:rFonts w:eastAsia="Wingdings" w:cs="Symbol" w:ascii="Symbol" w:hAnsi="Symbol"/>
          <w:bCs/>
          <w:spacing w:val="1"/>
          <w:w w:val="120"/>
        </w:rPr>
        <w:t></w:t>
      </w:r>
      <w:bookmarkEnd w:id="0"/>
      <w:r>
        <w:rPr>
          <w:rFonts w:eastAsia="Wingdings" w:cs="Symbol" w:ascii="Symbol" w:hAnsi="Symbol"/>
          <w:bCs/>
          <w:spacing w:val="1"/>
          <w:w w:val="120"/>
        </w:rPr>
        <w:t></w:t>
      </w:r>
      <w:r>
        <w:rPr>
          <w:rFonts w:eastAsia="Wingdings" w:cs="Symbol" w:ascii="Symbol" w:hAnsi="Symbol"/>
          <w:bCs/>
          <w:lang w:val="en-US"/>
        </w:rPr>
        <w:t></w:t>
      </w:r>
      <w:r>
        <w:rPr>
          <w:rFonts w:eastAsia="Wingdings" w:cs="Symbol" w:ascii="Symbol" w:hAnsi="Symbol"/>
          <w:bCs/>
        </w:rPr>
        <w:t></w:t>
      </w:r>
      <w:r>
        <w:rPr>
          <w:rFonts w:eastAsia="Wingdings"/>
          <w:bCs/>
          <w:vertAlign w:val="superscript"/>
        </w:rPr>
        <w:t>+</w:t>
      </w:r>
      <w:r>
        <w:rPr>
          <w:rFonts w:eastAsia="Wingdings" w:cs="Symbol" w:ascii="Symbol" w:hAnsi="Symbol"/>
          <w:bCs/>
        </w:rPr>
        <w:t></w:t>
      </w:r>
      <w:r>
        <w:rPr>
          <w:rFonts w:eastAsia="Wingdings"/>
          <w:bCs/>
          <w:vertAlign w:val="superscript"/>
        </w:rPr>
        <w:t>-</w:t>
      </w:r>
      <w:r>
        <w:rPr>
          <w:spacing w:val="4"/>
        </w:rPr>
        <w:t xml:space="preserve">, где масса </w:t>
      </w:r>
      <w:r>
        <w:rPr>
          <w:rFonts w:eastAsia="Wingdings"/>
          <w:bCs/>
          <w:lang w:val="en-US"/>
        </w:rPr>
        <w:t xml:space="preserve">P </w:t>
      </w:r>
      <w:r>
        <w:rPr>
          <w:rFonts w:eastAsia="Wingdings" w:cs="Symbol" w:ascii="Symbol" w:hAnsi="Symbol"/>
          <w:bCs/>
          <w:spacing w:val="1"/>
          <w:w w:val="120"/>
          <w:lang w:val="en-US"/>
        </w:rPr>
        <w:t></w:t>
      </w:r>
      <w:r>
        <w:rPr>
          <w:rFonts w:eastAsia="Wingdings" w:cs="Wingdings"/>
          <w:bCs/>
        </w:rPr>
        <w:t xml:space="preserve"> </w:t>
      </w:r>
      <w:r>
        <w:rPr>
          <w:rFonts w:eastAsia="Wingdings" w:cs="Symbol" w:ascii="Symbol" w:hAnsi="Symbol"/>
          <w:bCs/>
        </w:rPr>
        <w:t></w:t>
      </w:r>
      <w:r>
        <w:rPr>
          <w:rFonts w:eastAsia="Wingdings"/>
          <w:bCs/>
          <w:vertAlign w:val="superscript"/>
        </w:rPr>
        <w:t>+</w:t>
      </w:r>
      <w:r>
        <w:rPr>
          <w:rFonts w:eastAsia="Wingdings" w:cs="Symbol" w:ascii="Symbol" w:hAnsi="Symbol"/>
          <w:bCs/>
        </w:rPr>
        <w:t></w:t>
      </w:r>
      <w:r>
        <w:rPr>
          <w:rFonts w:eastAsia="Wingdings"/>
          <w:bCs/>
          <w:vertAlign w:val="superscript"/>
        </w:rPr>
        <w:t>-</w:t>
      </w:r>
      <w:r>
        <w:rPr>
          <w:spacing w:val="4"/>
        </w:rPr>
        <w:t xml:space="preserve">, если он существует, равна 214,3 МэВ. Принимая во внимание, что удвоенная масса покоя мюона равна 211,3 МэВ, мюоны должны генерироваться почти в покое в каонной системе (полная энергия распада в таком случае равна 4,83 МэВ). Таким образом, оба заряженных пиона и мюона могут лететь вдоль оси пучка и избегать чувствительных областей детектора в </w:t>
      </w:r>
      <w:r>
        <w:rPr/>
        <w:t xml:space="preserve">предшествующем </w:t>
      </w:r>
      <w:r>
        <w:rPr>
          <w:spacing w:val="4"/>
        </w:rPr>
        <w:t xml:space="preserve">эксперименте NA48/2. Но в эксперименте NA62 точное измерение входящих параметров </w:t>
      </w:r>
      <w:r>
        <w:rPr/>
        <w:t xml:space="preserve">распадающегося </w:t>
      </w:r>
      <w:r>
        <w:rPr>
          <w:i/>
          <w:iCs/>
        </w:rPr>
        <w:t>K</w:t>
      </w:r>
      <w:r>
        <w:rPr>
          <w:i/>
          <w:iCs/>
          <w:vertAlign w:val="superscript"/>
        </w:rPr>
        <w:t>+</w:t>
      </w:r>
      <w:r>
        <w:rPr>
          <w:spacing w:val="4"/>
        </w:rPr>
        <w:t xml:space="preserve"> дает возможность восстановить полную кинематику событий без регистрации </w:t>
      </w:r>
      <w:r>
        <w:rPr>
          <w:rFonts w:ascii="Symbol" w:hAnsi="Symbol"/>
          <w:bCs/>
          <w:i/>
          <w:iCs/>
        </w:rPr>
        <w:t></w:t>
      </w:r>
      <w:r>
        <w:rPr>
          <w:bCs/>
          <w:i/>
          <w:iCs/>
          <w:vertAlign w:val="superscript"/>
        </w:rPr>
        <w:t xml:space="preserve">+ </w:t>
      </w:r>
      <w:r>
        <w:rPr>
          <w:spacing w:val="4"/>
        </w:rPr>
        <w:t xml:space="preserve">для распада </w:t>
      </w:r>
      <w:r>
        <w:rPr>
          <w:rFonts w:eastAsia="Wingdings"/>
          <w:bCs/>
          <w:lang w:val="en-US"/>
        </w:rPr>
        <w:t>P</w:t>
      </w:r>
      <w:r>
        <w:rPr>
          <w:rFonts w:eastAsia="Wingdings" w:cs="Symbol" w:ascii="Symbol" w:hAnsi="Symbol"/>
          <w:bCs/>
          <w:spacing w:val="1"/>
          <w:w w:val="120"/>
          <w:lang w:val="en-US"/>
        </w:rPr>
        <w:t></w:t>
      </w:r>
      <w:r>
        <w:rPr>
          <w:rFonts w:eastAsia="Wingdings" w:cs="Symbol" w:ascii="Symbol" w:hAnsi="Symbol"/>
          <w:bCs/>
        </w:rPr>
        <w:t></w:t>
      </w:r>
      <w:r>
        <w:rPr>
          <w:spacing w:val="4"/>
        </w:rPr>
        <w:t xml:space="preserve">. Более того, для случая распада </w:t>
      </w:r>
      <w:r>
        <w:rPr>
          <w:rFonts w:eastAsia="Wingdings"/>
          <w:bCs/>
          <w:lang w:val="en-US"/>
        </w:rPr>
        <w:t>P</w:t>
      </w:r>
      <w:r>
        <w:rPr>
          <w:rFonts w:eastAsia="Wingdings" w:cs="Symbol" w:ascii="Symbol" w:hAnsi="Symbol"/>
          <w:bCs/>
          <w:spacing w:val="1"/>
          <w:w w:val="120"/>
          <w:lang w:val="en-US"/>
        </w:rPr>
        <w:t></w:t>
      </w:r>
      <w:r>
        <w:rPr>
          <w:rFonts w:eastAsia="Wingdings" w:cs="Symbol" w:ascii="Symbol" w:hAnsi="Symbol"/>
          <w:bCs/>
        </w:rPr>
        <w:t></w:t>
      </w:r>
      <w:r>
        <w:rPr>
          <w:rFonts w:eastAsia="Wingdings"/>
          <w:bCs/>
          <w:vertAlign w:val="superscript"/>
        </w:rPr>
        <w:t>+</w:t>
      </w:r>
      <w:r>
        <w:rPr>
          <w:rFonts w:eastAsia="Wingdings" w:cs="Symbol" w:ascii="Symbol" w:hAnsi="Symbol"/>
          <w:bCs/>
        </w:rPr>
        <w:t></w:t>
      </w:r>
      <w:r>
        <w:rPr>
          <w:rFonts w:eastAsia="Wingdings"/>
          <w:bCs/>
          <w:vertAlign w:val="superscript"/>
        </w:rPr>
        <w:t>-</w:t>
      </w:r>
      <w:r>
        <w:rPr>
          <w:spacing w:val="4"/>
        </w:rPr>
        <w:t xml:space="preserve"> даже с одним </w:t>
      </w:r>
      <w:r>
        <w:rPr/>
        <w:t xml:space="preserve">незарегистрированным </w:t>
      </w:r>
      <w:r>
        <w:rPr>
          <w:spacing w:val="4"/>
        </w:rPr>
        <w:t>треком все же можно использовать информацию трекера о двух других треках далее</w:t>
      </w:r>
      <w:r>
        <w:rPr/>
        <w:t xml:space="preserve"> магнита (их импульсы будут иметь значения &lt; 20 ГэВ, </w:t>
      </w:r>
      <w:r>
        <w:rPr>
          <w:spacing w:val="4"/>
        </w:rPr>
        <w:t>поэтому они не будут следовать за пучком далее магнита</w:t>
      </w:r>
      <w:r>
        <w:rPr/>
        <w:t>), а также данные с RICH.</w:t>
      </w:r>
    </w:p>
    <w:p>
      <w:pPr>
        <w:pStyle w:val="Normal"/>
        <w:shd w:val="clear" w:color="auto" w:fill="FFFFFF"/>
        <w:spacing w:before="120" w:after="0"/>
        <w:ind w:right="0" w:firstLine="720"/>
        <w:jc w:val="both"/>
        <w:rPr/>
      </w:pPr>
      <w:r>
        <w:rPr>
          <w:bCs/>
        </w:rPr>
        <w:t xml:space="preserve">В эксперименте NA62 планируется зарегистрировать ~100 распадов </w:t>
      </w:r>
      <w:r>
        <w:rPr>
          <w:bCs/>
          <w:lang w:val="en-US"/>
        </w:rPr>
        <w:t>c</w:t>
      </w:r>
      <w:r>
        <w:rPr>
          <w:bCs/>
        </w:rPr>
        <w:t xml:space="preserve"> парциальной шириной 10</w:t>
      </w:r>
      <w:r>
        <w:rPr>
          <w:bCs/>
          <w:vertAlign w:val="superscript"/>
        </w:rPr>
        <w:t xml:space="preserve">-10 </w:t>
      </w:r>
      <w:r>
        <w:rPr>
          <w:bCs/>
        </w:rPr>
        <w:t xml:space="preserve"> при аксептансе установки около 10%. </w:t>
      </w:r>
      <w:r>
        <w:rPr/>
        <w:t xml:space="preserve">Это означает, что можно будет зарегистрировать около 50 распадов </w:t>
      </w:r>
      <w:r>
        <w:rPr>
          <w:rFonts w:eastAsia="Wingdings" w:cs="Symbol" w:ascii="Symbol" w:hAnsi="Symbol"/>
          <w:bCs/>
        </w:rPr>
        <w:t></w:t>
      </w:r>
      <w:r>
        <w:rPr>
          <w:rFonts w:eastAsia="Wingdings"/>
          <w:bCs/>
          <w:vertAlign w:val="superscript"/>
        </w:rPr>
        <w:t>+</w:t>
      </w:r>
      <w:r>
        <w:rPr>
          <w:rFonts w:eastAsia="Wingdings" w:cs="Symbol" w:ascii="Symbol" w:hAnsi="Symbol"/>
          <w:bCs/>
        </w:rPr>
        <w:t></w:t>
      </w:r>
      <w:r>
        <w:rPr>
          <w:rFonts w:eastAsia="Wingdings"/>
          <w:bCs/>
          <w:vertAlign w:val="superscript"/>
        </w:rPr>
        <w:t>0</w:t>
      </w:r>
      <w:r>
        <w:rPr>
          <w:rFonts w:eastAsia="Wingdings"/>
          <w:bCs/>
          <w:lang w:val="en-US"/>
        </w:rPr>
        <w:t>P</w:t>
      </w:r>
      <w:r>
        <w:rPr/>
        <w:t xml:space="preserve">, аналогичных </w:t>
      </w:r>
      <w:r>
        <w:rPr>
          <w:bCs/>
        </w:rPr>
        <w:t xml:space="preserve">по топологии </w:t>
      </w:r>
      <w:r>
        <w:rPr>
          <w:rFonts w:eastAsia="Wingdings" w:cs="Symbol" w:ascii="Symbol" w:hAnsi="Symbol"/>
          <w:bCs/>
        </w:rPr>
        <w:t></w:t>
      </w:r>
      <w:r>
        <w:rPr>
          <w:rFonts w:eastAsia="Wingdings"/>
          <w:bCs/>
          <w:vertAlign w:val="superscript"/>
        </w:rPr>
        <w:t>+</w:t>
      </w:r>
      <w:r>
        <w:rPr>
          <w:rFonts w:eastAsia="Wingdings" w:cs="Symbol" w:ascii="Symbol" w:hAnsi="Symbol"/>
          <w:bCs/>
        </w:rPr>
        <w:t></w:t>
      </w:r>
      <w:r>
        <w:rPr>
          <w:rFonts w:eastAsia="Wingdings"/>
          <w:bCs/>
          <w:vertAlign w:val="superscript"/>
        </w:rPr>
        <w:t>0</w:t>
      </w:r>
      <w:r>
        <w:rPr>
          <w:rFonts w:eastAsia="Wingdings" w:cs="Symbol" w:ascii="Symbol" w:hAnsi="Symbol"/>
          <w:bCs/>
        </w:rPr>
        <w:t></w:t>
      </w:r>
      <w:r>
        <w:rPr>
          <w:rFonts w:eastAsia="Wingdings"/>
          <w:bCs/>
          <w:vertAlign w:val="superscript"/>
        </w:rPr>
        <w:t>0</w:t>
      </w:r>
      <w:r>
        <w:rPr>
          <w:rFonts w:eastAsia="Wingdings"/>
          <w:bCs/>
        </w:rPr>
        <w:t xml:space="preserve"> </w:t>
      </w:r>
      <w:r>
        <w:rPr/>
        <w:t xml:space="preserve">(с </w:t>
      </w:r>
      <w:r>
        <w:rPr>
          <w:bCs/>
        </w:rPr>
        <w:t xml:space="preserve">аксептансом около </w:t>
      </w:r>
      <w:r>
        <w:rPr/>
        <w:t xml:space="preserve">5%), даже с аппаратно сниженной в 100 раз частотой срабатывания триггера для получения верхнего предела </w:t>
      </w:r>
      <w:r>
        <w:rPr>
          <w:bCs/>
        </w:rPr>
        <w:t>вероятности распада</w:t>
      </w:r>
      <w:r>
        <w:rPr/>
        <w:t xml:space="preserve"> около 10</w:t>
      </w:r>
      <w:r>
        <w:rPr>
          <w:vertAlign w:val="superscript"/>
        </w:rPr>
        <w:t>-8</w:t>
      </w:r>
      <w:r>
        <w:rPr/>
        <w:t xml:space="preserve">. Это на три порядка ниже, чем предел, полученный экспериментом </w:t>
      </w:r>
      <w:r>
        <w:rPr>
          <w:bCs/>
        </w:rPr>
        <w:t>ISTRA</w:t>
      </w:r>
      <w:r>
        <w:rPr/>
        <w:t xml:space="preserve"> [8] (см. рис. 4, правая часть).</w:t>
      </w:r>
    </w:p>
    <w:p>
      <w:pPr>
        <w:pStyle w:val="Normal"/>
        <w:shd w:val="clear" w:color="auto" w:fill="FFFFFF"/>
        <w:spacing w:before="120" w:after="0"/>
        <w:ind w:right="0" w:firstLine="720"/>
        <w:jc w:val="both"/>
        <w:rPr/>
      </w:pPr>
      <w:r>
        <w:rPr/>
        <w:t xml:space="preserve">На основе данных эксперимента NA62 также предусмотрены поиски тяжелого нейтрального лептона (ТНЛ) в распадах заряженных каонов. Ненулевые массы и перемешивание нейтрино в стандартной модели (СМ) в настоящее время уже установлены. Было предложено много расширений СМ с участием массивных «стерильных» нейтрино, также называемых тяжелыми нейтральными лептонами, которые смешиваются с обычными легкими «активными» нейтрино. Например, Нейтринная Минимальная Стандартная модель [9] постулирует существование трёх ТНЛ, объясняя тем самым темную материю и барионную асимметрию Вселенной. Идея поиска ТНЛ в NA62 основана на изучении распределений недостающей массы для топологий </w:t>
      </w:r>
      <w:r>
        <w:rPr>
          <w:rFonts w:eastAsia="Wingdings"/>
          <w:spacing w:val="1"/>
          <w:w w:val="120"/>
          <w:szCs w:val="24"/>
          <w:lang w:val="en-US"/>
        </w:rPr>
        <w:t>K</w:t>
      </w:r>
      <w:r>
        <w:rPr>
          <w:rFonts w:eastAsia="Wingdings"/>
          <w:spacing w:val="1"/>
          <w:w w:val="120"/>
          <w:szCs w:val="24"/>
          <w:vertAlign w:val="superscript"/>
        </w:rPr>
        <w:t>+</w:t>
      </w:r>
      <w:r>
        <w:rPr>
          <w:rFonts w:cs="Symbol" w:ascii="Symbol" w:hAnsi="Symbol"/>
          <w:spacing w:val="1"/>
          <w:w w:val="120"/>
        </w:rPr>
        <w:t></w:t>
      </w:r>
      <w:r>
        <w:rPr>
          <w:rFonts w:eastAsia="Wingdings" w:cs="Liberation Serif" w:ascii="Liberation Serif" w:hAnsi="Liberation Serif"/>
          <w:bCs/>
          <w:spacing w:val="4"/>
          <w:lang w:val="en-GB"/>
        </w:rPr>
        <w:t>e</w:t>
      </w:r>
      <w:r>
        <w:rPr>
          <w:rFonts w:eastAsia="Wingdings"/>
          <w:bCs/>
          <w:spacing w:val="4"/>
          <w:vertAlign w:val="superscript"/>
        </w:rPr>
        <w:t>+</w:t>
      </w:r>
      <w:r>
        <w:rPr>
          <w:rFonts w:eastAsia="Wingdings"/>
          <w:spacing w:val="4"/>
        </w:rPr>
        <w:t xml:space="preserve"> и </w:t>
      </w:r>
      <w:r>
        <w:rPr>
          <w:rFonts w:eastAsia="Wingdings"/>
          <w:spacing w:val="1"/>
          <w:w w:val="120"/>
          <w:szCs w:val="24"/>
          <w:lang w:val="en-US"/>
        </w:rPr>
        <w:t>K</w:t>
      </w:r>
      <w:r>
        <w:rPr>
          <w:rFonts w:eastAsia="Wingdings"/>
          <w:spacing w:val="1"/>
          <w:w w:val="120"/>
          <w:szCs w:val="24"/>
          <w:vertAlign w:val="superscript"/>
        </w:rPr>
        <w:t>+</w:t>
      </w:r>
      <w:r>
        <w:rPr>
          <w:rFonts w:cs="Symbol" w:ascii="Symbol" w:hAnsi="Symbol"/>
          <w:spacing w:val="1"/>
          <w:w w:val="120"/>
        </w:rPr>
        <w:t></w:t>
      </w:r>
      <w:r>
        <w:rPr>
          <w:rFonts w:eastAsia="Wingdings" w:cs="Symbol" w:ascii="Symbol" w:hAnsi="Symbol"/>
          <w:bCs/>
          <w:spacing w:val="4"/>
          <w:lang w:val="en-GB"/>
        </w:rPr>
        <w:t></w:t>
      </w:r>
      <w:r>
        <w:rPr>
          <w:rFonts w:eastAsia="Wingdings"/>
          <w:bCs/>
          <w:spacing w:val="4"/>
          <w:vertAlign w:val="superscript"/>
        </w:rPr>
        <w:t xml:space="preserve">+ </w:t>
      </w:r>
      <w:r>
        <w:rPr/>
        <w:t>с измеренными импульсами каона и лептона. Рождение тяжелого нейтрального лептона должно наблюдаться в виде пика в распределении недостающей массы при априорно неизвестном ненулевом значении массы.</w:t>
      </w:r>
    </w:p>
    <w:p>
      <w:pPr>
        <w:pStyle w:val="Normal"/>
        <w:jc w:val="center"/>
        <w:rPr>
          <w:rFonts w:eastAsia="Wingdings"/>
          <w:color w:val="FF0000"/>
        </w:rPr>
      </w:pPr>
      <w:r>
        <w:rPr/>
        <w:drawing>
          <wp:inline distT="0" distB="0" distL="0" distR="0">
            <wp:extent cx="2243455" cy="1529080"/>
            <wp:effectExtent l="0" t="0" r="0" b="0"/>
            <wp:docPr id="7"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1" descr=""/>
                    <pic:cNvPicPr>
                      <a:picLocks noChangeAspect="1" noChangeArrowheads="1"/>
                    </pic:cNvPicPr>
                  </pic:nvPicPr>
                  <pic:blipFill>
                    <a:blip r:embed="rId7"/>
                    <a:stretch>
                      <a:fillRect/>
                    </a:stretch>
                  </pic:blipFill>
                  <pic:spPr bwMode="auto">
                    <a:xfrm>
                      <a:off x="0" y="0"/>
                      <a:ext cx="2243455" cy="1529080"/>
                    </a:xfrm>
                    <a:prstGeom prst="rect">
                      <a:avLst/>
                    </a:prstGeom>
                  </pic:spPr>
                </pic:pic>
              </a:graphicData>
            </a:graphic>
          </wp:inline>
        </w:drawing>
      </w:r>
      <w:r>
        <w:rPr>
          <w:rFonts w:eastAsia="Wingdings"/>
          <w:color w:val="FF0000"/>
        </w:rPr>
        <w:tab/>
        <w:tab/>
        <w:tab/>
      </w:r>
      <w:r>
        <w:rPr>
          <w:rFonts w:eastAsia="Wingdings"/>
          <w:color w:val="FF0000"/>
        </w:rPr>
        <w:drawing>
          <wp:inline distT="0" distB="0" distL="0" distR="0">
            <wp:extent cx="1948180" cy="2209165"/>
            <wp:effectExtent l="0" t="0" r="0" b="0"/>
            <wp:docPr id="8"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2" descr=""/>
                    <pic:cNvPicPr>
                      <a:picLocks noChangeAspect="1" noChangeArrowheads="1"/>
                    </pic:cNvPicPr>
                  </pic:nvPicPr>
                  <pic:blipFill>
                    <a:blip r:embed="rId8"/>
                    <a:stretch>
                      <a:fillRect/>
                    </a:stretch>
                  </pic:blipFill>
                  <pic:spPr bwMode="auto">
                    <a:xfrm>
                      <a:off x="0" y="0"/>
                      <a:ext cx="1948180" cy="2209165"/>
                    </a:xfrm>
                    <a:prstGeom prst="rect">
                      <a:avLst/>
                    </a:prstGeom>
                  </pic:spPr>
                </pic:pic>
              </a:graphicData>
            </a:graphic>
          </wp:inline>
        </w:drawing>
      </w:r>
    </w:p>
    <w:p>
      <w:pPr>
        <w:pStyle w:val="Normal"/>
        <w:ind w:left="567" w:hanging="0"/>
        <w:jc w:val="center"/>
        <w:rPr>
          <w:rFonts w:eastAsia="Wingdings"/>
          <w:i/>
          <w:i/>
          <w:sz w:val="22"/>
          <w:szCs w:val="22"/>
        </w:rPr>
      </w:pPr>
      <w:r>
        <w:rPr>
          <w:rFonts w:eastAsia="Wingdings"/>
          <w:i/>
          <w:sz w:val="22"/>
          <w:szCs w:val="22"/>
        </w:rPr>
      </w:r>
    </w:p>
    <w:p>
      <w:pPr>
        <w:pStyle w:val="Normal"/>
        <w:spacing w:before="0" w:after="360"/>
        <w:ind w:left="567" w:hanging="0"/>
        <w:jc w:val="both"/>
        <w:rPr/>
      </w:pPr>
      <w:r>
        <w:rPr/>
        <w:t xml:space="preserve">Рис. 4. </w:t>
      </w:r>
      <w:r>
        <w:rPr>
          <w:i/>
        </w:rPr>
        <w:t>Диаграмма образования суперсимметричных партнеров фермиона Голдстоуна (слева) и верхний предел парциальной ширины распада из эксперимента ISTRA (справа).</w:t>
      </w:r>
    </w:p>
    <w:p>
      <w:pPr>
        <w:pStyle w:val="Heading2"/>
        <w:ind w:left="0" w:hanging="0"/>
        <w:rPr>
          <w:rFonts w:eastAsia="Wingdings"/>
          <w:b/>
          <w:b/>
          <w:u w:val="single"/>
        </w:rPr>
      </w:pPr>
      <w:r>
        <w:rPr>
          <w:rFonts w:eastAsia="Wingdings"/>
          <w:b/>
          <w:u w:val="single"/>
        </w:rPr>
        <w:t>Основные характеристики экспериментальной установки</w:t>
      </w:r>
    </w:p>
    <w:p>
      <w:pPr>
        <w:pStyle w:val="Normal"/>
        <w:tabs>
          <w:tab w:val="left" w:pos="0" w:leader="none"/>
        </w:tabs>
        <w:spacing w:lineRule="atLeast" w:line="100"/>
        <w:rPr>
          <w:rFonts w:eastAsia="Wingdings"/>
          <w:b/>
          <w:b/>
          <w:u w:val="single"/>
        </w:rPr>
      </w:pPr>
      <w:r>
        <w:rPr>
          <w:rFonts w:eastAsia="Wingdings"/>
          <w:b/>
          <w:u w:val="single"/>
        </w:rPr>
      </w:r>
    </w:p>
    <w:p>
      <w:pPr>
        <w:pStyle w:val="WWPlainText"/>
        <w:spacing w:before="0" w:after="120"/>
        <w:ind w:firstLine="540"/>
        <w:jc w:val="both"/>
        <w:rPr/>
      </w:pPr>
      <w:r>
        <w:rPr>
          <w:rFonts w:eastAsia="Wingdings"/>
          <w:bCs/>
        </w:rPr>
        <w:t xml:space="preserve">Вышеуказанные задачи определяют дизайн экспериментальной установки NA62 (см. рис. 2). Основной проектной идеей была избыточность измерения характеристик частиц, поскольку требуется контролировать негауссовые хвосты распределений измеряемых физических величин для точного измерения кинематики событий. В экспериментальную установку NA62 входят следующие </w:t>
      </w:r>
      <w:r>
        <w:rPr/>
        <w:t xml:space="preserve">детекторные </w:t>
      </w:r>
      <w:r>
        <w:rPr>
          <w:rFonts w:eastAsia="Wingdings"/>
          <w:bCs/>
        </w:rPr>
        <w:t>системы:</w:t>
      </w:r>
    </w:p>
    <w:p>
      <w:pPr>
        <w:pStyle w:val="Normal"/>
        <w:widowControl w:val="false"/>
        <w:numPr>
          <w:ilvl w:val="0"/>
          <w:numId w:val="1"/>
        </w:numPr>
        <w:spacing w:before="0" w:after="120"/>
        <w:jc w:val="both"/>
        <w:rPr>
          <w:rFonts w:eastAsia="Wingdings" w:cs="Calibri"/>
        </w:rPr>
      </w:pPr>
      <w:r>
        <w:rPr>
          <w:rFonts w:eastAsia="Wingdings" w:cs="Calibri"/>
          <w:b/>
          <w:lang w:val="en-US"/>
        </w:rPr>
        <w:t>CEDAR</w:t>
      </w:r>
      <w:r>
        <w:rPr>
          <w:rFonts w:eastAsia="Wingdings" w:cs="Calibri"/>
        </w:rPr>
        <w:t xml:space="preserve"> идентифицирует компоненту </w:t>
      </w:r>
      <w:r>
        <w:rPr>
          <w:rFonts w:eastAsia="Wingdings" w:cs="Calibri"/>
          <w:i/>
          <w:lang w:val="en-US"/>
        </w:rPr>
        <w:t>K</w:t>
      </w:r>
      <w:r>
        <w:rPr>
          <w:rFonts w:eastAsia="Wingdings" w:cs="Calibri"/>
          <w:i/>
          <w:vertAlign w:val="superscript"/>
        </w:rPr>
        <w:t>+</w:t>
      </w:r>
      <w:r>
        <w:rPr>
          <w:rFonts w:eastAsia="Wingdings" w:cs="Calibri"/>
        </w:rPr>
        <w:t xml:space="preserve"> в пучке по отношению к другим частицам пучка с использованием усовершенствованного дифференциального </w:t>
      </w:r>
      <w:r>
        <w:rPr/>
        <w:t>ч</w:t>
      </w:r>
      <w:r>
        <w:rPr>
          <w:color w:val="000000"/>
        </w:rPr>
        <w:t xml:space="preserve">еренковского </w:t>
      </w:r>
      <w:r>
        <w:rPr>
          <w:rFonts w:eastAsia="Wingdings" w:cs="Calibri"/>
        </w:rPr>
        <w:t xml:space="preserve">счетчика. </w:t>
      </w:r>
    </w:p>
    <w:p>
      <w:pPr>
        <w:pStyle w:val="Normal"/>
        <w:numPr>
          <w:ilvl w:val="0"/>
          <w:numId w:val="1"/>
        </w:numPr>
        <w:spacing w:lineRule="atLeast" w:line="100" w:before="0" w:after="120"/>
        <w:jc w:val="both"/>
        <w:rPr/>
      </w:pPr>
      <w:r>
        <w:rPr/>
        <w:t xml:space="preserve">Гигатрекер </w:t>
      </w:r>
      <w:r>
        <w:rPr>
          <w:b/>
          <w:bCs/>
          <w:color w:val="000000"/>
        </w:rPr>
        <w:t xml:space="preserve">(GTK) </w:t>
      </w:r>
      <w:r>
        <w:rPr>
          <w:color w:val="000000"/>
        </w:rPr>
        <w:t>состоит из тр</w:t>
      </w:r>
      <w:r>
        <w:rPr/>
        <w:t>ех кремниевых</w:t>
      </w:r>
      <w:r>
        <w:rPr>
          <w:color w:val="000000"/>
        </w:rPr>
        <w:t xml:space="preserve"> микро-пиксел</w:t>
      </w:r>
      <w:r>
        <w:rPr/>
        <w:t>ьных</w:t>
      </w:r>
      <w:r>
        <w:rPr>
          <w:color w:val="000000"/>
        </w:rPr>
        <w:t xml:space="preserve"> станций, измеряющих время, направление и импульс частиц пучка перед входом в </w:t>
      </w:r>
      <w:r>
        <w:rPr/>
        <w:t>распадный объем</w:t>
      </w:r>
      <w:r>
        <w:rPr>
          <w:color w:val="000000"/>
        </w:rPr>
        <w:t xml:space="preserve">. </w:t>
      </w:r>
    </w:p>
    <w:p>
      <w:pPr>
        <w:pStyle w:val="Normal"/>
        <w:numPr>
          <w:ilvl w:val="0"/>
          <w:numId w:val="1"/>
        </w:numPr>
        <w:spacing w:lineRule="atLeast" w:line="100" w:before="0" w:after="120"/>
        <w:jc w:val="both"/>
        <w:rPr/>
      </w:pPr>
      <w:r>
        <w:rPr>
          <w:b/>
          <w:color w:val="000000"/>
        </w:rPr>
        <w:t>STRAW-трекер</w:t>
      </w:r>
      <w:r>
        <w:rPr>
          <w:color w:val="000000"/>
        </w:rPr>
        <w:t xml:space="preserve"> состоит из 4 строу-камер. Трекер измеряет координаты и импульсы вторичных заряженных частиц, </w:t>
      </w:r>
      <w:r>
        <w:rPr/>
        <w:t xml:space="preserve">рождающихся в </w:t>
      </w:r>
      <w:r>
        <w:rPr>
          <w:color w:val="000000"/>
        </w:rPr>
        <w:t>распад</w:t>
      </w:r>
      <w:r>
        <w:rPr/>
        <w:t>ном объеме</w:t>
      </w:r>
      <w:r>
        <w:rPr>
          <w:color w:val="000000"/>
        </w:rPr>
        <w:t>. Чтобы минимизировать многократное рассеяние, камеры изготовлены из сверхлегкого материала и установлены в вакуумном объёме. Четыре строу-камеры расположены вблизи дипольного магнита с большой апертурой (MNP33, черный на схеме), который обеспечивает вертикальное магнитное поле, равное 0,36 T.</w:t>
      </w:r>
    </w:p>
    <w:p>
      <w:pPr>
        <w:pStyle w:val="Normal"/>
        <w:numPr>
          <w:ilvl w:val="0"/>
          <w:numId w:val="1"/>
        </w:numPr>
        <w:spacing w:lineRule="atLeast" w:line="100" w:before="0" w:after="60"/>
        <w:jc w:val="both"/>
        <w:rPr>
          <w:color w:val="000000"/>
        </w:rPr>
      </w:pPr>
      <w:r>
        <w:rPr>
          <w:b/>
          <w:bCs/>
          <w:color w:val="000000"/>
        </w:rPr>
        <w:t>RICH</w:t>
      </w:r>
      <w:r>
        <w:rPr>
          <w:b/>
          <w:bCs/>
        </w:rPr>
        <w:t>-</w:t>
      </w:r>
      <w:r>
        <w:rPr>
          <w:b/>
          <w:bCs/>
          <w:color w:val="000000"/>
        </w:rPr>
        <w:t xml:space="preserve">детектор </w:t>
      </w:r>
      <w:r>
        <w:rPr>
          <w:color w:val="000000"/>
        </w:rPr>
        <w:t xml:space="preserve">состоит из </w:t>
      </w:r>
      <w:r>
        <w:rPr/>
        <w:t xml:space="preserve">радиатора </w:t>
      </w:r>
      <w:r>
        <w:rPr>
          <w:color w:val="000000"/>
        </w:rPr>
        <w:t>д</w:t>
      </w:r>
      <w:r>
        <w:rPr/>
        <w:t>линой 17 м</w:t>
      </w:r>
      <w:r>
        <w:rPr>
          <w:color w:val="000000"/>
        </w:rPr>
        <w:t xml:space="preserve">, заполненного неоном </w:t>
      </w:r>
      <w:r>
        <w:rPr/>
        <w:t>при давлении в</w:t>
      </w:r>
      <w:r>
        <w:rPr>
          <w:color w:val="000000"/>
        </w:rPr>
        <w:t xml:space="preserve"> 1 атм., и позволяет различать пион</w:t>
      </w:r>
      <w:r>
        <w:rPr/>
        <w:t>ы</w:t>
      </w:r>
      <w:r>
        <w:rPr>
          <w:color w:val="000000"/>
        </w:rPr>
        <w:t xml:space="preserve"> и мюон</w:t>
      </w:r>
      <w:r>
        <w:rPr/>
        <w:t>ы</w:t>
      </w:r>
      <w:r>
        <w:rPr>
          <w:color w:val="000000"/>
        </w:rPr>
        <w:t xml:space="preserve"> </w:t>
      </w:r>
      <w:r>
        <w:rPr/>
        <w:t>с импульсами в диапазоне от</w:t>
      </w:r>
      <w:r>
        <w:rPr>
          <w:color w:val="000000"/>
        </w:rPr>
        <w:t xml:space="preserve"> 15 до 35 ГэВ/с.</w:t>
      </w:r>
    </w:p>
    <w:p>
      <w:pPr>
        <w:pStyle w:val="Normal"/>
        <w:widowControl w:val="false"/>
        <w:numPr>
          <w:ilvl w:val="0"/>
          <w:numId w:val="1"/>
        </w:numPr>
        <w:spacing w:before="0" w:after="120"/>
        <w:jc w:val="both"/>
        <w:rPr>
          <w:rFonts w:eastAsia="Wingdings" w:cs="Calibri"/>
        </w:rPr>
      </w:pPr>
      <w:r>
        <w:rPr>
          <w:rFonts w:eastAsia="Wingdings" w:cs="Calibri"/>
        </w:rPr>
        <w:t xml:space="preserve">Система </w:t>
      </w:r>
      <w:r>
        <w:rPr/>
        <w:t>гамма-в</w:t>
      </w:r>
      <w:r>
        <w:rPr>
          <w:color w:val="000000"/>
        </w:rPr>
        <w:t xml:space="preserve">ето </w:t>
      </w:r>
      <w:r>
        <w:rPr>
          <w:rFonts w:eastAsia="Wingdings" w:cs="Calibri"/>
        </w:rPr>
        <w:t>детекторов обеспечивает герметичный охват области распада от нуля до больших (~ 50 мрад) углов. Это обеспечивается за счет</w:t>
      </w:r>
    </w:p>
    <w:p>
      <w:pPr>
        <w:pStyle w:val="Normal"/>
        <w:widowControl w:val="false"/>
        <w:spacing w:before="0" w:after="120"/>
        <w:ind w:left="1080" w:hanging="0"/>
        <w:jc w:val="both"/>
        <w:rPr/>
      </w:pPr>
      <w:r>
        <w:rPr>
          <w:rFonts w:eastAsia="Wingdings" w:cs="Calibri"/>
        </w:rPr>
        <w:t xml:space="preserve">1. </w:t>
      </w:r>
      <w:r>
        <w:rPr>
          <w:color w:val="000000"/>
        </w:rPr>
        <w:t>жидко</w:t>
      </w:r>
      <w:r>
        <w:rPr/>
        <w:t>-</w:t>
      </w:r>
      <w:r>
        <w:rPr>
          <w:color w:val="000000"/>
        </w:rPr>
        <w:t>криптон</w:t>
      </w:r>
      <w:r>
        <w:rPr/>
        <w:t>ового</w:t>
      </w:r>
      <w:r>
        <w:rPr>
          <w:color w:val="000000"/>
        </w:rPr>
        <w:t xml:space="preserve"> электромагнитного калориметра </w:t>
      </w:r>
      <w:r>
        <w:rPr>
          <w:b/>
          <w:bCs/>
          <w:color w:val="000000"/>
        </w:rPr>
        <w:t>(LKr)</w:t>
      </w:r>
      <w:r>
        <w:rPr>
          <w:color w:val="000000"/>
        </w:rPr>
        <w:t xml:space="preserve"> с </w:t>
      </w:r>
      <w:r>
        <w:rPr/>
        <w:t>высоким разрешением</w:t>
      </w:r>
      <w:r>
        <w:rPr>
          <w:rFonts w:eastAsia="Wingdings" w:cs="Calibri"/>
        </w:rPr>
        <w:t>,</w:t>
      </w:r>
    </w:p>
    <w:p>
      <w:pPr>
        <w:pStyle w:val="Normal"/>
        <w:widowControl w:val="false"/>
        <w:spacing w:before="0" w:after="120"/>
        <w:ind w:left="1080" w:hanging="0"/>
        <w:jc w:val="both"/>
        <w:rPr>
          <w:rFonts w:eastAsia="Wingdings" w:cs="Calibri"/>
        </w:rPr>
      </w:pPr>
      <w:r>
        <w:rPr>
          <w:rFonts w:eastAsia="Wingdings" w:cs="Calibri"/>
        </w:rPr>
        <w:t>2. промежуточного кольцевого (</w:t>
      </w:r>
      <w:r>
        <w:rPr>
          <w:rFonts w:eastAsia="Wingdings" w:cs="Calibri"/>
          <w:b/>
        </w:rPr>
        <w:t>IRC</w:t>
      </w:r>
      <w:r>
        <w:rPr>
          <w:rFonts w:eastAsia="Wingdings" w:cs="Calibri"/>
        </w:rPr>
        <w:t>) и малоуглового (</w:t>
      </w:r>
      <w:r>
        <w:rPr>
          <w:rFonts w:eastAsia="Wingdings" w:cs="Calibri"/>
          <w:b/>
        </w:rPr>
        <w:t>SAC</w:t>
      </w:r>
      <w:r>
        <w:rPr>
          <w:rFonts w:eastAsia="Wingdings" w:cs="Calibri"/>
        </w:rPr>
        <w:t xml:space="preserve">) калориметров </w:t>
      </w:r>
      <w:r>
        <w:rPr>
          <w:color w:val="000000"/>
        </w:rPr>
        <w:t>для малых углов</w:t>
      </w:r>
      <w:r>
        <w:rPr>
          <w:rFonts w:eastAsia="Wingdings" w:cs="Calibri"/>
        </w:rPr>
        <w:t xml:space="preserve">, </w:t>
      </w:r>
    </w:p>
    <w:p>
      <w:pPr>
        <w:pStyle w:val="Normal"/>
        <w:widowControl w:val="false"/>
        <w:spacing w:before="0" w:after="120"/>
        <w:ind w:left="1080" w:hanging="0"/>
        <w:jc w:val="both"/>
        <w:rPr/>
      </w:pPr>
      <w:r>
        <w:rPr>
          <w:rFonts w:eastAsia="Wingdings" w:cs="Calibri"/>
        </w:rPr>
        <w:t>3. серии из 12 кольцевых детекторов фотонного вето (</w:t>
      </w:r>
      <w:r>
        <w:rPr>
          <w:rFonts w:eastAsia="Wingdings" w:cs="Calibri"/>
          <w:b/>
          <w:lang w:val="en-US"/>
        </w:rPr>
        <w:t>LAV</w:t>
      </w:r>
      <w:r>
        <w:rPr>
          <w:rFonts w:eastAsia="Wingdings" w:cs="Calibri"/>
        </w:rPr>
        <w:t xml:space="preserve"> или </w:t>
      </w:r>
      <w:r>
        <w:rPr>
          <w:rFonts w:eastAsia="Wingdings" w:cs="Calibri"/>
          <w:b/>
          <w:lang w:val="en-US"/>
        </w:rPr>
        <w:t>Veto</w:t>
      </w:r>
      <w:r>
        <w:rPr>
          <w:rFonts w:eastAsia="Wingdings" w:cs="Calibri"/>
        </w:rPr>
        <w:t>) для больших углов.</w:t>
      </w:r>
    </w:p>
    <w:p>
      <w:pPr>
        <w:pStyle w:val="Normal"/>
        <w:widowControl w:val="false"/>
        <w:numPr>
          <w:ilvl w:val="1"/>
          <w:numId w:val="3"/>
        </w:numPr>
        <w:spacing w:before="0" w:after="120"/>
        <w:ind w:left="709" w:hanging="283"/>
        <w:jc w:val="both"/>
        <w:rPr/>
      </w:pPr>
      <w:r>
        <w:rPr>
          <w:rFonts w:eastAsia="Wingdings" w:cs="Calibri"/>
          <w:color w:val="000000"/>
        </w:rPr>
        <w:t>Мюонное вето (</w:t>
      </w:r>
      <w:r>
        <w:rPr>
          <w:rFonts w:eastAsia="Wingdings" w:cs="Calibri"/>
          <w:b/>
          <w:color w:val="000000"/>
          <w:lang w:val="en-US"/>
        </w:rPr>
        <w:t>MUV</w:t>
      </w:r>
      <w:r>
        <w:rPr>
          <w:rFonts w:eastAsia="Wingdings" w:cs="Calibri"/>
          <w:color w:val="000000"/>
        </w:rPr>
        <w:t xml:space="preserve">) состоит из </w:t>
      </w:r>
      <w:r>
        <w:rPr>
          <w:color w:val="000000"/>
        </w:rPr>
        <w:t>адронн</w:t>
      </w:r>
      <w:r>
        <w:rPr/>
        <w:t>ого</w:t>
      </w:r>
      <w:r>
        <w:rPr>
          <w:color w:val="000000"/>
        </w:rPr>
        <w:t xml:space="preserve"> калориметра с до</w:t>
      </w:r>
      <w:r>
        <w:rPr/>
        <w:t xml:space="preserve">полнительным слоем железа и </w:t>
      </w:r>
      <w:r>
        <w:rPr>
          <w:color w:val="000000"/>
        </w:rPr>
        <w:t xml:space="preserve">годоскопа с поперечной сегментацией. Эта система дополняет и обеспечивает избыточность вместе с </w:t>
      </w:r>
      <w:r>
        <w:rPr>
          <w:lang w:val="en-US"/>
        </w:rPr>
        <w:t>RICH</w:t>
      </w:r>
      <w:r>
        <w:rPr>
          <w:color w:val="000000"/>
        </w:rPr>
        <w:t xml:space="preserve"> при </w:t>
      </w:r>
      <w:r>
        <w:rPr/>
        <w:t>регистрации или</w:t>
      </w:r>
      <w:r>
        <w:rPr>
          <w:color w:val="000000"/>
        </w:rPr>
        <w:t xml:space="preserve"> отбраковке мюонов</w:t>
      </w:r>
      <w:r>
        <w:rPr/>
        <w:t>.</w:t>
      </w:r>
    </w:p>
    <w:p>
      <w:pPr>
        <w:pStyle w:val="Normal"/>
        <w:spacing w:lineRule="atLeast" w:line="100" w:before="0" w:after="120"/>
        <w:ind w:firstLine="426"/>
        <w:jc w:val="both"/>
        <w:rPr>
          <w:color w:val="000000"/>
        </w:rPr>
      </w:pPr>
      <w:r>
        <w:rPr>
          <w:color w:val="000000"/>
        </w:rPr>
        <w:t>Эти детекторы дополняются счетчик</w:t>
      </w:r>
      <w:r>
        <w:rPr/>
        <w:t>ами</w:t>
      </w:r>
      <w:r>
        <w:rPr>
          <w:color w:val="000000"/>
        </w:rPr>
        <w:t xml:space="preserve"> защитного кольца </w:t>
      </w:r>
      <w:r>
        <w:rPr>
          <w:b/>
          <w:bCs/>
          <w:color w:val="000000"/>
        </w:rPr>
        <w:t xml:space="preserve">(CHANTI), </w:t>
      </w:r>
      <w:r>
        <w:rPr>
          <w:bCs/>
          <w:color w:val="000000"/>
        </w:rPr>
        <w:t>расположенными</w:t>
      </w:r>
      <w:r>
        <w:rPr>
          <w:b/>
          <w:bCs/>
          <w:color w:val="000000"/>
        </w:rPr>
        <w:t xml:space="preserve"> </w:t>
      </w:r>
      <w:r>
        <w:rPr>
          <w:color w:val="000000"/>
        </w:rPr>
        <w:t xml:space="preserve">вокруг последней станции </w:t>
      </w:r>
      <w:r>
        <w:rPr/>
        <w:t>гигатрекера</w:t>
      </w:r>
      <w:r>
        <w:rPr>
          <w:color w:val="000000"/>
        </w:rPr>
        <w:t xml:space="preserve"> и </w:t>
      </w:r>
      <w:r>
        <w:rPr/>
        <w:t xml:space="preserve">годоскопом </w:t>
      </w:r>
      <w:r>
        <w:rPr>
          <w:color w:val="000000"/>
        </w:rPr>
        <w:t xml:space="preserve">заряженных частиц </w:t>
      </w:r>
      <w:r>
        <w:rPr>
          <w:b/>
          <w:bCs/>
          <w:color w:val="000000"/>
        </w:rPr>
        <w:t>(</w:t>
      </w:r>
      <w:r>
        <w:rPr>
          <w:b/>
          <w:bCs/>
        </w:rPr>
        <w:t>CHOD</w:t>
      </w:r>
      <w:r>
        <w:rPr>
          <w:b/>
          <w:bCs/>
          <w:color w:val="000000"/>
        </w:rPr>
        <w:t xml:space="preserve">), </w:t>
      </w:r>
      <w:r>
        <w:rPr>
          <w:color w:val="000000"/>
        </w:rPr>
        <w:t xml:space="preserve">охватывающим </w:t>
      </w:r>
      <w:r>
        <w:rPr/>
        <w:t>аксептанс установки</w:t>
      </w:r>
      <w:r>
        <w:rPr>
          <w:color w:val="000000"/>
        </w:rPr>
        <w:t xml:space="preserve"> и расположенным между </w:t>
      </w:r>
      <w:r>
        <w:rPr/>
        <w:t xml:space="preserve">RICH </w:t>
      </w:r>
      <w:r>
        <w:rPr>
          <w:color w:val="000000"/>
        </w:rPr>
        <w:t xml:space="preserve">и LKR. </w:t>
      </w:r>
    </w:p>
    <w:p>
      <w:pPr>
        <w:pStyle w:val="Normal"/>
        <w:spacing w:lineRule="atLeast" w:line="100" w:before="0" w:after="120"/>
        <w:ind w:firstLine="426"/>
        <w:jc w:val="both"/>
        <w:rPr/>
      </w:pPr>
      <w:r>
        <w:rPr>
          <w:color w:val="000000"/>
        </w:rPr>
        <w:t>Все перечисленные детектор</w:t>
      </w:r>
      <w:r>
        <w:rPr/>
        <w:t>ы</w:t>
      </w:r>
      <w:r>
        <w:rPr>
          <w:color w:val="000000"/>
        </w:rPr>
        <w:t xml:space="preserve"> управл</w:t>
      </w:r>
      <w:r>
        <w:rPr/>
        <w:t>яются</w:t>
      </w:r>
      <w:r>
        <w:rPr>
          <w:color w:val="000000"/>
        </w:rPr>
        <w:t xml:space="preserve"> и связываются для совместной работы системой </w:t>
      </w:r>
      <w:r>
        <w:rPr>
          <w:b/>
          <w:bCs/>
          <w:color w:val="000000"/>
        </w:rPr>
        <w:t xml:space="preserve">триггера </w:t>
      </w:r>
      <w:r>
        <w:rPr>
          <w:color w:val="000000"/>
        </w:rPr>
        <w:t xml:space="preserve">и </w:t>
      </w:r>
      <w:r>
        <w:rPr/>
        <w:t xml:space="preserve"> </w:t>
      </w:r>
      <w:r>
        <w:rPr>
          <w:b/>
          <w:bCs/>
          <w:color w:val="000000"/>
        </w:rPr>
        <w:t xml:space="preserve">сбора данных </w:t>
      </w:r>
      <w:r>
        <w:rPr>
          <w:color w:val="000000"/>
        </w:rPr>
        <w:t>(TDAQ). Основные детекторы подробно описаны в</w:t>
      </w:r>
      <w:r>
        <w:rPr>
          <w:rFonts w:eastAsia="Wingdings"/>
          <w:bCs/>
        </w:rPr>
        <w:t xml:space="preserve"> [1,3].</w:t>
      </w:r>
    </w:p>
    <w:p>
      <w:pPr>
        <w:pStyle w:val="WWPlainText"/>
        <w:ind w:firstLine="426"/>
        <w:jc w:val="both"/>
        <w:rPr/>
      </w:pPr>
      <w:r>
        <w:rPr>
          <w:bCs/>
        </w:rPr>
        <w:t>И</w:t>
      </w:r>
      <w:r>
        <w:rPr>
          <w:color w:val="000000"/>
        </w:rPr>
        <w:t>спользовани</w:t>
      </w:r>
      <w:r>
        <w:rPr>
          <w:bCs/>
        </w:rPr>
        <w:t>е</w:t>
      </w:r>
      <w:r>
        <w:rPr>
          <w:color w:val="000000"/>
        </w:rPr>
        <w:t xml:space="preserve"> </w:t>
      </w:r>
      <w:r>
        <w:rPr>
          <w:bCs/>
        </w:rPr>
        <w:t xml:space="preserve">несепарированного пучка </w:t>
      </w:r>
      <w:r>
        <w:rPr>
          <w:bCs/>
          <w:i/>
          <w:iCs/>
        </w:rPr>
        <w:t>K</w:t>
      </w:r>
      <w:r>
        <w:rPr>
          <w:bCs/>
          <w:i/>
          <w:iCs/>
          <w:vertAlign w:val="superscript"/>
        </w:rPr>
        <w:t>+</w:t>
      </w:r>
      <w:r>
        <w:rPr>
          <w:bCs/>
        </w:rPr>
        <w:t xml:space="preserve"> </w:t>
      </w:r>
      <w:r>
        <w:rPr>
          <w:color w:val="000000"/>
        </w:rPr>
        <w:t xml:space="preserve">высокой интенсивности </w:t>
      </w:r>
      <w:r>
        <w:rPr>
          <w:rFonts w:eastAsia="Wingdings"/>
          <w:bCs/>
        </w:rPr>
        <w:t>потребовало нескольких сложных решений, которые были реализованы при проектировании и постройке установки:</w:t>
      </w:r>
    </w:p>
    <w:p>
      <w:pPr>
        <w:pStyle w:val="WWPlainText"/>
        <w:ind w:firstLine="426"/>
        <w:jc w:val="both"/>
        <w:rPr>
          <w:rFonts w:eastAsia="Wingdings"/>
          <w:bCs/>
        </w:rPr>
      </w:pPr>
      <w:r>
        <w:rPr>
          <w:rFonts w:eastAsia="Wingdings"/>
          <w:bCs/>
        </w:rPr>
      </w:r>
    </w:p>
    <w:p>
      <w:pPr>
        <w:pStyle w:val="WWPlainText"/>
        <w:numPr>
          <w:ilvl w:val="0"/>
          <w:numId w:val="2"/>
        </w:numPr>
        <w:tabs>
          <w:tab w:val="left" w:pos="2634" w:leader="none"/>
        </w:tabs>
        <w:jc w:val="both"/>
        <w:rPr/>
      </w:pPr>
      <w:r>
        <w:rPr>
          <w:rFonts w:eastAsia="Wingdings"/>
          <w:bCs/>
        </w:rPr>
        <w:t xml:space="preserve">детектор с минимальным количеством материала и высоким временным разрешением для измерения импульса каона способен выполнять измерение треков заряженных частиц </w:t>
      </w:r>
      <w:r>
        <w:rPr/>
        <w:t xml:space="preserve">при полной загрузке, равной </w:t>
      </w:r>
      <w:r>
        <w:rPr>
          <w:color w:val="000000"/>
        </w:rPr>
        <w:t>1 ГГц</w:t>
      </w:r>
      <w:r>
        <w:rPr/>
        <w:t xml:space="preserve"> или </w:t>
      </w:r>
      <w:r>
        <w:rPr>
          <w:color w:val="000000"/>
        </w:rPr>
        <w:t>~60 МГц/см</w:t>
      </w:r>
      <w:r>
        <w:rPr>
          <w:color w:val="000000"/>
          <w:vertAlign w:val="superscript"/>
        </w:rPr>
        <w:t>2</w:t>
      </w:r>
      <w:r>
        <w:rPr>
          <w:rFonts w:eastAsia="Wingdings"/>
          <w:bCs/>
        </w:rPr>
        <w:t>;</w:t>
      </w:r>
    </w:p>
    <w:p>
      <w:pPr>
        <w:pStyle w:val="WWPlainText"/>
        <w:numPr>
          <w:ilvl w:val="0"/>
          <w:numId w:val="2"/>
        </w:numPr>
        <w:tabs>
          <w:tab w:val="left" w:pos="2634" w:leader="none"/>
        </w:tabs>
        <w:jc w:val="both"/>
        <w:rPr>
          <w:rFonts w:ascii="Symbol" w:hAnsi="Symbol" w:eastAsia="Symbol" w:cs="Symbol"/>
          <w:bCs/>
        </w:rPr>
      </w:pPr>
      <w:r>
        <w:rPr>
          <w:rFonts w:eastAsia="Wingdings"/>
          <w:bCs/>
        </w:rPr>
        <w:t>создан дифференциальный черенковский счетчик для идентификации положительных каонов (</w:t>
      </w:r>
      <w:r>
        <w:rPr>
          <w:rFonts w:eastAsia="Wingdings"/>
          <w:bCs/>
          <w:lang w:val="en-US"/>
        </w:rPr>
        <w:t>CEDAR</w:t>
      </w:r>
      <w:r>
        <w:rPr>
          <w:rFonts w:eastAsia="Wingdings"/>
          <w:bCs/>
        </w:rPr>
        <w:t>);</w:t>
      </w:r>
    </w:p>
    <w:p>
      <w:pPr>
        <w:pStyle w:val="Normal"/>
        <w:numPr>
          <w:ilvl w:val="0"/>
          <w:numId w:val="2"/>
        </w:numPr>
        <w:tabs>
          <w:tab w:val="left" w:pos="1702" w:leader="none"/>
          <w:tab w:val="left" w:pos="3485" w:leader="none"/>
        </w:tabs>
        <w:spacing w:lineRule="atLeast" w:line="100"/>
        <w:jc w:val="both"/>
        <w:rPr/>
      </w:pPr>
      <w:r>
        <w:rPr>
          <w:rFonts w:eastAsia="Wingdings"/>
          <w:bCs/>
        </w:rPr>
        <w:t xml:space="preserve">сконструирована </w:t>
      </w:r>
      <w:r>
        <w:rPr>
          <w:color w:val="000000"/>
        </w:rPr>
        <w:t>герметичная система фотонного вето, разделенная на три угловы</w:t>
      </w:r>
      <w:r>
        <w:rPr/>
        <w:t>х</w:t>
      </w:r>
      <w:r>
        <w:rPr>
          <w:color w:val="000000"/>
        </w:rPr>
        <w:t xml:space="preserve"> </w:t>
      </w:r>
      <w:r>
        <w:rPr/>
        <w:t xml:space="preserve">диапазона </w:t>
      </w:r>
      <w:r>
        <w:rPr>
          <w:color w:val="000000"/>
        </w:rPr>
        <w:t>и использ</w:t>
      </w:r>
      <w:r>
        <w:rPr/>
        <w:t>ующая</w:t>
      </w:r>
      <w:r>
        <w:rPr>
          <w:color w:val="000000"/>
        </w:rPr>
        <w:t xml:space="preserve"> три различных </w:t>
      </w:r>
      <w:r>
        <w:rPr/>
        <w:t>техники</w:t>
      </w:r>
      <w:r>
        <w:rPr>
          <w:color w:val="000000"/>
        </w:rPr>
        <w:t xml:space="preserve"> регистрации </w:t>
      </w:r>
      <w:r>
        <w:rPr>
          <w:rFonts w:ascii="Symbol" w:hAnsi="Symbol"/>
          <w:bCs/>
          <w:color w:val="000000"/>
        </w:rPr>
        <w:t></w:t>
      </w:r>
      <w:r>
        <w:rPr>
          <w:color w:val="000000"/>
        </w:rPr>
        <w:t>;</w:t>
      </w:r>
    </w:p>
    <w:p>
      <w:pPr>
        <w:pStyle w:val="Normal"/>
        <w:numPr>
          <w:ilvl w:val="0"/>
          <w:numId w:val="2"/>
        </w:numPr>
        <w:tabs>
          <w:tab w:val="left" w:pos="1702" w:leader="none"/>
          <w:tab w:val="left" w:pos="3485" w:leader="none"/>
        </w:tabs>
        <w:spacing w:lineRule="atLeast" w:line="100"/>
        <w:jc w:val="both"/>
        <w:rPr/>
      </w:pPr>
      <w:r>
        <w:rPr>
          <w:color w:val="000000"/>
        </w:rPr>
        <w:t xml:space="preserve">разделение </w:t>
      </w:r>
      <w:r>
        <w:rPr>
          <w:rFonts w:eastAsia="Symbol" w:cs="Symbol" w:ascii="Symbol" w:hAnsi="Symbol"/>
          <w:bCs/>
        </w:rPr>
        <w:t></w:t>
      </w:r>
      <w:r>
        <w:rPr>
          <w:rFonts w:eastAsia="Wingdings"/>
          <w:bCs/>
        </w:rPr>
        <w:t>/</w:t>
      </w:r>
      <w:r>
        <w:rPr>
          <w:rFonts w:eastAsia="Wingdings" w:cs="Symbol" w:ascii="Symbol" w:hAnsi="Symbol"/>
          <w:bCs/>
        </w:rPr>
        <w:t></w:t>
      </w:r>
      <w:r>
        <w:rPr>
          <w:color w:val="000000"/>
        </w:rPr>
        <w:t xml:space="preserve">выполняется с помощью счетчика RICH для </w:t>
      </w:r>
      <w:r>
        <w:rPr/>
        <w:t xml:space="preserve">отбраковки событий с </w:t>
      </w:r>
      <w:r>
        <w:rPr>
          <w:rFonts w:eastAsia="Verdana" w:cs="Verdana" w:ascii="Symbol" w:hAnsi="Symbol"/>
          <w:bCs/>
          <w:i/>
          <w:iCs/>
          <w:color w:val="000000"/>
        </w:rPr>
        <w:t></w:t>
      </w:r>
      <w:r>
        <w:rPr>
          <w:color w:val="000000"/>
        </w:rPr>
        <w:t>и для реконструкции кинематики трека;</w:t>
      </w:r>
    </w:p>
    <w:p>
      <w:pPr>
        <w:pStyle w:val="WWPlainText"/>
        <w:numPr>
          <w:ilvl w:val="0"/>
          <w:numId w:val="2"/>
        </w:numPr>
        <w:tabs>
          <w:tab w:val="left" w:pos="2634" w:leader="none"/>
        </w:tabs>
        <w:spacing w:before="0" w:after="120"/>
        <w:jc w:val="both"/>
        <w:rPr/>
      </w:pPr>
      <w:r>
        <w:rPr>
          <w:rFonts w:eastAsia="Wingdings"/>
          <w:bCs/>
        </w:rPr>
        <w:t xml:space="preserve">и, наконец, магнитный спектрометр для измерения характеристик заряженных продуктов распада каона вместе с </w:t>
      </w:r>
      <w:r>
        <w:rPr>
          <w:rFonts w:eastAsia="Wingdings"/>
          <w:bCs/>
          <w:lang w:val="en-US"/>
        </w:rPr>
        <w:t>RICH</w:t>
      </w:r>
      <w:r>
        <w:rPr>
          <w:rFonts w:eastAsia="Wingdings"/>
          <w:bCs/>
        </w:rPr>
        <w:t xml:space="preserve"> обеспечивает избыточность </w:t>
      </w:r>
      <w:r>
        <w:rPr>
          <w:color w:val="000000"/>
        </w:rPr>
        <w:t xml:space="preserve">при </w:t>
      </w:r>
      <w:r>
        <w:rPr/>
        <w:t xml:space="preserve">реконструкции </w:t>
      </w:r>
      <w:r>
        <w:rPr>
          <w:color w:val="000000"/>
        </w:rPr>
        <w:t>недостающей массы для подавления возможных негауссовых хвост</w:t>
      </w:r>
      <w:r>
        <w:rPr/>
        <w:t>ов.</w:t>
      </w:r>
    </w:p>
    <w:p>
      <w:pPr>
        <w:pStyle w:val="Normal"/>
        <w:spacing w:lineRule="atLeast" w:line="100" w:before="0" w:after="360"/>
        <w:ind w:firstLine="426"/>
        <w:jc w:val="both"/>
        <w:rPr/>
      </w:pPr>
      <w:r>
        <w:rPr>
          <w:rFonts w:eastAsia="Wingdings"/>
        </w:rPr>
        <w:t xml:space="preserve">Экспериментальная установка NA62 была </w:t>
      </w:r>
      <w:r>
        <w:rPr>
          <w:rFonts w:eastAsia="Wingdings"/>
          <w:bCs/>
        </w:rPr>
        <w:t xml:space="preserve">смонтирована </w:t>
      </w:r>
      <w:r>
        <w:rPr>
          <w:rFonts w:eastAsia="Wingdings"/>
        </w:rPr>
        <w:t>и испытана осенью 2014 года на выведенной пучковой линии SPS</w:t>
      </w:r>
      <w:r>
        <w:rPr/>
        <w:t xml:space="preserve"> ЦЕРН</w:t>
      </w:r>
      <w:r>
        <w:rPr>
          <w:rFonts w:eastAsia="Wingdings"/>
        </w:rPr>
        <w:t xml:space="preserve">. Эксперты из ОИЯИ и ЦЕРН обеспечили </w:t>
      </w:r>
      <w:r>
        <w:rPr/>
        <w:t xml:space="preserve">создание </w:t>
      </w:r>
      <w:r>
        <w:rPr>
          <w:rFonts w:eastAsia="Wingdings"/>
        </w:rPr>
        <w:t>и установку трековых спектрометров-детекторов, спроектированных и построенных в ходе выполнения двух этапов проекта NA62, ранее завершенных в ОИЯИ (в 2010-2012 годах и в 2013-2015 годах).</w:t>
      </w:r>
    </w:p>
    <w:p>
      <w:pPr>
        <w:pStyle w:val="Normal"/>
        <w:spacing w:lineRule="atLeast" w:line="100" w:before="0" w:after="360"/>
        <w:ind w:firstLine="426"/>
        <w:jc w:val="both"/>
        <w:rPr>
          <w:rFonts w:eastAsia="Wingdings"/>
        </w:rPr>
      </w:pPr>
      <w:r>
        <w:rPr>
          <w:rFonts w:eastAsia="Wingdings"/>
        </w:rPr>
      </w:r>
    </w:p>
    <w:p>
      <w:pPr>
        <w:pStyle w:val="Heading2"/>
        <w:rPr/>
      </w:pPr>
      <w:r>
        <w:rPr>
          <w:b/>
          <w:u w:val="single"/>
        </w:rPr>
        <w:t>Создание модулей магнитного спектрометра на основе строу-трубок</w:t>
      </w:r>
    </w:p>
    <w:p>
      <w:pPr>
        <w:pStyle w:val="Heading2"/>
        <w:rPr>
          <w:b/>
          <w:b/>
          <w:u w:val="single"/>
        </w:rPr>
      </w:pPr>
      <w:r>
        <w:rPr>
          <w:b/>
          <w:u w:val="single"/>
        </w:rPr>
      </w:r>
    </w:p>
    <w:p>
      <w:pPr>
        <w:pStyle w:val="TextBody"/>
        <w:rPr>
          <w:rFonts w:eastAsia="Wingdings"/>
        </w:rPr>
      </w:pPr>
      <w:r>
        <w:rPr>
          <w:rFonts w:eastAsia="Wingdings"/>
        </w:rPr>
      </w:r>
    </w:p>
    <w:p>
      <w:pPr>
        <w:pStyle w:val="Normal"/>
        <w:spacing w:before="0" w:after="120"/>
        <w:ind w:firstLine="567"/>
        <w:jc w:val="both"/>
        <w:rPr/>
      </w:pPr>
      <w:r>
        <w:rPr/>
        <w:t xml:space="preserve">Для регистрации и измерения заряженных продуктов распада используется спектрометр, основанный на строу-трекере и расположенный перед счётчиком RICH по пучку. </w:t>
      </w:r>
      <w:r>
        <w:rPr>
          <w:rFonts w:eastAsia="Wingdings"/>
        </w:rPr>
        <w:t xml:space="preserve">Для минимизации многократного рассеяния </w:t>
      </w:r>
      <w:r>
        <w:rPr/>
        <w:t>при регистрации заряженных частиц</w:t>
      </w:r>
      <w:r>
        <w:rPr>
          <w:rFonts w:eastAsia="Wingdings"/>
        </w:rPr>
        <w:t xml:space="preserve"> детекторы спектрометра размещены в вакууме. </w:t>
      </w:r>
      <w:r>
        <w:rPr/>
        <w:t>Строу-трекер изготовлен без внутренней рамы и фланцев.</w:t>
      </w:r>
      <w:r>
        <w:rPr>
          <w:rFonts w:eastAsia="Wingdings"/>
        </w:rPr>
        <w:t xml:space="preserve"> Это </w:t>
      </w:r>
      <w:r>
        <w:rPr/>
        <w:t>важно для уменьшения фона, возникающего при взаимодействии частиц пучка с веществом. Строу-трекер</w:t>
      </w:r>
      <w:r>
        <w:rPr>
          <w:rFonts w:eastAsia="Wingdings"/>
        </w:rPr>
        <w:t xml:space="preserve"> состоит из 4 камер на основе с</w:t>
      </w:r>
      <w:r>
        <w:rPr/>
        <w:t>троу-трубок, расположенных до и после магнита спектрометра MNP33.</w:t>
      </w:r>
    </w:p>
    <w:p>
      <w:pPr>
        <w:pStyle w:val="Normal"/>
        <w:spacing w:before="0" w:after="120"/>
        <w:ind w:firstLine="567"/>
        <w:jc w:val="both"/>
        <w:rPr/>
      </w:pPr>
      <w:r>
        <w:rPr/>
        <w:t xml:space="preserve">Каждая из 4-х камер спектрометра состоит из четырех координатных проекций - X, Y, U, V. Необходимая точность импульса и угла для вторичных частиц оценивается как </w:t>
      </w:r>
      <w:r>
        <w:rPr>
          <w:rFonts w:cs="Symbol" w:ascii="Symbol" w:hAnsi="Symbol"/>
        </w:rPr>
        <w:t></w:t>
      </w:r>
      <w:r>
        <w:rPr>
          <w:rFonts w:eastAsia="Arial Unicode MS"/>
          <w:lang w:val="en-US"/>
        </w:rPr>
        <w:t>p</w:t>
      </w:r>
      <w:r>
        <w:rPr>
          <w:rFonts w:eastAsia="Arial Unicode MS"/>
        </w:rPr>
        <w:t>/</w:t>
      </w:r>
      <w:r>
        <w:rPr>
          <w:rFonts w:eastAsia="Arial Unicode MS"/>
          <w:lang w:val="en-US"/>
        </w:rPr>
        <w:t>p</w:t>
      </w:r>
      <w:r>
        <w:rPr>
          <w:rFonts w:eastAsia="Arial Unicode MS" w:cs="Symbol" w:ascii="Symbol" w:hAnsi="Symbol"/>
        </w:rPr>
        <w:t></w:t>
      </w:r>
      <w:r>
        <w:rPr>
          <w:rFonts w:eastAsia="Arial Unicode MS"/>
        </w:rPr>
        <w:t xml:space="preserve"> 1% и </w:t>
      </w:r>
      <w:r>
        <w:rPr>
          <w:rFonts w:cs="Symbol" w:ascii="Symbol" w:hAnsi="Symbol"/>
        </w:rPr>
        <w:t></w:t>
      </w:r>
      <w:r>
        <w:rPr>
          <w:rFonts w:cs="Symbol" w:ascii="Symbol" w:hAnsi="Symbol"/>
          <w:sz w:val="32"/>
          <w:vertAlign w:val="subscript"/>
        </w:rPr>
        <w:t></w:t>
      </w:r>
      <w:r>
        <w:rPr>
          <w:rFonts w:eastAsia="Arial Unicode MS"/>
          <w:vertAlign w:val="subscript"/>
          <w:lang w:val="en-US"/>
        </w:rPr>
        <w:t>K</w:t>
      </w:r>
      <w:r>
        <w:rPr>
          <w:rFonts w:eastAsia="Arial Unicode MS"/>
          <w:i/>
          <w:iCs/>
          <w:vertAlign w:val="subscript"/>
        </w:rPr>
        <w:t xml:space="preserve"> </w:t>
      </w:r>
      <w:r>
        <w:rPr>
          <w:rFonts w:eastAsia="Arial Unicode MS" w:cs="Symbol" w:ascii="Symbol" w:hAnsi="Symbol"/>
        </w:rPr>
        <w:t></w:t>
      </w:r>
      <w:r>
        <w:rPr>
          <w:rFonts w:eastAsia="Arial Unicode MS" w:cs="Symbol" w:ascii="Symbol" w:hAnsi="Symbol"/>
          <w:lang w:val="en-US"/>
        </w:rPr>
        <w:t></w:t>
      </w:r>
      <w:r>
        <w:rPr>
          <w:rFonts w:eastAsia="Arial Unicode MS"/>
        </w:rPr>
        <w:t xml:space="preserve">50 – 60) </w:t>
      </w:r>
      <w:r>
        <w:rPr>
          <w:rFonts w:cs="Symbol" w:ascii="Symbol" w:hAnsi="Symbol"/>
          <w:iCs/>
        </w:rPr>
        <w:t></w:t>
      </w:r>
      <w:r>
        <w:rPr>
          <w:rFonts w:eastAsia="Arial Unicode MS"/>
          <w:lang w:val="en-US"/>
        </w:rPr>
        <w:t>rad</w:t>
      </w:r>
      <w:r>
        <w:rPr/>
        <w:t xml:space="preserve">. Эти характеристики достигаются за счет использования минимального количества вещества вдоль траектории частицы и пространственного разрешения строу-трекера около ~ 80 мкм на пространственную точку. </w:t>
      </w:r>
    </w:p>
    <w:p>
      <w:pPr>
        <w:pStyle w:val="Normal"/>
        <w:spacing w:before="0" w:after="120"/>
        <w:ind w:firstLine="567"/>
        <w:jc w:val="both"/>
        <w:rPr/>
      </w:pPr>
      <w:r>
        <w:rPr/>
        <w:t xml:space="preserve">Основным элементом детектора является </w:t>
      </w:r>
      <w:r>
        <w:rPr>
          <w:rFonts w:eastAsia="Arial Unicode MS" w:cs="Calibri"/>
          <w:color w:val="000000"/>
          <w:szCs w:val="22"/>
        </w:rPr>
        <w:t xml:space="preserve">ультра-легкая строу-трубка </w:t>
      </w:r>
      <w:r>
        <w:rPr/>
        <w:t xml:space="preserve">длиной ~ 2,4 м (2,1 м эффективной длины) и диаметром 9,8 мм. Трубки изготовлены из тонкой пленки из полиэтилентерефталата (ПЭТ) толщиной 36 мкм, покрытой </w:t>
      </w:r>
      <w:r>
        <w:rPr>
          <w:rFonts w:eastAsia="Arial Unicode MS" w:cs="Calibri"/>
          <w:color w:val="000000"/>
          <w:szCs w:val="22"/>
        </w:rPr>
        <w:t xml:space="preserve">с внутренней стороны трубки двумя тонкими слоями металла </w:t>
      </w:r>
      <w:r>
        <w:rPr/>
        <w:t xml:space="preserve">(0,05 мкм Cu и 0,02 мкм Au) для обеспечения </w:t>
      </w:r>
      <w:r>
        <w:rPr>
          <w:rFonts w:eastAsia="Arial Unicode MS" w:cs="Calibri"/>
          <w:color w:val="000000"/>
          <w:szCs w:val="22"/>
        </w:rPr>
        <w:t>электрической проводимости катода и снижения газовой диффузии</w:t>
      </w:r>
      <w:r>
        <w:rPr/>
        <w:t xml:space="preserve">. </w:t>
      </w:r>
      <w:r>
        <w:rPr>
          <w:rFonts w:eastAsia="Arial Unicode MS" w:cs="Calibri"/>
          <w:color w:val="000000"/>
          <w:szCs w:val="22"/>
        </w:rPr>
        <w:t xml:space="preserve">Анодная проволока </w:t>
      </w:r>
      <w:r>
        <w:rPr/>
        <w:t>(Ø = 30</w:t>
      </w:r>
      <w:r>
        <w:rPr>
          <w:lang w:val="en-US"/>
        </w:rPr>
        <w:t xml:space="preserve"> </w:t>
      </w:r>
      <w:r>
        <w:rPr/>
        <w:t xml:space="preserve">мм) </w:t>
      </w:r>
      <w:r>
        <w:rPr>
          <w:rFonts w:eastAsia="Arial Unicode MS" w:cs="Calibri"/>
          <w:color w:val="000000"/>
          <w:szCs w:val="22"/>
        </w:rPr>
        <w:t xml:space="preserve">изготовлена </w:t>
      </w:r>
      <w:r>
        <w:rPr/>
        <w:t>из позолоченного вольфрама.</w:t>
      </w:r>
    </w:p>
    <w:p>
      <w:pPr>
        <w:pStyle w:val="Normal"/>
        <w:spacing w:lineRule="atLeast" w:line="100" w:before="60" w:after="120"/>
        <w:ind w:firstLine="425"/>
        <w:jc w:val="both"/>
        <w:rPr/>
      </w:pPr>
      <w:r>
        <w:rPr>
          <w:rFonts w:eastAsia="Arial Unicode MS" w:cs="Calibri"/>
          <w:color w:val="000000"/>
        </w:rPr>
        <w:t xml:space="preserve">Исследования, проведенные с использованием трех прототипов детектора, позволили оценить достижимые характеристики сконструированных детекторов с различными газовыми смесями и при использовании различной </w:t>
      </w:r>
      <w:r>
        <w:rPr>
          <w:rFonts w:eastAsia="Arial Unicode MS" w:cs="Calibri"/>
          <w:color w:val="000000"/>
          <w:szCs w:val="22"/>
        </w:rPr>
        <w:t>электроники считывания данных</w:t>
      </w:r>
      <w:r>
        <w:rPr>
          <w:rFonts w:eastAsia="Arial Unicode MS" w:cs="Calibri"/>
          <w:color w:val="000000"/>
        </w:rPr>
        <w:t xml:space="preserve">, радиационную стойкость </w:t>
      </w:r>
      <w:r>
        <w:rPr>
          <w:rFonts w:eastAsia="Arial Unicode MS" w:cs="Calibri"/>
          <w:color w:val="000000"/>
          <w:szCs w:val="22"/>
        </w:rPr>
        <w:t>строу-трубок</w:t>
      </w:r>
      <w:r>
        <w:rPr>
          <w:rFonts w:eastAsia="Arial Unicode MS" w:cs="Calibri"/>
          <w:color w:val="000000"/>
        </w:rPr>
        <w:t xml:space="preserve">, а также разработать оптимальную схему позиционирования строу внутри </w:t>
      </w:r>
      <w:r>
        <w:rPr>
          <w:rFonts w:eastAsia="Arial Unicode MS" w:cs="Calibri"/>
          <w:color w:val="000000"/>
          <w:szCs w:val="22"/>
        </w:rPr>
        <w:t xml:space="preserve">механических рамок, позволяющую </w:t>
      </w:r>
      <w:r>
        <w:rPr>
          <w:rFonts w:eastAsia="Arial Unicode MS" w:cs="Calibri"/>
          <w:color w:val="000000"/>
        </w:rPr>
        <w:t xml:space="preserve">добиться высокой эффективности регистрации треков с помощью детекторов спектрометра. Эти работы подробно описаны в отчете о ходе проекта </w:t>
      </w:r>
      <w:r>
        <w:rPr>
          <w:rFonts w:eastAsia="Arial Unicode MS" w:cs="Calibri"/>
          <w:color w:val="000000"/>
          <w:lang w:val="en-US"/>
        </w:rPr>
        <w:t>NA</w:t>
      </w:r>
      <w:r>
        <w:rPr>
          <w:rFonts w:eastAsia="Arial Unicode MS" w:cs="Calibri"/>
          <w:color w:val="000000"/>
        </w:rPr>
        <w:t>62 за 2010-2012 годы.</w:t>
      </w:r>
    </w:p>
    <w:p>
      <w:pPr>
        <w:pStyle w:val="Normal"/>
        <w:spacing w:lineRule="atLeast" w:line="20" w:before="0" w:after="120"/>
        <w:ind w:firstLine="720"/>
        <w:jc w:val="both"/>
        <w:rPr/>
      </w:pPr>
      <w:r>
        <w:rPr>
          <w:rFonts w:eastAsia="Arial Unicode MS" w:cs="Calibri"/>
          <w:color w:val="000000"/>
        </w:rPr>
        <w:t xml:space="preserve">После </w:t>
      </w:r>
      <w:r>
        <w:rPr>
          <w:bCs/>
        </w:rPr>
        <w:t xml:space="preserve">монтажа всех строу-детекторов </w:t>
      </w:r>
      <w:r>
        <w:rPr>
          <w:rFonts w:eastAsia="Arial Unicode MS" w:cs="Calibri"/>
          <w:color w:val="000000"/>
        </w:rPr>
        <w:t xml:space="preserve">в экспериментальную установку NA62 в 2014 году (см. Рис. 5) </w:t>
      </w:r>
      <w:r>
        <w:rPr>
          <w:bCs/>
        </w:rPr>
        <w:t xml:space="preserve">было измерено их фактическое положение </w:t>
      </w:r>
      <w:r>
        <w:rPr>
          <w:rFonts w:eastAsia="Arial Unicode MS" w:cs="Calibri"/>
          <w:color w:val="000000"/>
        </w:rPr>
        <w:t xml:space="preserve">относительно оси пучка с точностью 0,3 мм. Вакуумные испытания строу-детекторов проводились в реальных экспериментальных условиях </w:t>
      </w:r>
      <w:r>
        <w:rPr>
          <w:rFonts w:eastAsia="Arial Unicode MS"/>
          <w:color w:val="000000"/>
        </w:rPr>
        <w:t>‒</w:t>
      </w:r>
      <w:r>
        <w:rPr>
          <w:rFonts w:eastAsia="Arial Unicode MS" w:cs="Calibri"/>
          <w:color w:val="000000"/>
        </w:rPr>
        <w:t xml:space="preserve"> уровень </w:t>
      </w:r>
      <w:r>
        <w:rPr>
          <w:bCs/>
        </w:rPr>
        <w:t xml:space="preserve">газовых течей </w:t>
      </w:r>
      <w:r>
        <w:rPr>
          <w:rFonts w:eastAsia="Arial Unicode MS" w:cs="Calibri"/>
          <w:color w:val="000000"/>
        </w:rPr>
        <w:t xml:space="preserve">находился в пределах нормы. Были проложены все необходимые кабели и </w:t>
      </w:r>
      <w:r>
        <w:rPr>
          <w:bCs/>
        </w:rPr>
        <w:t>газовые коммуникации</w:t>
      </w:r>
      <w:r>
        <w:rPr>
          <w:rFonts w:eastAsia="Arial Unicode MS" w:cs="Calibri"/>
          <w:color w:val="000000"/>
        </w:rPr>
        <w:t xml:space="preserve">. Также была смонтирована система газоснабжения с защитой от возможного повреждения строу в </w:t>
      </w:r>
      <w:r>
        <w:rPr>
          <w:bCs/>
        </w:rPr>
        <w:t>вакуумном объёме установки</w:t>
      </w:r>
      <w:r>
        <w:rPr>
          <w:rFonts w:eastAsia="Arial Unicode MS" w:cs="Calibri"/>
          <w:color w:val="000000"/>
        </w:rPr>
        <w:t xml:space="preserve">. </w:t>
      </w:r>
      <w:r>
        <w:rPr>
          <w:bCs/>
        </w:rPr>
        <w:t xml:space="preserve">Установлены 4 модуля высоковольтного и низковольтного питания детекторов MPOD (см. рис. 6, слева). </w:t>
      </w:r>
      <w:r>
        <w:rPr>
          <w:rFonts w:eastAsia="Arial Unicode MS" w:cs="Calibri"/>
          <w:color w:val="000000"/>
        </w:rPr>
        <w:t xml:space="preserve">Сотрудники ОИЯИ разработали удобный </w:t>
      </w:r>
      <w:r>
        <w:rPr>
          <w:bCs/>
        </w:rPr>
        <w:t xml:space="preserve">пользовательский </w:t>
      </w:r>
      <w:r>
        <w:rPr>
          <w:rFonts w:eastAsia="Arial Unicode MS" w:cs="Calibri"/>
          <w:color w:val="000000"/>
        </w:rPr>
        <w:t xml:space="preserve">интерфейс управления этими модулями (рис. 6, справа). Также были </w:t>
      </w:r>
      <w:r>
        <w:rPr>
          <w:bCs/>
        </w:rPr>
        <w:t xml:space="preserve">выполнены работы по интеграции </w:t>
      </w:r>
      <w:r>
        <w:rPr>
          <w:rFonts w:eastAsia="Arial Unicode MS" w:cs="Calibri"/>
          <w:color w:val="000000"/>
        </w:rPr>
        <w:t xml:space="preserve">этих 4 модулей в общую систему </w:t>
      </w:r>
      <w:r>
        <w:rPr>
          <w:bCs/>
        </w:rPr>
        <w:t>«медленного» контроля эксперимента NA62.</w:t>
      </w:r>
    </w:p>
    <w:p>
      <w:pPr>
        <w:pStyle w:val="Normal"/>
        <w:spacing w:lineRule="atLeast" w:line="20" w:before="0" w:after="120"/>
        <w:jc w:val="center"/>
        <w:rPr>
          <w:bCs/>
          <w:i/>
          <w:i/>
          <w:szCs w:val="22"/>
          <w:lang w:val="en-US"/>
        </w:rPr>
      </w:pPr>
      <w:r>
        <w:rPr/>
        <w:drawing>
          <wp:inline distT="0" distB="0" distL="0" distR="0">
            <wp:extent cx="1939925" cy="2393315"/>
            <wp:effectExtent l="0" t="0" r="0" b="0"/>
            <wp:docPr id="9"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4" descr=""/>
                    <pic:cNvPicPr>
                      <a:picLocks noChangeAspect="1" noChangeArrowheads="1"/>
                    </pic:cNvPicPr>
                  </pic:nvPicPr>
                  <pic:blipFill>
                    <a:blip r:embed="rId9"/>
                    <a:stretch>
                      <a:fillRect/>
                    </a:stretch>
                  </pic:blipFill>
                  <pic:spPr bwMode="auto">
                    <a:xfrm>
                      <a:off x="0" y="0"/>
                      <a:ext cx="1939925" cy="2393315"/>
                    </a:xfrm>
                    <a:prstGeom prst="rect">
                      <a:avLst/>
                    </a:prstGeom>
                  </pic:spPr>
                </pic:pic>
              </a:graphicData>
            </a:graphic>
          </wp:inline>
        </w:drawing>
      </w:r>
      <w:r>
        <w:rPr>
          <w:bCs/>
          <w:i/>
          <w:szCs w:val="22"/>
        </w:rPr>
        <w:tab/>
        <w:tab/>
      </w:r>
      <w:r>
        <w:rPr>
          <w:bCs/>
          <w:i/>
          <w:szCs w:val="22"/>
        </w:rPr>
        <w:drawing>
          <wp:inline distT="0" distB="0" distL="0" distR="0">
            <wp:extent cx="2361565" cy="2369185"/>
            <wp:effectExtent l="0" t="0" r="0" b="0"/>
            <wp:docPr id="10"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5" descr=""/>
                    <pic:cNvPicPr>
                      <a:picLocks noChangeAspect="1" noChangeArrowheads="1"/>
                    </pic:cNvPicPr>
                  </pic:nvPicPr>
                  <pic:blipFill>
                    <a:blip r:embed="rId10"/>
                    <a:srcRect l="23378" t="0" r="19448" b="0"/>
                    <a:stretch>
                      <a:fillRect/>
                    </a:stretch>
                  </pic:blipFill>
                  <pic:spPr bwMode="auto">
                    <a:xfrm>
                      <a:off x="0" y="0"/>
                      <a:ext cx="2361565" cy="2369185"/>
                    </a:xfrm>
                    <a:prstGeom prst="rect">
                      <a:avLst/>
                    </a:prstGeom>
                  </pic:spPr>
                </pic:pic>
              </a:graphicData>
            </a:graphic>
          </wp:inline>
        </w:drawing>
      </w:r>
    </w:p>
    <w:p>
      <w:pPr>
        <w:pStyle w:val="Normal"/>
        <w:ind w:left="993" w:hanging="0"/>
        <w:jc w:val="center"/>
        <w:rPr/>
      </w:pPr>
      <w:r>
        <w:rPr>
          <w:bCs/>
        </w:rPr>
        <w:t xml:space="preserve">Рис. 5. </w:t>
      </w:r>
      <w:r>
        <w:rPr>
          <w:bCs/>
          <w:i/>
        </w:rPr>
        <w:t>Строу-детектор, собранный из 2-х модулей (слева) и его монтаж в состав экспериментальной установки NA62 (справа).</w:t>
      </w:r>
    </w:p>
    <w:p>
      <w:pPr>
        <w:pStyle w:val="Normal"/>
        <w:ind w:left="993" w:hanging="0"/>
        <w:jc w:val="center"/>
        <w:rPr>
          <w:bCs/>
          <w:i/>
          <w:i/>
        </w:rPr>
      </w:pPr>
      <w:r>
        <w:rPr>
          <w:bCs/>
          <w:i/>
        </w:rPr>
      </w:r>
    </w:p>
    <w:p>
      <w:pPr>
        <w:pStyle w:val="Normal"/>
        <w:spacing w:lineRule="atLeast" w:line="20" w:before="0" w:after="120"/>
        <w:ind w:firstLine="567"/>
        <w:jc w:val="both"/>
        <w:rPr>
          <w:bCs/>
          <w:i/>
          <w:i/>
          <w:sz w:val="18"/>
        </w:rPr>
      </w:pPr>
      <w:r>
        <w:rPr>
          <w:bCs/>
          <w:i/>
          <w:sz w:val="18"/>
        </w:rPr>
      </w:r>
    </w:p>
    <w:p>
      <w:pPr>
        <w:pStyle w:val="Normal"/>
        <w:spacing w:lineRule="atLeast" w:line="20" w:before="0" w:after="120"/>
        <w:jc w:val="center"/>
        <w:rPr>
          <w:bCs/>
          <w:i/>
          <w:i/>
          <w:szCs w:val="22"/>
          <w:lang w:val="en-US"/>
        </w:rPr>
      </w:pPr>
      <w:r>
        <w:rPr/>
        <w:drawing>
          <wp:inline distT="0" distB="0" distL="0" distR="0">
            <wp:extent cx="1407160" cy="2115185"/>
            <wp:effectExtent l="0" t="0" r="0" b="0"/>
            <wp:docPr id="11"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 descr=""/>
                    <pic:cNvPicPr>
                      <a:picLocks noChangeAspect="1" noChangeArrowheads="1"/>
                    </pic:cNvPicPr>
                  </pic:nvPicPr>
                  <pic:blipFill>
                    <a:blip r:embed="rId11"/>
                    <a:stretch>
                      <a:fillRect/>
                    </a:stretch>
                  </pic:blipFill>
                  <pic:spPr bwMode="auto">
                    <a:xfrm>
                      <a:off x="0" y="0"/>
                      <a:ext cx="1407160" cy="2115185"/>
                    </a:xfrm>
                    <a:prstGeom prst="rect">
                      <a:avLst/>
                    </a:prstGeom>
                  </pic:spPr>
                </pic:pic>
              </a:graphicData>
            </a:graphic>
          </wp:inline>
        </w:drawing>
      </w:r>
      <w:r>
        <w:rPr>
          <w:bCs/>
          <w:i/>
          <w:szCs w:val="22"/>
        </w:rPr>
        <w:tab/>
      </w:r>
      <w:r>
        <w:rPr>
          <w:bCs/>
          <w:i/>
          <w:szCs w:val="22"/>
        </w:rPr>
        <w:drawing>
          <wp:inline distT="0" distB="0" distL="0" distR="0">
            <wp:extent cx="3649345" cy="2122805"/>
            <wp:effectExtent l="0" t="0" r="0" b="0"/>
            <wp:docPr id="12"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7" descr=""/>
                    <pic:cNvPicPr>
                      <a:picLocks noChangeAspect="1" noChangeArrowheads="1"/>
                    </pic:cNvPicPr>
                  </pic:nvPicPr>
                  <pic:blipFill>
                    <a:blip r:embed="rId12"/>
                    <a:stretch>
                      <a:fillRect/>
                    </a:stretch>
                  </pic:blipFill>
                  <pic:spPr bwMode="auto">
                    <a:xfrm>
                      <a:off x="0" y="0"/>
                      <a:ext cx="3649345" cy="2122805"/>
                    </a:xfrm>
                    <a:prstGeom prst="rect">
                      <a:avLst/>
                    </a:prstGeom>
                  </pic:spPr>
                </pic:pic>
              </a:graphicData>
            </a:graphic>
          </wp:inline>
        </w:drawing>
      </w:r>
    </w:p>
    <w:p>
      <w:pPr>
        <w:pStyle w:val="Normal"/>
        <w:ind w:left="993" w:hanging="0"/>
        <w:jc w:val="center"/>
        <w:rPr>
          <w:bCs/>
          <w:i/>
          <w:i/>
        </w:rPr>
      </w:pPr>
      <w:r>
        <w:rPr>
          <w:bCs/>
        </w:rPr>
        <w:t xml:space="preserve">Рис. 6. </w:t>
      </w:r>
      <w:r>
        <w:rPr>
          <w:bCs/>
          <w:i/>
        </w:rPr>
        <w:t xml:space="preserve">Модуль низковольтного и высоковольтного питания MPOD </w:t>
        <w:br/>
        <w:t>строу-детектора (слева) и панель пользовательского интерфейса (справа).</w:t>
      </w:r>
    </w:p>
    <w:p>
      <w:pPr>
        <w:pStyle w:val="Normal"/>
        <w:spacing w:lineRule="atLeast" w:line="20" w:before="0" w:after="120"/>
        <w:jc w:val="center"/>
        <w:rPr>
          <w:bCs/>
          <w:color w:val="FF3333"/>
          <w:sz w:val="18"/>
        </w:rPr>
      </w:pPr>
      <w:r>
        <w:rPr>
          <w:bCs/>
          <w:color w:val="FF3333"/>
          <w:sz w:val="18"/>
        </w:rPr>
      </w:r>
    </w:p>
    <w:p>
      <w:pPr>
        <w:pStyle w:val="Normal"/>
        <w:spacing w:lineRule="atLeast" w:line="20" w:before="0" w:after="120"/>
        <w:jc w:val="both"/>
        <w:rPr/>
      </w:pPr>
      <w:r>
        <w:rPr>
          <w:bCs/>
        </w:rPr>
        <w:tab/>
        <w:t>Форма экспериментального распределения времени переднего фронта в строу-трубке сравнивалась с моделированной. Хорошее согласие этих спектров (см. рис. 7) позволило в первом приближении использовать смоделированное соотношение между временем дрейфа и координатой частицы в строу. Сдвиг времени трека T</w:t>
      </w:r>
      <w:r>
        <w:rPr>
          <w:bCs/>
          <w:vertAlign w:val="subscript"/>
        </w:rPr>
        <w:t>0</w:t>
      </w:r>
      <w:r>
        <w:rPr>
          <w:bCs/>
        </w:rPr>
        <w:t xml:space="preserve"> для каждой строу-трубки корректируется по отношению к временной метке, даваемой годоскопом заряженных частиц </w:t>
      </w:r>
      <w:r>
        <w:rPr>
          <w:bCs/>
          <w:lang w:val="en-US"/>
        </w:rPr>
        <w:t>CHOD</w:t>
      </w:r>
      <w:r>
        <w:rPr>
          <w:bCs/>
        </w:rPr>
        <w:t xml:space="preserve"> установки </w:t>
      </w:r>
      <w:r>
        <w:rPr>
          <w:bCs/>
          <w:lang w:val="en-US"/>
        </w:rPr>
        <w:t>NA</w:t>
      </w:r>
      <w:r>
        <w:rPr>
          <w:bCs/>
        </w:rPr>
        <w:t>62.</w:t>
      </w:r>
    </w:p>
    <w:p>
      <w:pPr>
        <w:pStyle w:val="Normal"/>
        <w:spacing w:lineRule="atLeast" w:line="20" w:before="0" w:after="120"/>
        <w:jc w:val="center"/>
        <w:rPr>
          <w:bCs/>
        </w:rPr>
      </w:pPr>
      <w:r>
        <w:rPr/>
        <w:drawing>
          <wp:inline distT="0" distB="0" distL="0" distR="0">
            <wp:extent cx="2496820" cy="2258060"/>
            <wp:effectExtent l="0" t="0" r="0" b="0"/>
            <wp:docPr id="13"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8" descr=""/>
                    <pic:cNvPicPr>
                      <a:picLocks noChangeAspect="1" noChangeArrowheads="1"/>
                    </pic:cNvPicPr>
                  </pic:nvPicPr>
                  <pic:blipFill>
                    <a:blip r:embed="rId13"/>
                    <a:stretch>
                      <a:fillRect/>
                    </a:stretch>
                  </pic:blipFill>
                  <pic:spPr bwMode="auto">
                    <a:xfrm>
                      <a:off x="0" y="0"/>
                      <a:ext cx="2496820" cy="2258060"/>
                    </a:xfrm>
                    <a:prstGeom prst="rect">
                      <a:avLst/>
                    </a:prstGeom>
                  </pic:spPr>
                </pic:pic>
              </a:graphicData>
            </a:graphic>
          </wp:inline>
        </w:drawing>
      </w:r>
    </w:p>
    <w:p>
      <w:pPr>
        <w:pStyle w:val="Normal"/>
        <w:spacing w:lineRule="atLeast" w:line="20" w:before="0" w:after="360"/>
        <w:jc w:val="center"/>
        <w:rPr/>
      </w:pPr>
      <w:r>
        <w:rPr>
          <w:bCs/>
        </w:rPr>
        <w:t xml:space="preserve">Рис. 7. </w:t>
      </w:r>
      <w:r>
        <w:rPr>
          <w:bCs/>
          <w:i/>
        </w:rPr>
        <w:t xml:space="preserve">Типичная форма распределения времени дрейфа в строу-трубке: </w:t>
        <w:br/>
        <w:t>точки – результаты моделирования, сплошная линия – экспериментальные данные.</w:t>
      </w:r>
    </w:p>
    <w:p>
      <w:pPr>
        <w:pStyle w:val="Normal"/>
        <w:spacing w:lineRule="atLeast" w:line="100" w:before="0" w:after="120"/>
        <w:rPr>
          <w:b/>
          <w:b/>
          <w:bCs/>
          <w:u w:val="single"/>
        </w:rPr>
      </w:pPr>
      <w:r>
        <w:rPr>
          <w:b/>
          <w:bCs/>
          <w:u w:val="single"/>
        </w:rPr>
        <w:t>Основные результаты подготовки и проведения сеансов 2016 - 2017 гг.</w:t>
      </w:r>
    </w:p>
    <w:p>
      <w:pPr>
        <w:pStyle w:val="Normal"/>
        <w:spacing w:lineRule="atLeast" w:line="20" w:before="0" w:after="120"/>
        <w:jc w:val="both"/>
        <w:rPr/>
      </w:pPr>
      <w:r>
        <w:rPr/>
      </w:r>
    </w:p>
    <w:p>
      <w:pPr>
        <w:pStyle w:val="Normal"/>
        <w:spacing w:lineRule="atLeast" w:line="20" w:before="0" w:after="120"/>
        <w:jc w:val="both"/>
        <w:rPr/>
      </w:pPr>
      <w:r>
        <w:rPr/>
        <w:tab/>
        <w:t>Во время физического сеанса на установке NA62 в 2016 году проводился стабильный набор данных при интенсивности 13</w:t>
      </w:r>
      <w:r>
        <w:rPr>
          <w:rFonts w:eastAsia="Tahoma" w:cs="Liberation Serif" w:ascii="Liberation Serif" w:hAnsi="Liberation Serif"/>
        </w:rPr>
        <w:t>×</w:t>
      </w:r>
      <w:r>
        <w:rPr/>
        <w:t>10</w:t>
      </w:r>
      <w:r>
        <w:rPr>
          <w:vertAlign w:val="superscript"/>
        </w:rPr>
        <w:t>11</w:t>
      </w:r>
      <w:r>
        <w:rPr/>
        <w:t xml:space="preserve"> протонов за сброс на мишень, используемой для генерации каонного пучка (40% от номинальной интенсивности). Интенсивность была ограничена временной структурой пучка (включая вариации интенсивности с частотой в 50 Гц), что приводило к увеличению максимальных значений интенсивности пучка за время сброса, которые были намного выше ожидаемых. В результате базовая электроника некоторых детекторов (включая электронику спектрометра) не успевала обработать данные во время пиков интенсивности. Тем не менее, около 4</w:t>
      </w:r>
      <w:r>
        <w:rPr>
          <w:rFonts w:eastAsia="Tahoma" w:cs="Liberation Serif" w:ascii="Liberation Serif" w:hAnsi="Liberation Serif"/>
        </w:rPr>
        <w:t>×</w:t>
      </w:r>
      <w:r>
        <w:rPr/>
        <w:t>10</w:t>
      </w:r>
      <w:r>
        <w:rPr>
          <w:vertAlign w:val="superscript"/>
        </w:rPr>
        <w:t>11</w:t>
      </w:r>
      <w:r>
        <w:rPr/>
        <w:t xml:space="preserve"> распадов каонов были собраны со специальной комбинацией триггерных условий, пригодных для анализа распада </w:t>
      </w:r>
      <w:r>
        <w:rPr>
          <w:rFonts w:cs="Symbol" w:ascii="Symbol" w:hAnsi="Symbol"/>
          <w:bCs/>
          <w:spacing w:val="4"/>
          <w:lang w:val="en-US"/>
        </w:rPr>
        <w:t></w:t>
      </w:r>
      <w:r>
        <w:rPr>
          <w:rFonts w:cs="Symbol" w:ascii="Symbol" w:hAnsi="Symbol"/>
          <w:spacing w:val="1"/>
          <w:w w:val="120"/>
        </w:rPr>
        <w:t></w:t>
      </w:r>
      <w:r>
        <w:rPr>
          <w:rFonts w:eastAsia="Symbol" w:cs="Symbol" w:ascii="Symbol" w:hAnsi="Symbol"/>
          <w:lang w:val="en-US"/>
        </w:rPr>
        <w:t></w:t>
      </w:r>
      <w:r>
        <w:rPr>
          <w:rFonts w:eastAsia="Tahoma" w:cs="Symbol" w:ascii="Symbol" w:hAnsi="Symbol"/>
          <w:lang w:val="en-US"/>
        </w:rPr>
        <w:t></w:t>
      </w:r>
      <w:r>
        <w:rPr>
          <w:rFonts w:eastAsia="Wingdings"/>
          <w:bCs/>
          <w:spacing w:val="4"/>
          <w:szCs w:val="24"/>
          <w:vertAlign w:val="superscript"/>
        </w:rPr>
        <w:t>+</w:t>
      </w:r>
      <w:r>
        <w:rPr>
          <w:rFonts w:eastAsia="Tahoma" w:cs="Symbol" w:ascii="Symbol" w:hAnsi="Symbol"/>
          <w:lang w:val="en-US"/>
        </w:rPr>
        <w:t></w:t>
      </w:r>
      <w:r>
        <w:rPr/>
        <w:t>.</w:t>
      </w:r>
    </w:p>
    <w:p>
      <w:pPr>
        <w:pStyle w:val="Normal"/>
        <w:spacing w:lineRule="atLeast" w:line="20" w:before="0" w:after="120"/>
        <w:ind w:firstLine="720"/>
        <w:jc w:val="both"/>
        <w:rPr/>
      </w:pPr>
      <w:r>
        <w:rPr/>
        <w:t xml:space="preserve">В связи с разработкой новой прошивки электроники для сеанса NA62 в 2017 году, набор данных был возможен уже при 60% от номинальной интенсивности, что, по-видимому, является максимально возможной величиной при данной временной структуре пучка. За этот период было зарегистрировано почти </w:t>
      </w:r>
      <w:r>
        <w:rPr>
          <w:rFonts w:eastAsia="Tahoma"/>
        </w:rPr>
        <w:t>3</w:t>
      </w:r>
      <w:r>
        <w:rPr>
          <w:rFonts w:eastAsia="Tahoma" w:cs="Liberation Serif" w:ascii="Liberation Serif" w:hAnsi="Liberation Serif"/>
        </w:rPr>
        <w:t>×</w:t>
      </w:r>
      <w:r>
        <w:rPr>
          <w:rFonts w:eastAsia="Tahoma"/>
        </w:rPr>
        <w:t>10</w:t>
      </w:r>
      <w:r>
        <w:rPr>
          <w:rFonts w:eastAsia="Tahoma"/>
          <w:vertAlign w:val="superscript"/>
        </w:rPr>
        <w:t>12</w:t>
      </w:r>
      <w:r>
        <w:rPr/>
        <w:t xml:space="preserve"> каонных распадов.</w:t>
      </w:r>
    </w:p>
    <w:p>
      <w:pPr>
        <w:pStyle w:val="Normal"/>
        <w:spacing w:lineRule="atLeast" w:line="20" w:before="0" w:after="120"/>
        <w:ind w:firstLine="720"/>
        <w:jc w:val="both"/>
        <w:rPr/>
      </w:pPr>
      <w:r>
        <w:rPr/>
        <w:t xml:space="preserve">Ожидаются аналогичные условия работы в ходе сеанса 2018 года. Общая ожидаемая статистика, которая будет собрана в 2016-2018 годах, будет соответствовать </w:t>
      </w:r>
      <w:r>
        <w:rPr>
          <w:rFonts w:eastAsia="Tahoma"/>
        </w:rPr>
        <w:t xml:space="preserve">10 — 15 </w:t>
      </w:r>
      <w:r>
        <w:rPr/>
        <w:t xml:space="preserve">сигнальным событиям для прогнозируемой СМ парциальной ширины. Поэтому планируется продолжить набор данных после длительного периода выключения ускорителя, запланированного на 2019-2020 гг., чтобы завершить измерение </w:t>
      </w:r>
      <w:r>
        <w:rPr>
          <w:rFonts w:cs="Symbol" w:ascii="Symbol" w:hAnsi="Symbol"/>
          <w:bCs/>
          <w:i/>
          <w:spacing w:val="4"/>
          <w:lang w:val="en-US"/>
        </w:rPr>
        <w:t></w:t>
      </w:r>
      <w:r>
        <w:rPr>
          <w:rFonts w:cs="Symbol" w:ascii="Symbol" w:hAnsi="Symbol"/>
          <w:spacing w:val="1"/>
          <w:w w:val="120"/>
        </w:rPr>
        <w:t></w:t>
      </w:r>
      <w:r>
        <w:rPr>
          <w:rFonts w:eastAsia="Symbol" w:cs="Symbol" w:ascii="Symbol" w:hAnsi="Symbol"/>
          <w:lang w:val="en-US"/>
        </w:rPr>
        <w:t></w:t>
      </w:r>
      <w:r>
        <w:rPr>
          <w:rFonts w:eastAsia="Tahoma" w:cs="Symbol" w:ascii="Symbol" w:hAnsi="Symbol"/>
          <w:i/>
          <w:lang w:val="en-US"/>
        </w:rPr>
        <w:t></w:t>
      </w:r>
      <w:r>
        <w:rPr>
          <w:rFonts w:eastAsia="Wingdings"/>
          <w:bCs/>
          <w:i/>
          <w:spacing w:val="4"/>
          <w:szCs w:val="24"/>
          <w:vertAlign w:val="superscript"/>
        </w:rPr>
        <w:t>+</w:t>
      </w:r>
      <w:r>
        <w:rPr>
          <w:rFonts w:eastAsia="Tahoma" w:cs="Symbol" w:ascii="Symbol" w:hAnsi="Symbol"/>
          <w:i/>
          <w:lang w:val="en-US"/>
        </w:rPr>
        <w:t></w:t>
      </w:r>
      <w:r>
        <w:rPr>
          <w:rFonts w:eastAsia="Tahoma" w:cs="Symbol" w:ascii="Symbol" w:hAnsi="Symbol"/>
          <w:lang w:val="en-US"/>
        </w:rPr>
        <w:t></w:t>
      </w:r>
      <w:r>
        <w:rPr/>
        <w:t xml:space="preserve"> с первоначально предусмотренной статистикой.</w:t>
      </w:r>
    </w:p>
    <w:p>
      <w:pPr>
        <w:pStyle w:val="Normal"/>
        <w:spacing w:lineRule="atLeast" w:line="20" w:before="0" w:after="120"/>
        <w:ind w:firstLine="720"/>
        <w:jc w:val="both"/>
        <w:rPr/>
      </w:pPr>
      <w:r>
        <w:rPr/>
        <w:t>Промежуточные результаты анализа основной моды распада основаны на 5% набранной статистики за 2016 год. Для основной задачи эксперимента принята стратегия т. н. «слепого» анализа, поэтому данные, используемые для оптимизации критериев отбора, не будут участвовать в окончательном измерении сигнала, и на нынешнем этапе анализа можно рассматривать только очень небольшую часть набранных данных.</w:t>
      </w:r>
    </w:p>
    <w:p>
      <w:pPr>
        <w:pStyle w:val="Normal"/>
        <w:spacing w:lineRule="atLeast" w:line="20" w:before="0" w:after="120"/>
        <w:jc w:val="both"/>
        <w:rPr/>
      </w:pPr>
      <w:r>
        <w:rPr>
          <w:rFonts w:eastAsia="Arial Unicode MS"/>
        </w:rPr>
        <w:tab/>
        <w:t xml:space="preserve">На рисунке </w:t>
      </w:r>
      <w:r>
        <w:rPr>
          <w:rFonts w:eastAsia="Arial Unicode MS"/>
          <w:highlight w:val="green"/>
        </w:rPr>
        <w:t>8</w:t>
      </w:r>
      <w:r>
        <w:rPr>
          <w:rFonts w:eastAsia="Arial Unicode MS"/>
        </w:rPr>
        <w:t xml:space="preserve"> (левый график) показано временное разрешение для двух детекторов, измеряющих входящий заряженный каон: Gigatracker и KTAG (CEDAR). Пик разности во времени формируется временным разрешением KTAG ~ 100 пс и разрешением </w:t>
      </w:r>
      <w:r>
        <w:rPr>
          <w:rFonts w:eastAsia="Arial Unicode MS"/>
          <w:lang w:val="en-US"/>
        </w:rPr>
        <w:t>KTAG</w:t>
      </w:r>
      <w:r>
        <w:rPr>
          <w:rFonts w:eastAsia="Arial Unicode MS"/>
        </w:rPr>
        <w:t xml:space="preserve"> 80 пс. Вероятность попадания случайно меченого каона каона оценивается в 1,7%. Типичное ближайшее расстояние между треками каона и пиона, образующими физическую вершину, составляет ~ 1,5 мм.</w:t>
      </w:r>
    </w:p>
    <w:p>
      <w:pPr>
        <w:pStyle w:val="Normal"/>
        <w:spacing w:lineRule="atLeast" w:line="20" w:before="0" w:after="120"/>
        <w:jc w:val="both"/>
        <w:rPr/>
      </w:pPr>
      <w:r>
        <w:rPr>
          <w:rFonts w:eastAsia="Arial Unicode MS"/>
        </w:rPr>
        <w:tab/>
        <w:t>Справа на рисунке </w:t>
      </w:r>
      <w:r>
        <w:rPr>
          <w:rFonts w:eastAsia="Arial Unicode MS"/>
          <w:highlight w:val="green"/>
        </w:rPr>
        <w:t>8</w:t>
      </w:r>
      <w:r>
        <w:rPr>
          <w:rFonts w:eastAsia="Arial Unicode MS"/>
        </w:rPr>
        <w:t xml:space="preserve"> показано кинематические распределения для данных, записанных с триггером, минимально смещающим выборку. Наибольшие источники фона </w:t>
      </w:r>
      <w:r>
        <w:rPr>
          <w:rFonts w:eastAsia="Arial Unicode MS"/>
          <w:i/>
          <w:spacing w:val="1"/>
          <w:w w:val="120"/>
          <w:lang w:val="en-US"/>
        </w:rPr>
        <w:t>K</w:t>
      </w:r>
      <w:r>
        <w:rPr>
          <w:rFonts w:eastAsia="Arial Unicode MS"/>
          <w:i/>
          <w:spacing w:val="1"/>
          <w:w w:val="120"/>
          <w:vertAlign w:val="superscript"/>
        </w:rPr>
        <w:t>+</w:t>
      </w:r>
      <w:r>
        <w:rPr>
          <w:rFonts w:eastAsia="Arial Unicode MS" w:cs="Symbol" w:ascii="Symbol" w:hAnsi="Symbol"/>
          <w:i/>
          <w:spacing w:val="1"/>
          <w:w w:val="120"/>
          <w:lang w:val="en-US"/>
        </w:rPr>
        <w:t></w:t>
      </w:r>
      <w:r>
        <w:rPr>
          <w:rFonts w:eastAsia="Arial Unicode MS"/>
          <w:i/>
          <w:spacing w:val="1"/>
          <w:w w:val="120"/>
          <w:vertAlign w:val="superscript"/>
        </w:rPr>
        <w:t>+</w:t>
      </w:r>
      <w:r>
        <w:rPr>
          <w:rFonts w:eastAsia="Arial Unicode MS" w:cs="Symbol" w:ascii="Symbol" w:hAnsi="Symbol"/>
          <w:i/>
          <w:spacing w:val="1"/>
          <w:w w:val="120"/>
          <w:lang w:val="en-US"/>
        </w:rPr>
        <w:t></w:t>
      </w:r>
      <w:r>
        <w:rPr>
          <w:rFonts w:eastAsia="Arial Unicode MS"/>
          <w:i/>
          <w:spacing w:val="1"/>
          <w:w w:val="120"/>
          <w:vertAlign w:val="superscript"/>
        </w:rPr>
        <w:t>+</w:t>
      </w:r>
      <w:r>
        <w:rPr>
          <w:rFonts w:eastAsia="Arial Unicode MS" w:cs="Symbol" w:ascii="Symbol" w:hAnsi="Symbol"/>
          <w:i/>
          <w:spacing w:val="1"/>
          <w:w w:val="120"/>
          <w:lang w:val="en-US"/>
        </w:rPr>
        <w:t></w:t>
      </w:r>
      <w:r>
        <w:rPr>
          <w:rFonts w:eastAsia="Arial Unicode MS"/>
          <w:i/>
          <w:spacing w:val="1"/>
          <w:w w:val="120"/>
          <w:vertAlign w:val="superscript"/>
        </w:rPr>
        <w:t>-</w:t>
      </w:r>
      <w:r>
        <w:rPr>
          <w:rFonts w:eastAsia="Arial Unicode MS"/>
        </w:rPr>
        <w:t xml:space="preserve"> (доминирует выше значения квадрата недостающей массы в 0,07 ГэВ</w:t>
      </w:r>
      <w:r>
        <w:rPr>
          <w:rFonts w:eastAsia="Arial Unicode MS"/>
          <w:vertAlign w:val="superscript"/>
        </w:rPr>
        <w:t>2</w:t>
      </w:r>
      <w:r>
        <w:rPr>
          <w:rFonts w:eastAsia="Arial Unicode MS"/>
        </w:rPr>
        <w:t>/</w:t>
      </w:r>
      <w:r>
        <w:rPr>
          <w:rFonts w:eastAsia="Arial Unicode MS"/>
          <w:lang w:val="en-US"/>
        </w:rPr>
        <w:t>c</w:t>
      </w:r>
      <w:r>
        <w:rPr>
          <w:rFonts w:eastAsia="Arial Unicode MS"/>
          <w:vertAlign w:val="superscript"/>
        </w:rPr>
        <w:t>4</w:t>
      </w:r>
      <w:r>
        <w:rPr>
          <w:rFonts w:eastAsia="Arial Unicode MS"/>
        </w:rPr>
        <w:t xml:space="preserve">), </w:t>
      </w:r>
      <w:r>
        <w:rPr>
          <w:rFonts w:eastAsia="Arial Unicode MS"/>
          <w:i/>
          <w:spacing w:val="1"/>
          <w:w w:val="120"/>
          <w:lang w:val="en-US"/>
        </w:rPr>
        <w:t>K</w:t>
      </w:r>
      <w:r>
        <w:rPr>
          <w:rFonts w:eastAsia="Arial Unicode MS"/>
          <w:i/>
          <w:spacing w:val="1"/>
          <w:w w:val="120"/>
          <w:vertAlign w:val="superscript"/>
        </w:rPr>
        <w:t>+</w:t>
      </w:r>
      <w:r>
        <w:rPr>
          <w:rFonts w:eastAsia="Arial Unicode MS" w:cs="Symbol" w:ascii="Symbol" w:hAnsi="Symbol"/>
          <w:i/>
          <w:spacing w:val="1"/>
          <w:w w:val="120"/>
          <w:lang w:val="en-US"/>
        </w:rPr>
        <w:t></w:t>
      </w:r>
      <w:r>
        <w:rPr>
          <w:rFonts w:eastAsia="Arial Unicode MS"/>
          <w:i/>
          <w:spacing w:val="1"/>
          <w:w w:val="120"/>
          <w:vertAlign w:val="superscript"/>
        </w:rPr>
        <w:t>+</w:t>
      </w:r>
      <w:r>
        <w:rPr>
          <w:rFonts w:eastAsia="Arial Unicode MS" w:cs="Symbol" w:ascii="Symbol" w:hAnsi="Symbol"/>
          <w:i/>
          <w:spacing w:val="1"/>
          <w:w w:val="120"/>
          <w:lang w:val="en-US"/>
        </w:rPr>
        <w:t></w:t>
      </w:r>
      <w:r>
        <w:rPr>
          <w:rFonts w:eastAsia="Arial Unicode MS"/>
          <w:i/>
          <w:spacing w:val="1"/>
          <w:w w:val="120"/>
          <w:vertAlign w:val="superscript"/>
        </w:rPr>
        <w:t>0</w:t>
      </w:r>
      <w:r>
        <w:rPr>
          <w:rFonts w:eastAsia="Arial Unicode MS"/>
        </w:rPr>
        <w:t xml:space="preserve"> (пик около значения 0,02 ГэВ</w:t>
      </w:r>
      <w:r>
        <w:rPr>
          <w:rFonts w:eastAsia="Arial Unicode MS"/>
          <w:vertAlign w:val="superscript"/>
        </w:rPr>
        <w:t>2</w:t>
      </w:r>
      <w:r>
        <w:rPr>
          <w:rFonts w:eastAsia="Arial Unicode MS"/>
        </w:rPr>
        <w:t>/</w:t>
      </w:r>
      <w:r>
        <w:rPr>
          <w:rFonts w:eastAsia="Arial Unicode MS"/>
          <w:lang w:val="en-US"/>
        </w:rPr>
        <w:t>c</w:t>
      </w:r>
      <w:r>
        <w:rPr>
          <w:rFonts w:eastAsia="Arial Unicode MS"/>
          <w:vertAlign w:val="superscript"/>
        </w:rPr>
        <w:t>4</w:t>
      </w:r>
      <w:r>
        <w:rPr>
          <w:rFonts w:eastAsia="Arial Unicode MS"/>
        </w:rPr>
        <w:t xml:space="preserve">) и </w:t>
      </w:r>
      <w:r>
        <w:rPr>
          <w:rFonts w:eastAsia="Arial Unicode MS"/>
          <w:i/>
          <w:spacing w:val="1"/>
          <w:w w:val="120"/>
          <w:lang w:val="en-US"/>
        </w:rPr>
        <w:t>K</w:t>
      </w:r>
      <w:r>
        <w:rPr>
          <w:rFonts w:eastAsia="Arial Unicode MS"/>
          <w:i/>
          <w:spacing w:val="1"/>
          <w:w w:val="120"/>
          <w:vertAlign w:val="superscript"/>
        </w:rPr>
        <w:t>+</w:t>
      </w:r>
      <w:r>
        <w:rPr>
          <w:rFonts w:eastAsia="Arial Unicode MS" w:cs="Symbol" w:ascii="Symbol" w:hAnsi="Symbol"/>
          <w:i/>
          <w:spacing w:val="1"/>
          <w:w w:val="120"/>
          <w:lang w:val="en-US"/>
        </w:rPr>
        <w:t></w:t>
      </w:r>
      <w:r>
        <w:rPr>
          <w:rFonts w:eastAsia="Arial Unicode MS"/>
          <w:i/>
          <w:spacing w:val="1"/>
          <w:w w:val="120"/>
          <w:vertAlign w:val="superscript"/>
        </w:rPr>
        <w:t>+</w:t>
      </w:r>
      <w:r>
        <w:rPr>
          <w:rFonts w:eastAsia="Arial Unicode MS" w:cs="Symbol" w:ascii="Symbol" w:hAnsi="Symbol"/>
          <w:i/>
          <w:spacing w:val="1"/>
          <w:w w:val="120"/>
          <w:lang w:val="en-US"/>
        </w:rPr>
        <w:t></w:t>
      </w:r>
      <w:r>
        <w:rPr>
          <w:rFonts w:eastAsia="Arial Unicode MS"/>
        </w:rPr>
        <w:t xml:space="preserve"> (отрицательная зона недостающей массы), Можно видеть, что основные фоны обнаруживаются с ожидаемыми характеристиками, поэтому их кинематическое подавление будет эффективным.</w:t>
      </w:r>
    </w:p>
    <w:p>
      <w:pPr>
        <w:pStyle w:val="Normal"/>
        <w:spacing w:lineRule="atLeast" w:line="20"/>
        <w:ind w:firstLine="720"/>
        <w:jc w:val="both"/>
        <w:rPr/>
      </w:pPr>
      <w:r>
        <w:rPr/>
      </w:r>
    </w:p>
    <w:p>
      <w:pPr>
        <w:pStyle w:val="Normal"/>
        <w:spacing w:lineRule="atLeast" w:line="20" w:before="0" w:after="120"/>
        <w:jc w:val="both"/>
        <w:rPr>
          <w:rFonts w:eastAsia="Tahoma"/>
          <w:b/>
          <w:b/>
          <w:bCs/>
          <w:sz w:val="24"/>
          <w:u w:val="single"/>
        </w:rPr>
      </w:pPr>
      <w:r>
        <w:rPr>
          <w:rFonts w:eastAsia="Tahoma"/>
          <w:b/>
          <w:bCs/>
          <w:sz w:val="24"/>
          <w:u w:val="single"/>
        </w:rPr>
        <w:drawing>
          <wp:anchor behindDoc="0" distT="0" distB="0" distL="18415" distR="1905" simplePos="0" locked="0" layoutInCell="1" allowOverlap="1" relativeHeight="3">
            <wp:simplePos x="0" y="0"/>
            <wp:positionH relativeFrom="column">
              <wp:posOffset>3242945</wp:posOffset>
            </wp:positionH>
            <wp:positionV relativeFrom="paragraph">
              <wp:posOffset>188595</wp:posOffset>
            </wp:positionV>
            <wp:extent cx="2684145" cy="2212340"/>
            <wp:effectExtent l="0" t="0" r="0" b="0"/>
            <wp:wrapSquare wrapText="largest"/>
            <wp:docPr id="14"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3" descr=""/>
                    <pic:cNvPicPr>
                      <a:picLocks noChangeAspect="1" noChangeArrowheads="1"/>
                    </pic:cNvPicPr>
                  </pic:nvPicPr>
                  <pic:blipFill>
                    <a:blip r:embed="rId14"/>
                    <a:stretch>
                      <a:fillRect/>
                    </a:stretch>
                  </pic:blipFill>
                  <pic:spPr bwMode="auto">
                    <a:xfrm>
                      <a:off x="0" y="0"/>
                      <a:ext cx="2684145" cy="2212340"/>
                    </a:xfrm>
                    <a:prstGeom prst="rect">
                      <a:avLst/>
                    </a:prstGeom>
                  </pic:spPr>
                </pic:pic>
              </a:graphicData>
            </a:graphic>
          </wp:anchor>
        </w:drawing>
        <w:drawing>
          <wp:anchor behindDoc="0" distT="0" distB="0" distL="18415" distR="6350" simplePos="0" locked="0" layoutInCell="1" allowOverlap="1" relativeHeight="23">
            <wp:simplePos x="0" y="0"/>
            <wp:positionH relativeFrom="column">
              <wp:posOffset>421005</wp:posOffset>
            </wp:positionH>
            <wp:positionV relativeFrom="paragraph">
              <wp:posOffset>157480</wp:posOffset>
            </wp:positionV>
            <wp:extent cx="2393950" cy="2268855"/>
            <wp:effectExtent l="0" t="0" r="0" b="0"/>
            <wp:wrapSquare wrapText="largest"/>
            <wp:docPr id="15"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4" descr=""/>
                    <pic:cNvPicPr>
                      <a:picLocks noChangeAspect="1" noChangeArrowheads="1"/>
                    </pic:cNvPicPr>
                  </pic:nvPicPr>
                  <pic:blipFill>
                    <a:blip r:embed="rId15"/>
                    <a:stretch>
                      <a:fillRect/>
                    </a:stretch>
                  </pic:blipFill>
                  <pic:spPr bwMode="auto">
                    <a:xfrm>
                      <a:off x="0" y="0"/>
                      <a:ext cx="2393950" cy="2268855"/>
                    </a:xfrm>
                    <a:prstGeom prst="rect">
                      <a:avLst/>
                    </a:prstGeom>
                  </pic:spPr>
                </pic:pic>
              </a:graphicData>
            </a:graphic>
          </wp:anchor>
        </w:drawing>
      </w:r>
    </w:p>
    <w:p>
      <w:pPr>
        <w:pStyle w:val="Normal"/>
        <w:spacing w:lineRule="atLeast" w:line="20" w:before="0" w:after="120"/>
        <w:jc w:val="both"/>
        <w:rPr>
          <w:rFonts w:eastAsia="Tahoma"/>
          <w:b/>
          <w:b/>
          <w:bCs/>
          <w:sz w:val="24"/>
          <w:u w:val="single"/>
        </w:rPr>
      </w:pPr>
      <w:r>
        <w:rPr>
          <w:rFonts w:eastAsia="Tahoma"/>
          <w:b/>
          <w:bCs/>
          <w:sz w:val="24"/>
          <w:u w:val="single"/>
        </w:rPr>
      </w:r>
    </w:p>
    <w:p>
      <w:pPr>
        <w:pStyle w:val="Normal"/>
        <w:spacing w:lineRule="atLeast" w:line="20" w:before="0" w:after="120"/>
        <w:jc w:val="both"/>
        <w:rPr>
          <w:rFonts w:eastAsia="Arial Unicode MS"/>
          <w:b/>
          <w:b/>
          <w:bCs/>
          <w:u w:val="single"/>
        </w:rPr>
      </w:pPr>
      <w:r>
        <w:rPr>
          <w:rFonts w:eastAsia="Arial Unicode MS"/>
          <w:b/>
          <w:bCs/>
          <w:u w:val="single"/>
        </w:rPr>
      </w:r>
    </w:p>
    <w:p>
      <w:pPr>
        <w:pStyle w:val="Normal"/>
        <w:spacing w:lineRule="atLeast" w:line="20" w:before="0" w:after="120"/>
        <w:jc w:val="both"/>
        <w:rPr>
          <w:rFonts w:eastAsia="Arial Unicode MS"/>
          <w:b/>
          <w:b/>
          <w:bCs/>
          <w:u w:val="single"/>
        </w:rPr>
      </w:pPr>
      <w:r>
        <w:rPr>
          <w:rFonts w:eastAsia="Arial Unicode MS"/>
          <w:b/>
          <w:bCs/>
          <w:u w:val="single"/>
        </w:rPr>
      </w:r>
    </w:p>
    <w:p>
      <w:pPr>
        <w:pStyle w:val="Normal"/>
        <w:spacing w:lineRule="atLeast" w:line="20" w:before="0" w:after="120"/>
        <w:jc w:val="both"/>
        <w:rPr>
          <w:rFonts w:eastAsia="Arial Unicode MS"/>
          <w:b/>
          <w:b/>
          <w:bCs/>
          <w:u w:val="single"/>
        </w:rPr>
      </w:pPr>
      <w:r>
        <w:rPr>
          <w:rFonts w:eastAsia="Arial Unicode MS"/>
          <w:b/>
          <w:bCs/>
          <w:u w:val="single"/>
        </w:rPr>
      </w:r>
    </w:p>
    <w:p>
      <w:pPr>
        <w:pStyle w:val="Normal"/>
        <w:spacing w:lineRule="atLeast" w:line="20" w:before="0" w:after="120"/>
        <w:jc w:val="both"/>
        <w:rPr>
          <w:rFonts w:eastAsia="Arial Unicode MS"/>
          <w:b/>
          <w:b/>
          <w:bCs/>
          <w:u w:val="single"/>
        </w:rPr>
      </w:pPr>
      <w:r>
        <w:rPr>
          <w:rFonts w:eastAsia="Arial Unicode MS"/>
          <w:b/>
          <w:bCs/>
          <w:u w:val="single"/>
        </w:rPr>
      </w:r>
    </w:p>
    <w:p>
      <w:pPr>
        <w:pStyle w:val="Normal"/>
        <w:spacing w:lineRule="atLeast" w:line="20" w:before="0" w:after="120"/>
        <w:jc w:val="both"/>
        <w:rPr>
          <w:rFonts w:eastAsia="Arial Unicode MS"/>
          <w:b/>
          <w:b/>
          <w:bCs/>
          <w:u w:val="single"/>
        </w:rPr>
      </w:pPr>
      <w:r>
        <w:rPr>
          <w:rFonts w:eastAsia="Arial Unicode MS"/>
          <w:b/>
          <w:bCs/>
          <w:u w:val="single"/>
        </w:rPr>
      </w:r>
    </w:p>
    <w:p>
      <w:pPr>
        <w:pStyle w:val="Normal"/>
        <w:spacing w:lineRule="atLeast" w:line="20" w:before="0" w:after="120"/>
        <w:jc w:val="both"/>
        <w:rPr>
          <w:rFonts w:eastAsia="Arial Unicode MS"/>
          <w:b/>
          <w:b/>
          <w:bCs/>
          <w:u w:val="single"/>
        </w:rPr>
      </w:pPr>
      <w:r>
        <w:rPr>
          <w:rFonts w:eastAsia="Arial Unicode MS"/>
          <w:b/>
          <w:bCs/>
          <w:u w:val="single"/>
        </w:rPr>
      </w:r>
    </w:p>
    <w:p>
      <w:pPr>
        <w:pStyle w:val="Normal"/>
        <w:spacing w:lineRule="atLeast" w:line="20" w:before="0" w:after="120"/>
        <w:jc w:val="both"/>
        <w:rPr>
          <w:rFonts w:eastAsia="Arial Unicode MS"/>
          <w:b/>
          <w:b/>
          <w:bCs/>
          <w:u w:val="single"/>
        </w:rPr>
      </w:pPr>
      <w:r>
        <w:rPr>
          <w:rFonts w:eastAsia="Arial Unicode MS"/>
          <w:b/>
          <w:bCs/>
          <w:u w:val="single"/>
        </w:rPr>
      </w:r>
    </w:p>
    <w:p>
      <w:pPr>
        <w:pStyle w:val="Normal"/>
        <w:spacing w:lineRule="atLeast" w:line="20" w:before="0" w:after="120"/>
        <w:jc w:val="both"/>
        <w:rPr>
          <w:rFonts w:eastAsia="Arial Unicode MS"/>
          <w:b/>
          <w:b/>
          <w:bCs/>
          <w:u w:val="single"/>
        </w:rPr>
      </w:pPr>
      <w:r>
        <w:rPr>
          <w:rFonts w:eastAsia="Arial Unicode MS"/>
          <w:b/>
          <w:bCs/>
          <w:u w:val="single"/>
        </w:rPr>
      </w:r>
    </w:p>
    <w:p>
      <w:pPr>
        <w:pStyle w:val="Normal"/>
        <w:spacing w:lineRule="atLeast" w:line="20" w:before="0" w:after="120"/>
        <w:jc w:val="both"/>
        <w:rPr>
          <w:rFonts w:eastAsia="Arial Unicode MS"/>
          <w:i/>
          <w:i/>
          <w:iCs/>
          <w:sz w:val="22"/>
          <w:szCs w:val="22"/>
        </w:rPr>
      </w:pPr>
      <w:r>
        <w:rPr>
          <w:rFonts w:eastAsia="Arial Unicode MS"/>
          <w:i/>
          <w:iCs/>
          <w:sz w:val="22"/>
          <w:szCs w:val="22"/>
        </w:rPr>
      </w:r>
    </w:p>
    <w:p>
      <w:pPr>
        <w:pStyle w:val="Normal"/>
        <w:spacing w:lineRule="atLeast" w:line="20" w:before="0" w:after="120"/>
        <w:rPr/>
      </w:pPr>
      <w:r>
        <w:rPr>
          <w:rFonts w:eastAsia="Arial Unicode MS"/>
        </w:rPr>
        <w:t xml:space="preserve">Рисунок </w:t>
      </w:r>
      <w:r>
        <w:rPr>
          <w:rFonts w:eastAsia="Arial Unicode MS"/>
          <w:highlight w:val="green"/>
        </w:rPr>
        <w:t>8</w:t>
      </w:r>
      <w:r>
        <w:rPr>
          <w:rFonts w:eastAsia="Arial Unicode MS"/>
        </w:rPr>
        <w:t xml:space="preserve">. </w:t>
      </w:r>
      <w:r>
        <w:rPr>
          <w:rFonts w:eastAsia="Arial Unicode MS"/>
          <w:i/>
        </w:rPr>
        <w:t xml:space="preserve">Слева: распределение разности по времени в </w:t>
      </w:r>
      <w:r>
        <w:rPr>
          <w:rFonts w:eastAsia="Arial Unicode MS"/>
          <w:i/>
          <w:lang w:val="en-US"/>
        </w:rPr>
        <w:t>GTK</w:t>
      </w:r>
      <w:r>
        <w:rPr>
          <w:rFonts w:eastAsia="Arial Unicode MS"/>
          <w:i/>
        </w:rPr>
        <w:t xml:space="preserve"> и </w:t>
      </w:r>
      <w:r>
        <w:rPr>
          <w:rFonts w:eastAsia="Arial Unicode MS"/>
          <w:i/>
          <w:lang w:val="en-US"/>
        </w:rPr>
        <w:t>KTAG</w:t>
      </w:r>
      <w:r>
        <w:rPr>
          <w:rFonts w:eastAsia="Arial Unicode MS"/>
          <w:i/>
        </w:rPr>
        <w:t xml:space="preserve"> (</w:t>
      </w:r>
      <w:r>
        <w:rPr>
          <w:rFonts w:eastAsia="Arial Unicode MS"/>
          <w:i/>
          <w:lang w:val="en-US"/>
        </w:rPr>
        <w:t>CEDAR</w:t>
      </w:r>
      <w:r>
        <w:rPr>
          <w:rFonts w:eastAsia="Arial Unicode MS"/>
          <w:i/>
        </w:rPr>
        <w:t xml:space="preserve">) для каонов, соответствующих выбранным </w:t>
      </w:r>
      <w:r>
        <w:rPr>
          <w:rFonts w:eastAsia="Arial Unicode MS"/>
          <w:i/>
          <w:spacing w:val="1"/>
          <w:w w:val="120"/>
          <w:szCs w:val="22"/>
          <w:lang w:val="en-US"/>
        </w:rPr>
        <w:t>K</w:t>
      </w:r>
      <w:r>
        <w:rPr>
          <w:rFonts w:eastAsia="Arial Unicode MS"/>
          <w:i/>
          <w:spacing w:val="1"/>
          <w:w w:val="120"/>
          <w:szCs w:val="22"/>
          <w:vertAlign w:val="superscript"/>
        </w:rPr>
        <w:t>+</w:t>
      </w:r>
      <w:r>
        <w:rPr>
          <w:rFonts w:eastAsia="Arial Unicode MS"/>
          <w:i/>
          <w:spacing w:val="1"/>
          <w:w w:val="120"/>
          <w:szCs w:val="22"/>
        </w:rPr>
        <w:t xml:space="preserve"> </w:t>
      </w:r>
      <w:r>
        <w:rPr>
          <w:rFonts w:eastAsia="Arial Unicode MS" w:cs="Symbol" w:ascii="Symbol" w:hAnsi="Symbol"/>
          <w:i/>
          <w:spacing w:val="1"/>
          <w:w w:val="120"/>
          <w:szCs w:val="22"/>
          <w:lang w:val="en-US"/>
        </w:rPr>
        <w:t></w:t>
      </w:r>
      <w:r>
        <w:rPr>
          <w:rFonts w:eastAsia="Arial Unicode MS"/>
          <w:i/>
          <w:spacing w:val="1"/>
          <w:w w:val="120"/>
          <w:szCs w:val="22"/>
          <w:vertAlign w:val="superscript"/>
        </w:rPr>
        <w:t>+</w:t>
      </w:r>
      <w:r>
        <w:rPr>
          <w:rFonts w:eastAsia="Arial Unicode MS" w:cs="Symbol" w:ascii="Symbol" w:hAnsi="Symbol"/>
          <w:i/>
          <w:spacing w:val="1"/>
          <w:w w:val="120"/>
          <w:szCs w:val="22"/>
          <w:lang w:val="en-US"/>
        </w:rPr>
        <w:t></w:t>
      </w:r>
      <w:r>
        <w:rPr>
          <w:rFonts w:eastAsia="Arial Unicode MS"/>
          <w:i/>
          <w:spacing w:val="1"/>
          <w:w w:val="120"/>
          <w:szCs w:val="22"/>
          <w:vertAlign w:val="superscript"/>
        </w:rPr>
        <w:t>+</w:t>
      </w:r>
      <w:r>
        <w:rPr>
          <w:rFonts w:eastAsia="Arial Unicode MS" w:cs="Symbol" w:ascii="Symbol" w:hAnsi="Symbol"/>
          <w:i/>
          <w:spacing w:val="1"/>
          <w:w w:val="120"/>
          <w:szCs w:val="22"/>
          <w:lang w:val="en-US"/>
        </w:rPr>
        <w:t></w:t>
      </w:r>
      <w:r>
        <w:rPr>
          <w:rFonts w:eastAsia="Arial Unicode MS"/>
          <w:i/>
          <w:spacing w:val="1"/>
          <w:w w:val="120"/>
          <w:szCs w:val="22"/>
          <w:vertAlign w:val="superscript"/>
        </w:rPr>
        <w:t>-</w:t>
      </w:r>
      <w:r>
        <w:rPr>
          <w:rFonts w:eastAsia="Arial Unicode MS"/>
          <w:i/>
        </w:rPr>
        <w:t xml:space="preserve"> распадам (черные точки) и случайным комбинациям (зеленые точки). Справа: распределение квадрата недостающей массы в зависимости от импульса положительно заряженного трека для данных, собранных с минимально смещающим выборку триггером в 2016 году. Красными прямоугольниками показаны сигнальные области.</w:t>
      </w:r>
    </w:p>
    <w:p>
      <w:pPr>
        <w:pStyle w:val="Normal"/>
        <w:spacing w:lineRule="atLeast" w:line="20" w:before="0" w:after="120"/>
        <w:jc w:val="both"/>
        <w:rPr/>
      </w:pPr>
      <w:r>
        <w:rPr>
          <w:rFonts w:eastAsia="Arial Unicode MS"/>
        </w:rPr>
        <w:tab/>
        <w:t>На рисунке 9 показано достигнутое разрешение квадрата недостающей массы по отношению к расчетному уровню, соответствующему 1. Можно видеть, что проектный уровень хорошо воспроизводится, поэтому вклады в разрешение со стороны спектрометра (перечислены на графике как значения, связанные с пионом) не превышают ожидаемых значений. Измеренное кинематическое подавление составляет ~6</w:t>
      </w:r>
      <w:r>
        <w:rPr>
          <w:rFonts w:eastAsia="Tahoma" w:cs="Liberation Serif" w:ascii="Liberation Serif" w:hAnsi="Liberation Serif"/>
        </w:rPr>
        <w:t>×10</w:t>
      </w:r>
      <w:r>
        <w:rPr>
          <w:rFonts w:eastAsia="Tahoma" w:cs="Liberation Serif" w:ascii="Liberation Serif" w:hAnsi="Liberation Serif"/>
          <w:vertAlign w:val="superscript"/>
        </w:rPr>
        <w:t xml:space="preserve">−4 </w:t>
      </w:r>
      <w:r>
        <w:rPr>
          <w:rFonts w:eastAsia="Arial Unicode MS"/>
        </w:rPr>
        <w:t xml:space="preserve"> для </w:t>
      </w:r>
      <w:r>
        <w:rPr>
          <w:rFonts w:eastAsia="Arial Unicode MS" w:cs="Symbol" w:ascii="Symbol" w:hAnsi="Symbol"/>
          <w:spacing w:val="1"/>
          <w:w w:val="120"/>
          <w:sz w:val="24"/>
          <w:lang w:val="en-US"/>
        </w:rPr>
        <w:t></w:t>
      </w:r>
      <w:r>
        <w:rPr>
          <w:rFonts w:eastAsia="Arial Unicode MS" w:cs="Liberation Serif" w:ascii="Liberation Serif" w:hAnsi="Liberation Serif"/>
          <w:spacing w:val="1"/>
          <w:w w:val="120"/>
          <w:vertAlign w:val="superscript"/>
        </w:rPr>
        <w:t>+</w:t>
      </w:r>
      <w:r>
        <w:rPr>
          <w:rFonts w:eastAsia="Arial Unicode MS" w:cs="Symbol" w:ascii="Symbol" w:hAnsi="Symbol"/>
          <w:spacing w:val="1"/>
          <w:w w:val="120"/>
          <w:sz w:val="24"/>
          <w:lang w:val="en-US"/>
        </w:rPr>
        <w:t></w:t>
      </w:r>
      <w:r>
        <w:rPr>
          <w:rFonts w:eastAsia="Arial Unicode MS" w:cs="Liberation Serif" w:ascii="Liberation Serif" w:hAnsi="Liberation Serif"/>
          <w:spacing w:val="1"/>
          <w:w w:val="120"/>
          <w:vertAlign w:val="superscript"/>
        </w:rPr>
        <w:t>0</w:t>
      </w:r>
      <w:r>
        <w:rPr>
          <w:rFonts w:eastAsia="Arial Unicode MS"/>
        </w:rPr>
        <w:t xml:space="preserve"> и ~3</w:t>
      </w:r>
      <w:r>
        <w:rPr>
          <w:rFonts w:eastAsia="Tahoma" w:cs="Liberation Serif" w:ascii="Liberation Serif" w:hAnsi="Liberation Serif"/>
        </w:rPr>
        <w:t>×10</w:t>
      </w:r>
      <w:r>
        <w:rPr>
          <w:rFonts w:eastAsia="Tahoma" w:cs="Liberation Serif" w:ascii="Liberation Serif" w:hAnsi="Liberation Serif"/>
          <w:vertAlign w:val="superscript"/>
        </w:rPr>
        <w:t>−4</w:t>
      </w:r>
      <w:r>
        <w:rPr>
          <w:rFonts w:eastAsia="Arial Unicode MS"/>
        </w:rPr>
        <w:t xml:space="preserve"> для  распада </w:t>
      </w:r>
      <w:r>
        <w:rPr>
          <w:rFonts w:eastAsia="Arial Unicode MS" w:cs="Symbol" w:ascii="Symbol" w:hAnsi="Symbol"/>
          <w:spacing w:val="1"/>
          <w:w w:val="120"/>
          <w:lang w:val="en-US"/>
        </w:rPr>
        <w:t></w:t>
      </w:r>
      <w:r>
        <w:rPr>
          <w:rFonts w:eastAsia="Arial Unicode MS"/>
          <w:spacing w:val="1"/>
          <w:w w:val="120"/>
          <w:vertAlign w:val="superscript"/>
        </w:rPr>
        <w:t>+</w:t>
      </w:r>
      <w:r>
        <w:rPr>
          <w:rFonts w:eastAsia="Arial Unicode MS" w:cs="Symbol" w:ascii="Symbol" w:hAnsi="Symbol"/>
          <w:spacing w:val="1"/>
          <w:w w:val="120"/>
          <w:lang w:val="en-US"/>
        </w:rPr>
        <w:t></w:t>
      </w:r>
      <w:r>
        <w:rPr>
          <w:rFonts w:eastAsia="Arial Unicode MS"/>
        </w:rPr>
        <w:t>, что соответствует ожиданиям эксперимента.</w:t>
      </w:r>
    </w:p>
    <w:p>
      <w:pPr>
        <w:pStyle w:val="Normal"/>
        <w:spacing w:lineRule="atLeast" w:line="20" w:before="0" w:after="120"/>
        <w:jc w:val="both"/>
        <w:rPr>
          <w:rFonts w:eastAsia="Arial Unicode MS"/>
          <w:b/>
          <w:b/>
          <w:bCs/>
          <w:u w:val="single"/>
        </w:rPr>
      </w:pPr>
      <w:r>
        <w:rPr>
          <w:rFonts w:eastAsia="Arial Unicode MS"/>
          <w:b/>
          <w:bCs/>
          <w:u w:val="single"/>
        </w:rPr>
        <w:drawing>
          <wp:anchor behindDoc="0" distT="0" distB="0" distL="18415" distR="0" simplePos="0" locked="0" layoutInCell="1" allowOverlap="1" relativeHeight="13">
            <wp:simplePos x="0" y="0"/>
            <wp:positionH relativeFrom="column">
              <wp:posOffset>1343660</wp:posOffset>
            </wp:positionH>
            <wp:positionV relativeFrom="paragraph">
              <wp:posOffset>51435</wp:posOffset>
            </wp:positionV>
            <wp:extent cx="3525520" cy="2414905"/>
            <wp:effectExtent l="0" t="0" r="0" b="0"/>
            <wp:wrapSquare wrapText="largest"/>
            <wp:docPr id="16"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5" descr=""/>
                    <pic:cNvPicPr>
                      <a:picLocks noChangeAspect="1" noChangeArrowheads="1"/>
                    </pic:cNvPicPr>
                  </pic:nvPicPr>
                  <pic:blipFill>
                    <a:blip r:embed="rId16"/>
                    <a:stretch>
                      <a:fillRect/>
                    </a:stretch>
                  </pic:blipFill>
                  <pic:spPr bwMode="auto">
                    <a:xfrm>
                      <a:off x="0" y="0"/>
                      <a:ext cx="3525520" cy="2414905"/>
                    </a:xfrm>
                    <a:prstGeom prst="rect">
                      <a:avLst/>
                    </a:prstGeom>
                  </pic:spPr>
                </pic:pic>
              </a:graphicData>
            </a:graphic>
          </wp:anchor>
        </w:drawing>
      </w:r>
    </w:p>
    <w:p>
      <w:pPr>
        <w:pStyle w:val="Normal"/>
        <w:spacing w:lineRule="atLeast" w:line="20" w:before="0" w:after="120"/>
        <w:jc w:val="both"/>
        <w:rPr>
          <w:rFonts w:eastAsia="Arial Unicode MS"/>
          <w:b/>
          <w:b/>
          <w:bCs/>
          <w:u w:val="single"/>
        </w:rPr>
      </w:pPr>
      <w:r>
        <w:rPr>
          <w:rFonts w:eastAsia="Arial Unicode MS"/>
          <w:b/>
          <w:bCs/>
          <w:u w:val="single"/>
        </w:rPr>
      </w:r>
    </w:p>
    <w:p>
      <w:pPr>
        <w:pStyle w:val="Normal"/>
        <w:spacing w:lineRule="atLeast" w:line="20" w:before="0" w:after="120"/>
        <w:jc w:val="both"/>
        <w:rPr>
          <w:rFonts w:eastAsia="Arial Unicode MS"/>
          <w:b/>
          <w:b/>
          <w:bCs/>
          <w:u w:val="single"/>
        </w:rPr>
      </w:pPr>
      <w:r>
        <w:rPr>
          <w:rFonts w:eastAsia="Arial Unicode MS"/>
          <w:b/>
          <w:bCs/>
          <w:u w:val="single"/>
        </w:rPr>
      </w:r>
    </w:p>
    <w:p>
      <w:pPr>
        <w:pStyle w:val="Normal"/>
        <w:spacing w:lineRule="atLeast" w:line="20" w:before="0" w:after="120"/>
        <w:jc w:val="both"/>
        <w:rPr>
          <w:rFonts w:eastAsia="Arial Unicode MS"/>
          <w:b/>
          <w:b/>
          <w:bCs/>
          <w:u w:val="single"/>
        </w:rPr>
      </w:pPr>
      <w:r>
        <w:rPr>
          <w:rFonts w:eastAsia="Arial Unicode MS"/>
          <w:b/>
          <w:bCs/>
          <w:u w:val="single"/>
        </w:rPr>
      </w:r>
    </w:p>
    <w:p>
      <w:pPr>
        <w:pStyle w:val="Normal"/>
        <w:spacing w:lineRule="atLeast" w:line="20" w:before="0" w:after="120"/>
        <w:jc w:val="both"/>
        <w:rPr>
          <w:rFonts w:eastAsia="Arial Unicode MS"/>
          <w:b/>
          <w:b/>
          <w:bCs/>
          <w:u w:val="single"/>
        </w:rPr>
      </w:pPr>
      <w:r>
        <w:rPr>
          <w:rFonts w:eastAsia="Arial Unicode MS"/>
          <w:b/>
          <w:bCs/>
          <w:u w:val="single"/>
        </w:rPr>
      </w:r>
    </w:p>
    <w:p>
      <w:pPr>
        <w:pStyle w:val="Normal"/>
        <w:spacing w:lineRule="atLeast" w:line="20" w:before="0" w:after="120"/>
        <w:jc w:val="both"/>
        <w:rPr>
          <w:rFonts w:eastAsia="Arial Unicode MS"/>
          <w:b/>
          <w:b/>
          <w:bCs/>
          <w:u w:val="single"/>
        </w:rPr>
      </w:pPr>
      <w:r>
        <w:rPr>
          <w:rFonts w:eastAsia="Arial Unicode MS"/>
          <w:b/>
          <w:bCs/>
          <w:u w:val="single"/>
        </w:rPr>
      </w:r>
    </w:p>
    <w:p>
      <w:pPr>
        <w:pStyle w:val="Normal"/>
        <w:spacing w:lineRule="atLeast" w:line="20" w:before="0" w:after="120"/>
        <w:jc w:val="both"/>
        <w:rPr>
          <w:rFonts w:eastAsia="Arial Unicode MS"/>
          <w:b/>
          <w:b/>
          <w:bCs/>
          <w:u w:val="single"/>
        </w:rPr>
      </w:pPr>
      <w:r>
        <w:rPr>
          <w:rFonts w:eastAsia="Arial Unicode MS"/>
          <w:b/>
          <w:bCs/>
          <w:u w:val="single"/>
        </w:rPr>
      </w:r>
    </w:p>
    <w:p>
      <w:pPr>
        <w:pStyle w:val="Normal"/>
        <w:spacing w:lineRule="atLeast" w:line="20" w:before="0" w:after="120"/>
        <w:jc w:val="both"/>
        <w:rPr>
          <w:rFonts w:eastAsia="Arial Unicode MS"/>
          <w:b/>
          <w:b/>
          <w:bCs/>
          <w:u w:val="single"/>
        </w:rPr>
      </w:pPr>
      <w:r>
        <w:rPr>
          <w:rFonts w:eastAsia="Arial Unicode MS"/>
          <w:b/>
          <w:bCs/>
          <w:u w:val="single"/>
        </w:rPr>
      </w:r>
    </w:p>
    <w:p>
      <w:pPr>
        <w:pStyle w:val="Normal"/>
        <w:spacing w:lineRule="atLeast" w:line="20" w:before="0" w:after="120"/>
        <w:jc w:val="both"/>
        <w:rPr>
          <w:rFonts w:eastAsia="Arial Unicode MS"/>
          <w:b/>
          <w:b/>
          <w:bCs/>
          <w:u w:val="single"/>
        </w:rPr>
      </w:pPr>
      <w:r>
        <w:rPr>
          <w:rFonts w:eastAsia="Arial Unicode MS"/>
          <w:b/>
          <w:bCs/>
          <w:u w:val="single"/>
        </w:rPr>
      </w:r>
    </w:p>
    <w:p>
      <w:pPr>
        <w:pStyle w:val="Normal"/>
        <w:spacing w:lineRule="atLeast" w:line="20" w:before="0" w:after="120"/>
        <w:jc w:val="both"/>
        <w:rPr>
          <w:rFonts w:eastAsia="Arial Unicode MS"/>
          <w:b/>
          <w:b/>
          <w:bCs/>
          <w:u w:val="single"/>
        </w:rPr>
      </w:pPr>
      <w:r>
        <w:rPr>
          <w:rFonts w:eastAsia="Arial Unicode MS"/>
          <w:b/>
          <w:bCs/>
          <w:u w:val="single"/>
        </w:rPr>
      </w:r>
    </w:p>
    <w:p>
      <w:pPr>
        <w:pStyle w:val="Normal"/>
        <w:spacing w:lineRule="atLeast" w:line="20" w:before="0" w:after="120"/>
        <w:jc w:val="both"/>
        <w:rPr>
          <w:rFonts w:eastAsia="Arial Unicode MS"/>
          <w:b/>
          <w:b/>
          <w:bCs/>
          <w:u w:val="single"/>
        </w:rPr>
      </w:pPr>
      <w:r>
        <w:rPr>
          <w:rFonts w:eastAsia="Arial Unicode MS"/>
          <w:b/>
          <w:bCs/>
          <w:u w:val="single"/>
        </w:rPr>
      </w:r>
    </w:p>
    <w:p>
      <w:pPr>
        <w:pStyle w:val="Normal"/>
        <w:spacing w:lineRule="atLeast" w:line="20" w:before="0" w:after="120"/>
        <w:jc w:val="both"/>
        <w:rPr>
          <w:rFonts w:eastAsia="Arial Unicode MS"/>
          <w:b/>
          <w:b/>
          <w:bCs/>
          <w:i/>
          <w:i/>
          <w:iCs/>
          <w:sz w:val="22"/>
          <w:szCs w:val="22"/>
          <w:u w:val="single"/>
        </w:rPr>
      </w:pPr>
      <w:r>
        <w:rPr>
          <w:rFonts w:eastAsia="Arial Unicode MS"/>
          <w:b/>
          <w:bCs/>
          <w:i/>
          <w:iCs/>
          <w:sz w:val="22"/>
          <w:szCs w:val="22"/>
          <w:u w:val="single"/>
        </w:rPr>
      </w:r>
    </w:p>
    <w:p>
      <w:pPr>
        <w:pStyle w:val="Normal"/>
        <w:spacing w:lineRule="atLeast" w:line="20" w:before="0" w:after="240"/>
        <w:rPr/>
      </w:pPr>
      <w:r>
        <w:rPr>
          <w:rFonts w:eastAsia="Arial Unicode MS"/>
          <w:iCs/>
        </w:rPr>
        <w:t>Рисунок 9.</w:t>
      </w:r>
      <w:r>
        <w:rPr>
          <w:rFonts w:eastAsia="Arial Unicode MS"/>
          <w:i/>
          <w:iCs/>
        </w:rPr>
        <w:t xml:space="preserve"> Разрешение квадрата недостающей массы, измеренной из распада </w:t>
      </w:r>
      <w:r>
        <w:rPr>
          <w:rFonts w:eastAsia="Arial Unicode MS"/>
          <w:i/>
          <w:spacing w:val="1"/>
          <w:w w:val="120"/>
          <w:szCs w:val="22"/>
          <w:lang w:val="en-US"/>
        </w:rPr>
        <w:t>K</w:t>
      </w:r>
      <w:r>
        <w:rPr>
          <w:rFonts w:eastAsia="Arial Unicode MS"/>
          <w:i/>
          <w:spacing w:val="1"/>
          <w:w w:val="120"/>
          <w:szCs w:val="22"/>
          <w:vertAlign w:val="superscript"/>
        </w:rPr>
        <w:t>+</w:t>
      </w:r>
      <w:r>
        <w:rPr>
          <w:rFonts w:eastAsia="Arial Unicode MS"/>
          <w:i/>
          <w:spacing w:val="1"/>
          <w:w w:val="120"/>
          <w:szCs w:val="22"/>
        </w:rPr>
        <w:t xml:space="preserve"> </w:t>
      </w:r>
      <w:r>
        <w:rPr>
          <w:rFonts w:eastAsia="Arial Unicode MS" w:cs="Symbol" w:ascii="Symbol" w:hAnsi="Symbol"/>
          <w:i/>
          <w:spacing w:val="1"/>
          <w:w w:val="120"/>
          <w:szCs w:val="22"/>
          <w:lang w:val="en-US"/>
        </w:rPr>
        <w:t></w:t>
      </w:r>
      <w:r>
        <w:rPr>
          <w:rFonts w:eastAsia="Arial Unicode MS"/>
          <w:i/>
          <w:spacing w:val="1"/>
          <w:w w:val="120"/>
          <w:szCs w:val="22"/>
          <w:vertAlign w:val="superscript"/>
        </w:rPr>
        <w:t>+</w:t>
      </w:r>
      <w:r>
        <w:rPr>
          <w:rFonts w:eastAsia="Arial Unicode MS" w:cs="Symbol" w:ascii="Symbol" w:hAnsi="Symbol"/>
          <w:i/>
          <w:spacing w:val="1"/>
          <w:w w:val="120"/>
          <w:szCs w:val="22"/>
          <w:lang w:val="en-US"/>
        </w:rPr>
        <w:t></w:t>
      </w:r>
      <w:r>
        <w:rPr>
          <w:rFonts w:eastAsia="Arial Unicode MS"/>
          <w:i/>
          <w:spacing w:val="1"/>
          <w:w w:val="120"/>
          <w:szCs w:val="22"/>
          <w:vertAlign w:val="superscript"/>
        </w:rPr>
        <w:t>0</w:t>
      </w:r>
      <w:r>
        <w:rPr>
          <w:rFonts w:eastAsia="Arial Unicode MS"/>
          <w:i/>
          <w:iCs/>
          <w:szCs w:val="22"/>
        </w:rPr>
        <w:t xml:space="preserve"> </w:t>
      </w:r>
      <w:r>
        <w:rPr>
          <w:rFonts w:eastAsia="Arial Unicode MS"/>
          <w:i/>
          <w:iCs/>
        </w:rPr>
        <w:t>(черные точки), показанное вместе с отдельными вкладами из разных источников, оцененными путём моделирования методом Монте-Карло.</w:t>
      </w:r>
    </w:p>
    <w:p>
      <w:pPr>
        <w:pStyle w:val="Normal"/>
        <w:spacing w:lineRule="atLeast" w:line="20" w:before="0" w:after="120"/>
        <w:jc w:val="both"/>
        <w:rPr/>
      </w:pPr>
      <w:r>
        <w:rPr>
          <w:rFonts w:eastAsia="Arial Unicode MS"/>
        </w:rPr>
        <w:tab/>
        <w:t>На фиг.10 показана эффективность идентификации частиц с помощью данных RICH, который используется для различения заряженных пионов и мюонов. Для области сигнала пиона (импульс &lt;35 ГэВ) эффективность мюонов ниже 0,01 при эффективности обнаружения пионов 80%. Но совместная идентификация с использованием RICH вместе с калориметрами доводит подавление мюонов до уровня &lt;10</w:t>
      </w:r>
      <w:r>
        <w:rPr>
          <w:rFonts w:eastAsia="Arial Unicode MS"/>
          <w:vertAlign w:val="superscript"/>
        </w:rPr>
        <w:t>-7</w:t>
      </w:r>
      <w:r>
        <w:rPr>
          <w:rFonts w:eastAsia="Arial Unicode MS"/>
        </w:rPr>
        <w:t>.</w:t>
      </w:r>
    </w:p>
    <w:p>
      <w:pPr>
        <w:pStyle w:val="Normal"/>
        <w:spacing w:lineRule="atLeast" w:line="20" w:before="0" w:after="120"/>
        <w:jc w:val="both"/>
        <w:rPr/>
      </w:pPr>
      <w:r>
        <w:rPr>
          <w:rFonts w:eastAsia="Arial Unicode MS"/>
        </w:rPr>
        <w:tab/>
        <w:t xml:space="preserve">Калориметры NA62 (LKr, LAV, IRC и SAC) используются для подавления регистрации фотонов. Эффективность регистрации распада </w:t>
      </w:r>
      <w:r>
        <w:rPr>
          <w:rFonts w:eastAsia="Arial Unicode MS" w:cs="Liberation Serif" w:ascii="Liberation Serif" w:hAnsi="Liberation Serif"/>
          <w:spacing w:val="1"/>
          <w:w w:val="120"/>
          <w:lang w:val="en-US"/>
        </w:rPr>
        <w:t>K</w:t>
      </w:r>
      <w:r>
        <w:rPr>
          <w:rFonts w:eastAsia="Arial Unicode MS" w:cs="Liberation Serif" w:ascii="Liberation Serif" w:hAnsi="Liberation Serif"/>
          <w:spacing w:val="1"/>
          <w:w w:val="120"/>
          <w:vertAlign w:val="superscript"/>
        </w:rPr>
        <w:t>+</w:t>
      </w:r>
      <w:r>
        <w:rPr>
          <w:rFonts w:eastAsia="Arial Unicode MS" w:cs="Symbol" w:ascii="Symbol" w:hAnsi="Symbol"/>
          <w:spacing w:val="1"/>
          <w:w w:val="120"/>
          <w:lang w:val="en-US"/>
        </w:rPr>
        <w:t></w:t>
      </w:r>
      <w:r>
        <w:rPr>
          <w:rFonts w:eastAsia="Arial Unicode MS" w:cs="Liberation Serif" w:ascii="Liberation Serif" w:hAnsi="Liberation Serif"/>
          <w:spacing w:val="1"/>
          <w:w w:val="120"/>
          <w:vertAlign w:val="superscript"/>
        </w:rPr>
        <w:t>+</w:t>
      </w:r>
      <w:r>
        <w:rPr>
          <w:rFonts w:eastAsia="Arial Unicode MS" w:cs="Symbol" w:ascii="Symbol" w:hAnsi="Symbol"/>
          <w:spacing w:val="1"/>
          <w:w w:val="120"/>
          <w:lang w:val="en-US"/>
        </w:rPr>
        <w:t></w:t>
      </w:r>
      <w:r>
        <w:rPr>
          <w:rFonts w:eastAsia="Arial Unicode MS" w:cs="Liberation Serif" w:ascii="Liberation Serif" w:hAnsi="Liberation Serif"/>
          <w:spacing w:val="1"/>
          <w:w w:val="120"/>
          <w:vertAlign w:val="superscript"/>
        </w:rPr>
        <w:t>0</w:t>
      </w:r>
      <w:r>
        <w:rPr>
          <w:rFonts w:eastAsia="Arial Unicode MS"/>
        </w:rPr>
        <w:t>, измеренная c подавлением фотонов на основе экспериментальных данных, составляет (1,2 ± 0,2)×10</w:t>
      </w:r>
      <w:r>
        <w:rPr>
          <w:rFonts w:eastAsia="Arial Unicode MS"/>
          <w:vertAlign w:val="superscript"/>
        </w:rPr>
        <w:t>-7</w:t>
      </w:r>
      <w:r>
        <w:rPr>
          <w:rFonts w:eastAsia="Arial Unicode MS"/>
        </w:rPr>
        <w:t>, а ожидаемая случайная потеря сигнала составляет ~ 15%.</w:t>
      </w:r>
    </w:p>
    <w:p>
      <w:pPr>
        <w:pStyle w:val="Normal"/>
        <w:spacing w:lineRule="atLeast" w:line="20"/>
        <w:jc w:val="both"/>
        <w:rPr>
          <w:rFonts w:eastAsia="Arial Unicode MS"/>
        </w:rPr>
      </w:pPr>
      <w:r>
        <w:rPr>
          <w:rFonts w:eastAsia="Arial Unicode MS"/>
        </w:rPr>
        <w:tab/>
        <w:t>Ожидаемое количество событий сигнала в рассматриваемых 5% от полного набора данных сеанса 2016 года (2,3 × 10</w:t>
      </w:r>
      <w:r>
        <w:rPr>
          <w:rFonts w:eastAsia="Arial Unicode MS"/>
          <w:vertAlign w:val="superscript"/>
        </w:rPr>
        <w:t xml:space="preserve">10 </w:t>
      </w:r>
      <w:r>
        <w:rPr>
          <w:rFonts w:eastAsia="Arial Unicode MS"/>
        </w:rPr>
        <w:t>распадов каонов) намного меньше, чем одно, и никаких событий в области сигнала не было обнаружено (см. правый график на рис.10).</w:t>
      </w:r>
    </w:p>
    <w:p>
      <w:pPr>
        <w:pStyle w:val="Normal"/>
        <w:spacing w:lineRule="atLeast" w:line="20" w:before="0" w:after="120"/>
        <w:jc w:val="center"/>
        <w:rPr>
          <w:rFonts w:eastAsia="Arial Unicode MS"/>
          <w:b/>
          <w:b/>
          <w:bCs/>
          <w:u w:val="single"/>
        </w:rPr>
      </w:pPr>
      <w:r>
        <w:rPr/>
        <w:drawing>
          <wp:inline distT="0" distB="0" distL="0" distR="0">
            <wp:extent cx="2900680" cy="2526030"/>
            <wp:effectExtent l="0" t="0" r="0" b="0"/>
            <wp:docPr id="17"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6" descr=""/>
                    <pic:cNvPicPr>
                      <a:picLocks noChangeAspect="1" noChangeArrowheads="1"/>
                    </pic:cNvPicPr>
                  </pic:nvPicPr>
                  <pic:blipFill>
                    <a:blip r:embed="rId17"/>
                    <a:stretch>
                      <a:fillRect/>
                    </a:stretch>
                  </pic:blipFill>
                  <pic:spPr bwMode="auto">
                    <a:xfrm>
                      <a:off x="0" y="0"/>
                      <a:ext cx="2900680" cy="2526030"/>
                    </a:xfrm>
                    <a:prstGeom prst="rect">
                      <a:avLst/>
                    </a:prstGeom>
                  </pic:spPr>
                </pic:pic>
              </a:graphicData>
            </a:graphic>
          </wp:inline>
        </w:drawing>
      </w:r>
      <w:r>
        <w:rPr>
          <w:rFonts w:eastAsia="Arial Unicode MS"/>
          <w:b/>
          <w:bCs/>
        </w:rPr>
        <w:t xml:space="preserve">     </w:t>
      </w:r>
      <w:r>
        <w:rPr>
          <w:rFonts w:eastAsia="Arial Unicode MS"/>
          <w:b/>
          <w:bCs/>
        </w:rPr>
        <w:drawing>
          <wp:inline distT="0" distB="0" distL="0" distR="0">
            <wp:extent cx="2977515" cy="2870835"/>
            <wp:effectExtent l="0" t="0" r="0" b="0"/>
            <wp:docPr id="18"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7" descr=""/>
                    <pic:cNvPicPr>
                      <a:picLocks noChangeAspect="1" noChangeArrowheads="1"/>
                    </pic:cNvPicPr>
                  </pic:nvPicPr>
                  <pic:blipFill>
                    <a:blip r:embed="rId18"/>
                    <a:stretch>
                      <a:fillRect/>
                    </a:stretch>
                  </pic:blipFill>
                  <pic:spPr bwMode="auto">
                    <a:xfrm>
                      <a:off x="0" y="0"/>
                      <a:ext cx="2977515" cy="2870835"/>
                    </a:xfrm>
                    <a:prstGeom prst="rect">
                      <a:avLst/>
                    </a:prstGeom>
                  </pic:spPr>
                </pic:pic>
              </a:graphicData>
            </a:graphic>
          </wp:inline>
        </w:drawing>
      </w:r>
    </w:p>
    <w:p>
      <w:pPr>
        <w:pStyle w:val="Normal"/>
        <w:spacing w:lineRule="atLeast" w:line="20" w:before="0" w:after="120"/>
        <w:rPr/>
      </w:pPr>
      <w:r>
        <w:rPr>
          <w:rFonts w:eastAsia="Arial Unicode MS"/>
        </w:rPr>
        <w:t xml:space="preserve">Рисунок 10. </w:t>
      </w:r>
      <w:r>
        <w:rPr>
          <w:rFonts w:eastAsia="Arial Unicode MS"/>
          <w:i/>
        </w:rPr>
        <w:t xml:space="preserve">Слева: радиус кольца </w:t>
      </w:r>
      <w:r>
        <w:rPr>
          <w:rFonts w:eastAsia="Arial Unicode MS"/>
          <w:i/>
          <w:lang w:val="en-US"/>
        </w:rPr>
        <w:t>RICH</w:t>
      </w:r>
      <w:r>
        <w:rPr>
          <w:rFonts w:eastAsia="Arial Unicode MS"/>
          <w:i/>
        </w:rPr>
        <w:t xml:space="preserve"> в зависимости от импульса трека (данные собраны в 2015 году). Справа: извлечение сигнала на основе анализа 5% данных сеанса 2016 года. На рисунке показаны значения </w:t>
      </w:r>
      <w:r>
        <w:rPr>
          <w:rFonts w:eastAsia="Arial Unicode MS"/>
          <w:i/>
          <w:iCs/>
          <w:szCs w:val="22"/>
        </w:rPr>
        <w:t xml:space="preserve">квадрата недостающей </w:t>
      </w:r>
      <w:r>
        <w:rPr>
          <w:rFonts w:eastAsia="Arial Unicode MS"/>
          <w:i/>
        </w:rPr>
        <w:t xml:space="preserve">массы для двух вычислений: недостающей массы трека и недостающей массы по данным </w:t>
      </w:r>
      <w:r>
        <w:rPr>
          <w:rFonts w:eastAsia="Arial Unicode MS"/>
          <w:i/>
          <w:lang w:val="en-US"/>
        </w:rPr>
        <w:t>RICH</w:t>
      </w:r>
      <w:r>
        <w:rPr>
          <w:rFonts w:eastAsia="Arial Unicode MS"/>
          <w:i/>
        </w:rPr>
        <w:t>.</w:t>
      </w:r>
    </w:p>
    <w:p>
      <w:pPr>
        <w:pStyle w:val="Normal"/>
        <w:spacing w:lineRule="atLeast" w:line="20"/>
        <w:jc w:val="both"/>
        <w:rPr>
          <w:rFonts w:eastAsia="Arial Unicode MS"/>
        </w:rPr>
      </w:pPr>
      <w:r>
        <w:rPr>
          <w:rFonts w:eastAsia="Arial Unicode MS"/>
        </w:rPr>
        <w:tab/>
      </w:r>
    </w:p>
    <w:p>
      <w:pPr>
        <w:pStyle w:val="Normal"/>
        <w:spacing w:lineRule="atLeast" w:line="20"/>
        <w:jc w:val="both"/>
        <w:rPr>
          <w:rFonts w:eastAsia="Arial Unicode MS"/>
          <w:b/>
          <w:b/>
          <w:bCs/>
          <w:u w:val="single"/>
        </w:rPr>
      </w:pPr>
      <w:r>
        <w:rPr>
          <w:rFonts w:eastAsia="Arial Unicode MS"/>
          <w:b/>
          <w:bCs/>
          <w:u w:val="single"/>
        </w:rPr>
      </w:r>
    </w:p>
    <w:p>
      <w:pPr>
        <w:pStyle w:val="Normal"/>
        <w:spacing w:lineRule="atLeast" w:line="20"/>
        <w:jc w:val="both"/>
        <w:rPr>
          <w:rFonts w:eastAsia="Arial Unicode MS"/>
          <w:b/>
          <w:b/>
          <w:bCs/>
          <w:u w:val="single"/>
        </w:rPr>
      </w:pPr>
      <w:r>
        <w:rPr>
          <w:rFonts w:eastAsia="Arial Unicode MS"/>
          <w:b/>
          <w:bCs/>
          <w:u w:val="single"/>
        </w:rPr>
      </w:r>
    </w:p>
    <w:p>
      <w:pPr>
        <w:pStyle w:val="Normal"/>
        <w:spacing w:lineRule="atLeast" w:line="100"/>
        <w:rPr>
          <w:rFonts w:eastAsia="Arial Unicode MS"/>
          <w:b/>
          <w:b/>
          <w:bCs/>
          <w:u w:val="single"/>
        </w:rPr>
      </w:pPr>
      <w:r>
        <w:rPr>
          <w:b/>
          <w:bCs/>
          <w:u w:val="single"/>
        </w:rPr>
        <w:t xml:space="preserve">Анализ данных </w:t>
      </w:r>
      <w:r>
        <w:rPr>
          <w:b/>
          <w:bCs/>
          <w:u w:val="single"/>
          <w:lang w:val="en-US"/>
        </w:rPr>
        <w:t>NA</w:t>
      </w:r>
      <w:r>
        <w:rPr>
          <w:b/>
          <w:bCs/>
          <w:u w:val="single"/>
        </w:rPr>
        <w:t xml:space="preserve">48/2 и </w:t>
      </w:r>
      <w:r>
        <w:rPr>
          <w:b/>
          <w:bCs/>
          <w:u w:val="single"/>
          <w:lang w:val="en-US"/>
        </w:rPr>
        <w:t>NA</w:t>
      </w:r>
      <w:r>
        <w:rPr>
          <w:b/>
          <w:bCs/>
          <w:u w:val="single"/>
        </w:rPr>
        <w:t xml:space="preserve">62 в </w:t>
      </w:r>
      <w:r>
        <w:rPr>
          <w:rFonts w:eastAsia="Arial Unicode MS"/>
          <w:b/>
          <w:bCs/>
          <w:u w:val="single"/>
        </w:rPr>
        <w:t>2016 - 2018</w:t>
      </w:r>
    </w:p>
    <w:p>
      <w:pPr>
        <w:pStyle w:val="Normal"/>
        <w:spacing w:lineRule="atLeast" w:line="100"/>
        <w:rPr>
          <w:rFonts w:eastAsia="Arial Unicode MS"/>
          <w:b/>
          <w:b/>
          <w:bCs/>
          <w:u w:val="single"/>
        </w:rPr>
      </w:pPr>
      <w:r>
        <w:rPr>
          <w:rFonts w:eastAsia="Arial Unicode MS"/>
          <w:b/>
          <w:bCs/>
          <w:u w:val="single"/>
        </w:rPr>
      </w:r>
    </w:p>
    <w:p>
      <w:pPr>
        <w:pStyle w:val="Normal"/>
        <w:spacing w:lineRule="atLeast" w:line="20"/>
        <w:ind w:firstLine="567"/>
        <w:jc w:val="both"/>
        <w:rPr/>
      </w:pPr>
      <w:r>
        <w:rPr/>
        <w:t>Продолжался анализ э</w:t>
      </w:r>
      <w:r>
        <w:rPr>
          <w:rFonts w:eastAsia="Arial Unicode MS"/>
          <w:bCs/>
        </w:rPr>
        <w:t xml:space="preserve">кспериментальных данных </w:t>
      </w:r>
      <w:r>
        <w:rPr>
          <w:rFonts w:eastAsia="Arial Unicode MS"/>
          <w:bCs/>
          <w:lang w:val="en-GB"/>
        </w:rPr>
        <w:t>NA</w:t>
      </w:r>
      <w:r>
        <w:rPr>
          <w:rFonts w:eastAsia="Arial Unicode MS"/>
          <w:bCs/>
        </w:rPr>
        <w:t xml:space="preserve">48/2 и </w:t>
      </w:r>
      <w:r>
        <w:rPr>
          <w:rFonts w:eastAsia="Arial Unicode MS"/>
          <w:bCs/>
          <w:lang w:val="en-GB"/>
        </w:rPr>
        <w:t>NA</w:t>
      </w:r>
      <w:r>
        <w:rPr>
          <w:rFonts w:eastAsia="Arial Unicode MS"/>
          <w:bCs/>
        </w:rPr>
        <w:t xml:space="preserve">62, полученных в 2003-2010 гг., параллельно с набором данных эксперимента </w:t>
      </w:r>
      <w:r>
        <w:rPr>
          <w:rFonts w:eastAsia="Arial Unicode MS"/>
          <w:bCs/>
          <w:lang w:val="en-GB"/>
        </w:rPr>
        <w:t>NA</w:t>
      </w:r>
      <w:r>
        <w:rPr>
          <w:rFonts w:eastAsia="Arial Unicode MS"/>
          <w:bCs/>
        </w:rPr>
        <w:t>62:</w:t>
      </w:r>
    </w:p>
    <w:p>
      <w:pPr>
        <w:pStyle w:val="Normal"/>
        <w:tabs>
          <w:tab w:val="left" w:pos="567" w:leader="none"/>
          <w:tab w:val="left" w:pos="993" w:leader="none"/>
          <w:tab w:val="left" w:pos="1701" w:leader="none"/>
        </w:tabs>
        <w:spacing w:before="0" w:after="60"/>
        <w:ind w:left="720" w:hanging="0"/>
        <w:jc w:val="both"/>
        <w:rPr>
          <w:rFonts w:eastAsia="Tahoma" w:cs="Tahoma"/>
        </w:rPr>
      </w:pPr>
      <w:r>
        <w:rPr>
          <w:rFonts w:eastAsia="Tahoma" w:cs="Tahoma"/>
        </w:rPr>
      </w:r>
    </w:p>
    <w:p>
      <w:pPr>
        <w:pStyle w:val="Normal"/>
        <w:numPr>
          <w:ilvl w:val="0"/>
          <w:numId w:val="4"/>
        </w:numPr>
        <w:tabs>
          <w:tab w:val="left" w:pos="567" w:leader="none"/>
          <w:tab w:val="left" w:pos="993" w:leader="none"/>
          <w:tab w:val="left" w:pos="1701" w:leader="none"/>
        </w:tabs>
        <w:spacing w:before="0" w:after="60"/>
        <w:ind w:left="567" w:hanging="340"/>
        <w:jc w:val="both"/>
        <w:rPr/>
      </w:pPr>
      <w:r>
        <w:rPr>
          <w:rFonts w:eastAsia="Tahoma" w:cs="Tahoma"/>
        </w:rPr>
        <w:t xml:space="preserve">На основе данных </w:t>
      </w:r>
      <w:r>
        <w:rPr>
          <w:rFonts w:eastAsia="Tahoma" w:cs="Tahoma"/>
          <w:lang w:val="en-US"/>
        </w:rPr>
        <w:t>NA</w:t>
      </w:r>
      <w:r>
        <w:rPr>
          <w:rFonts w:eastAsia="Tahoma" w:cs="Tahoma"/>
        </w:rPr>
        <w:t xml:space="preserve">48/2 был получен новый верхний предел на парциальную ширину распада </w:t>
      </w:r>
      <w:r>
        <w:rPr>
          <w:lang w:val="en-GB"/>
        </w:rPr>
        <w:t>K</w:t>
      </w:r>
      <w:r>
        <w:rPr>
          <w:position w:val="14"/>
        </w:rPr>
        <w:t>±</w:t>
      </w:r>
      <w:r>
        <w:rPr/>
        <w:t>→</w:t>
      </w:r>
      <w:r>
        <w:rPr>
          <w:lang w:val="en-GB"/>
        </w:rPr>
        <w:t>π</w:t>
      </w:r>
      <w:r>
        <w:rPr>
          <w:position w:val="14"/>
        </w:rPr>
        <w:t>±</w:t>
      </w:r>
      <w:r>
        <w:rPr>
          <w:lang w:val="en-GB"/>
        </w:rPr>
        <w:t>μ</w:t>
      </w:r>
      <w:r>
        <w:rPr>
          <w:vertAlign w:val="superscript"/>
        </w:rPr>
        <w:t>+</w:t>
      </w:r>
      <w:r>
        <w:rPr>
          <w:lang w:val="en-GB"/>
        </w:rPr>
        <w:t>μ</w:t>
      </w:r>
      <w:r>
        <w:rPr>
          <w:vertAlign w:val="superscript"/>
        </w:rPr>
        <w:t>-</w:t>
      </w:r>
      <w:r>
        <w:rPr>
          <w:rFonts w:eastAsia="Tahoma" w:cs="Tahoma"/>
        </w:rPr>
        <w:t xml:space="preserve">, нарушающего лептонное число: </w:t>
      </w:r>
      <w:r>
        <w:rPr>
          <w:lang w:val="en-GB"/>
        </w:rPr>
        <w:t>B</w:t>
      </w:r>
      <w:r>
        <w:rPr/>
        <w:t>(</w:t>
      </w:r>
      <w:r>
        <w:rPr>
          <w:lang w:val="en-GB"/>
        </w:rPr>
        <w:t>K</w:t>
      </w:r>
      <w:r>
        <w:rPr>
          <w:position w:val="14"/>
        </w:rPr>
        <w:t>±</w:t>
      </w:r>
      <w:r>
        <w:rPr/>
        <w:t>→</w:t>
      </w:r>
      <w:r>
        <w:rPr>
          <w:lang w:val="en-GB"/>
        </w:rPr>
        <w:t>π</w:t>
      </w:r>
      <w:r>
        <w:rPr>
          <w:position w:val="14"/>
          <w:szCs w:val="24"/>
        </w:rPr>
        <w:t>±</w:t>
      </w:r>
      <w:r>
        <w:rPr/>
        <w:t xml:space="preserve"> </w:t>
      </w:r>
      <w:r>
        <w:rPr>
          <w:lang w:val="en-GB"/>
        </w:rPr>
        <w:t>μ</w:t>
      </w:r>
      <w:r>
        <w:rPr>
          <w:vertAlign w:val="superscript"/>
        </w:rPr>
        <w:t>+</w:t>
      </w:r>
      <w:r>
        <w:rPr>
          <w:lang w:val="en-GB"/>
        </w:rPr>
        <w:t>μ</w:t>
      </w:r>
      <w:r>
        <w:rPr>
          <w:vertAlign w:val="superscript"/>
        </w:rPr>
        <w:t>-</w:t>
      </w:r>
      <w:r>
        <w:rPr/>
        <w:t>) &lt; 8,6×10</w:t>
      </w:r>
      <w:r>
        <w:rPr>
          <w:vertAlign w:val="superscript"/>
        </w:rPr>
        <w:t xml:space="preserve">-11 </w:t>
      </w:r>
      <w:r>
        <w:rPr>
          <w:rFonts w:eastAsia="Tahoma" w:cs="Tahoma"/>
        </w:rPr>
        <w:t xml:space="preserve">при 90% доверительном уровне  [10,32,33]. Поиски двухчастичных резонансов привели к вычислению верхних пределов для величин </w:t>
      </w:r>
      <w:r>
        <w:rPr>
          <w:lang w:val="en-GB"/>
        </w:rPr>
        <w:t>B</w:t>
      </w:r>
      <w:r>
        <w:rPr/>
        <w:t>(</w:t>
      </w:r>
      <w:r>
        <w:rPr>
          <w:lang w:val="en-GB"/>
        </w:rPr>
        <w:t>K</w:t>
      </w:r>
      <w:r>
        <w:rPr>
          <w:position w:val="14"/>
        </w:rPr>
        <w:t>±</w:t>
      </w:r>
      <w:r>
        <w:rPr/>
        <w:t>→</w:t>
      </w:r>
      <w:r>
        <w:rPr>
          <w:lang w:val="en-GB"/>
        </w:rPr>
        <w:t>μ</w:t>
      </w:r>
      <w:r>
        <w:rPr>
          <w:position w:val="14"/>
        </w:rPr>
        <w:t>±</w:t>
      </w:r>
      <w:r>
        <w:rPr>
          <w:lang w:val="en-GB"/>
        </w:rPr>
        <w:t>N</w:t>
      </w:r>
      <w:r>
        <w:rPr>
          <w:vertAlign w:val="subscript"/>
        </w:rPr>
        <w:t>4</w:t>
      </w:r>
      <w:r>
        <w:rPr/>
        <w:t>)</w:t>
      </w:r>
      <w:r>
        <w:rPr>
          <w:lang w:val="en-GB"/>
        </w:rPr>
        <w:t>B</w:t>
      </w:r>
      <w:r>
        <w:rPr/>
        <w:t>(</w:t>
      </w:r>
      <w:r>
        <w:rPr>
          <w:lang w:val="en-GB"/>
        </w:rPr>
        <w:t>N</w:t>
      </w:r>
      <w:r>
        <w:rPr>
          <w:vertAlign w:val="subscript"/>
        </w:rPr>
        <w:t>4</w:t>
      </w:r>
      <w:r>
        <w:rPr/>
        <w:t>→</w:t>
      </w:r>
      <w:r>
        <w:rPr>
          <w:lang w:val="en-GB"/>
        </w:rPr>
        <w:t>πμ</w:t>
      </w:r>
      <w:r>
        <w:rPr/>
        <w:t xml:space="preserve">) </w:t>
      </w:r>
      <w:r>
        <w:rPr>
          <w:rFonts w:eastAsia="Tahoma" w:cs="Tahoma"/>
        </w:rPr>
        <w:t xml:space="preserve">и </w:t>
      </w:r>
      <w:r>
        <w:rPr>
          <w:lang w:val="en-GB"/>
        </w:rPr>
        <w:t>B</w:t>
      </w:r>
      <w:r>
        <w:rPr/>
        <w:t>(</w:t>
      </w:r>
      <w:r>
        <w:rPr>
          <w:lang w:val="en-GB"/>
        </w:rPr>
        <w:t>K</w:t>
      </w:r>
      <w:r>
        <w:rPr>
          <w:position w:val="14"/>
        </w:rPr>
        <w:t>±</w:t>
      </w:r>
      <w:r>
        <w:rPr/>
        <w:t>→</w:t>
      </w:r>
      <w:r>
        <w:rPr>
          <w:rFonts w:cs="Symbol" w:ascii="Symbol" w:hAnsi="Symbol"/>
          <w:lang w:val="en-GB"/>
        </w:rPr>
        <w:t></w:t>
      </w:r>
      <w:r>
        <w:rPr>
          <w:position w:val="14"/>
        </w:rPr>
        <w:t>±</w:t>
      </w:r>
      <w:r>
        <w:rPr>
          <w:lang w:val="en-GB"/>
        </w:rPr>
        <w:t>X</w:t>
      </w:r>
      <w:r>
        <w:rPr/>
        <w:t>)</w:t>
      </w:r>
      <w:r>
        <w:rPr>
          <w:lang w:val="en-GB"/>
        </w:rPr>
        <w:t>B</w:t>
      </w:r>
      <w:r>
        <w:rPr/>
        <w:t>(</w:t>
      </w:r>
      <w:r>
        <w:rPr>
          <w:lang w:val="en-GB"/>
        </w:rPr>
        <w:t>X</w:t>
      </w:r>
      <w:r>
        <w:rPr/>
        <w:t>→</w:t>
      </w:r>
      <w:r>
        <w:rPr>
          <w:lang w:val="en-GB"/>
        </w:rPr>
        <w:t>μ</w:t>
      </w:r>
      <w:r>
        <w:rPr>
          <w:vertAlign w:val="superscript"/>
        </w:rPr>
        <w:t>+</w:t>
      </w:r>
      <w:r>
        <w:rPr>
          <w:lang w:val="en-GB"/>
        </w:rPr>
        <w:t>μ</w:t>
      </w:r>
      <w:r>
        <w:rPr>
          <w:vertAlign w:val="superscript"/>
        </w:rPr>
        <w:t>-</w:t>
      </w:r>
      <w:r>
        <w:rPr/>
        <w:t>)</w:t>
      </w:r>
      <w:r>
        <w:rPr>
          <w:rFonts w:eastAsia="Tahoma" w:cs="Tahoma"/>
        </w:rPr>
        <w:t>. Эти пределы зависят от времени жизни гипотетических частиц (от 10</w:t>
      </w:r>
      <w:r>
        <w:rPr>
          <w:rFonts w:eastAsia="Tahoma" w:cs="Tahoma"/>
          <w:vertAlign w:val="superscript"/>
        </w:rPr>
        <w:t>-9</w:t>
      </w:r>
      <w:r>
        <w:rPr>
          <w:rFonts w:eastAsia="Tahoma" w:cs="Tahoma"/>
        </w:rPr>
        <w:t xml:space="preserve"> до 10</w:t>
      </w:r>
      <w:r>
        <w:rPr>
          <w:rFonts w:eastAsia="Tahoma" w:cs="Tahoma"/>
          <w:vertAlign w:val="superscript"/>
        </w:rPr>
        <w:t>-11</w:t>
      </w:r>
      <w:r>
        <w:rPr>
          <w:rFonts w:eastAsia="Tahoma" w:cs="Tahoma"/>
        </w:rPr>
        <w:t xml:space="preserve"> для времени жизни резонансов менее 100 пс).</w:t>
      </w:r>
    </w:p>
    <w:p>
      <w:pPr>
        <w:pStyle w:val="Normal"/>
        <w:numPr>
          <w:ilvl w:val="0"/>
          <w:numId w:val="4"/>
        </w:numPr>
        <w:tabs>
          <w:tab w:val="left" w:pos="567" w:leader="none"/>
          <w:tab w:val="left" w:pos="993" w:leader="none"/>
          <w:tab w:val="left" w:pos="1701" w:leader="none"/>
        </w:tabs>
        <w:spacing w:before="0" w:after="60"/>
        <w:ind w:left="567" w:hanging="340"/>
        <w:jc w:val="both"/>
        <w:rPr/>
      </w:pPr>
      <w:r>
        <w:rPr>
          <w:rFonts w:eastAsia="Tahoma" w:cs="Tahoma"/>
        </w:rPr>
        <w:t xml:space="preserve">На основе данных эксперимента </w:t>
      </w:r>
      <w:r>
        <w:rPr>
          <w:rFonts w:eastAsia="Tahoma" w:cs="Tahoma"/>
          <w:lang w:val="en-US"/>
        </w:rPr>
        <w:t>NA</w:t>
      </w:r>
      <w:r>
        <w:rPr>
          <w:rFonts w:eastAsia="Tahoma" w:cs="Tahoma"/>
        </w:rPr>
        <w:t xml:space="preserve">62, собранных в 2007 году, был измерен параметр наклона форм-фактора электромагнитного перехода </w:t>
      </w:r>
      <w:r>
        <w:rPr>
          <w:rFonts w:eastAsia="Tahoma" w:cs="Symbol" w:ascii="Symbol" w:hAnsi="Symbol"/>
          <w:lang w:val="en-US"/>
        </w:rPr>
        <w:t></w:t>
      </w:r>
      <w:r>
        <w:rPr>
          <w:rFonts w:eastAsia="Tahoma" w:cs="Symbol" w:ascii="Symbol" w:hAnsi="Symbol"/>
          <w:vertAlign w:val="superscript"/>
          <w:lang w:val="en-US"/>
        </w:rPr>
        <w:t></w:t>
      </w:r>
      <w:r>
        <w:rPr>
          <w:rFonts w:eastAsia="Tahoma"/>
          <w:vertAlign w:val="superscript"/>
        </w:rPr>
        <w:t>0</w:t>
      </w:r>
      <w:r>
        <w:rPr>
          <w:rFonts w:eastAsia="Tahoma" w:cs="Tahoma"/>
        </w:rPr>
        <w:t xml:space="preserve">: </w:t>
      </w:r>
      <w:r>
        <w:rPr>
          <w:rFonts w:eastAsia="Tahoma" w:cs="Tahoma"/>
          <w:lang w:val="en-US"/>
        </w:rPr>
        <w:t xml:space="preserve">a </w:t>
      </w:r>
      <w:r>
        <w:rPr>
          <w:rFonts w:eastAsia="Tahoma" w:cs="Tahoma"/>
        </w:rPr>
        <w:t>= (3,68±0,57)×10</w:t>
      </w:r>
      <w:r>
        <w:rPr>
          <w:rFonts w:eastAsia="Tahoma" w:cs="Tahoma"/>
          <w:vertAlign w:val="superscript"/>
        </w:rPr>
        <w:t>-2</w:t>
      </w:r>
      <w:r>
        <w:rPr>
          <w:rFonts w:eastAsia="Tahoma" w:cs="Tahoma"/>
        </w:rPr>
        <w:t xml:space="preserve"> [11]. Полученный результат хорошо согласуется с теоретическими ожиданиями и более ранними измерениями. Это наиболее точное экспериментальное определение наклона во время-подобной области передачи импульса.</w:t>
      </w:r>
    </w:p>
    <w:p>
      <w:pPr>
        <w:pStyle w:val="Normal"/>
        <w:numPr>
          <w:ilvl w:val="0"/>
          <w:numId w:val="4"/>
        </w:numPr>
        <w:tabs>
          <w:tab w:val="left" w:pos="567" w:leader="none"/>
          <w:tab w:val="left" w:pos="993" w:leader="none"/>
          <w:tab w:val="left" w:pos="1701" w:leader="none"/>
        </w:tabs>
        <w:spacing w:before="0" w:after="60"/>
        <w:ind w:left="567" w:hanging="340"/>
        <w:jc w:val="both"/>
        <w:rPr/>
      </w:pPr>
      <w:r>
        <w:rPr/>
        <w:t xml:space="preserve">Был проведен поиск пика в реконструированном спектре недостающей массы распадов </w:t>
      </w:r>
      <w:r>
        <w:rPr>
          <w:rFonts w:eastAsia="Tahoma"/>
          <w:lang w:val="en-US"/>
        </w:rPr>
        <w:t>K</w:t>
      </w:r>
      <w:r>
        <w:rPr>
          <w:rFonts w:eastAsia="Tahoma"/>
          <w:vertAlign w:val="superscript"/>
        </w:rPr>
        <w:t>+</w:t>
      </w:r>
      <w:r>
        <w:rPr>
          <w:rFonts w:eastAsia="Tahoma"/>
        </w:rPr>
        <w:t>→</w:t>
      </w:r>
      <w:r>
        <w:rPr>
          <w:rFonts w:eastAsia="Tahoma" w:cs="Symbol" w:ascii="Symbol" w:hAnsi="Symbol"/>
          <w:lang w:val="en-US"/>
        </w:rPr>
        <w:t></w:t>
      </w:r>
      <w:r>
        <w:rPr>
          <w:rFonts w:eastAsia="Tahoma" w:ascii="Symbol" w:hAnsi="Symbol"/>
          <w:vertAlign w:val="superscript"/>
          <w:lang w:val="en-US"/>
        </w:rPr>
        <w:t></w:t>
      </w:r>
      <w:r>
        <w:rPr>
          <w:rFonts w:eastAsia="Tahoma" w:cs="Symbol" w:ascii="Symbol" w:hAnsi="Symbol"/>
          <w:lang w:val="en-US"/>
        </w:rPr>
        <w:t></w:t>
      </w:r>
      <w:r>
        <w:rPr>
          <w:rFonts w:eastAsia="Tahoma" w:cs="Symbol" w:ascii="Symbol" w:hAnsi="Symbol"/>
        </w:rPr>
        <w:t></w:t>
      </w:r>
      <w:r>
        <w:rPr/>
        <w:t xml:space="preserve"> набранных экспериментом </w:t>
      </w:r>
      <w:r>
        <w:rPr>
          <w:lang w:val="en-US"/>
        </w:rPr>
        <w:t>NA</w:t>
      </w:r>
      <w:r>
        <w:rPr/>
        <w:t>62 в 2007 году. В отсутствии сигнала для масс тяжелых нейтрино в диапазоне 300-375 МэВ/с</w:t>
      </w:r>
      <w:r>
        <w:rPr>
          <w:vertAlign w:val="superscript"/>
        </w:rPr>
        <w:t>2</w:t>
      </w:r>
      <w:r>
        <w:rPr/>
        <w:t xml:space="preserve"> [12,13] были установлены пределы в диапазоне от 2×10</w:t>
      </w:r>
      <w:r>
        <w:rPr>
          <w:vertAlign w:val="superscript"/>
        </w:rPr>
        <w:t>-6</w:t>
      </w:r>
      <w:r>
        <w:rPr/>
        <w:t xml:space="preserve"> до 10</w:t>
      </w:r>
      <w:r>
        <w:rPr>
          <w:vertAlign w:val="superscript"/>
        </w:rPr>
        <w:t>-5</w:t>
      </w:r>
      <w:r>
        <w:rPr/>
        <w:t xml:space="preserve"> на квадрат матричного элемента </w:t>
      </w:r>
      <w:r>
        <w:rPr>
          <w:rFonts w:eastAsia="Tahoma"/>
        </w:rPr>
        <w:t>|</w:t>
      </w:r>
      <w:r>
        <w:rPr>
          <w:rFonts w:eastAsia="Tahoma"/>
          <w:lang w:val="en-US"/>
        </w:rPr>
        <w:t>U</w:t>
      </w:r>
      <w:r>
        <w:rPr>
          <w:rFonts w:eastAsia="Tahoma" w:cs="Symbol" w:ascii="Symbol" w:hAnsi="Symbol"/>
          <w:vertAlign w:val="subscript"/>
          <w:lang w:val="en-US"/>
        </w:rPr>
        <w:t></w:t>
      </w:r>
      <w:r>
        <w:rPr>
          <w:rFonts w:eastAsia="Tahoma"/>
          <w:vertAlign w:val="subscript"/>
        </w:rPr>
        <w:t>4</w:t>
      </w:r>
      <w:r>
        <w:rPr>
          <w:rFonts w:eastAsia="Tahoma"/>
        </w:rPr>
        <w:t>|</w:t>
      </w:r>
      <w:r>
        <w:rPr>
          <w:rFonts w:eastAsia="Tahoma"/>
          <w:vertAlign w:val="superscript"/>
        </w:rPr>
        <w:t>2</w:t>
      </w:r>
      <w:r>
        <w:rPr/>
        <w:t>, который описывает смешивание между мюонами и состояниями тяжелых нейтрино.</w:t>
      </w:r>
    </w:p>
    <w:p>
      <w:pPr>
        <w:pStyle w:val="Normal"/>
        <w:numPr>
          <w:ilvl w:val="0"/>
          <w:numId w:val="4"/>
        </w:numPr>
        <w:tabs>
          <w:tab w:val="left" w:pos="567" w:leader="none"/>
          <w:tab w:val="left" w:pos="993" w:leader="none"/>
          <w:tab w:val="left" w:pos="1701" w:leader="none"/>
        </w:tabs>
        <w:spacing w:before="0" w:after="60"/>
        <w:ind w:left="567" w:hanging="340"/>
        <w:jc w:val="both"/>
        <w:rPr/>
      </w:pPr>
      <w:r>
        <w:rPr>
          <w:rFonts w:eastAsia="Tahoma" w:cs="Tahoma"/>
        </w:rPr>
        <w:t xml:space="preserve">Статья об измерении форм-факторов распадов </w:t>
      </w:r>
      <w:r>
        <w:rPr>
          <w:lang w:val="en-US"/>
        </w:rPr>
        <w:t>K</w:t>
      </w:r>
      <w:r>
        <w:rPr>
          <w:vertAlign w:val="subscript"/>
          <w:lang w:val="en-US"/>
        </w:rPr>
        <w:t>e</w:t>
      </w:r>
      <w:r>
        <w:rPr>
          <w:vertAlign w:val="subscript"/>
        </w:rPr>
        <w:t>3</w:t>
      </w:r>
      <w:r>
        <w:rPr/>
        <w:t xml:space="preserve"> и </w:t>
      </w:r>
      <w:r>
        <w:rPr>
          <w:lang w:val="en-US"/>
        </w:rPr>
        <w:t>K</w:t>
      </w:r>
      <w:r>
        <w:rPr>
          <w:rFonts w:cs="Symbol" w:ascii="Symbol" w:hAnsi="Symbol"/>
          <w:vertAlign w:val="subscript"/>
          <w:lang w:val="en-US"/>
        </w:rPr>
        <w:t></w:t>
      </w:r>
      <w:r>
        <w:rPr>
          <w:vertAlign w:val="subscript"/>
        </w:rPr>
        <w:t>3</w:t>
      </w:r>
      <w:r>
        <w:rPr>
          <w:rFonts w:eastAsia="Tahoma" w:cs="Tahoma"/>
        </w:rPr>
        <w:t xml:space="preserve"> на основе данных </w:t>
      </w:r>
      <w:r>
        <w:rPr>
          <w:rFonts w:eastAsia="Tahoma" w:cs="Tahoma"/>
          <w:lang w:val="en-US"/>
        </w:rPr>
        <w:t>NA</w:t>
      </w:r>
      <w:r>
        <w:rPr>
          <w:rFonts w:eastAsia="Tahoma" w:cs="Tahoma"/>
        </w:rPr>
        <w:t>48/2 находится в стадии подготовки после рецензирования внутри коллаборации Предварительные результаты по формфакторам полулептонных распадов заряженных каонов были представлены на конференциях [14]. Группа из Дубны отвечает за публикацию окончательного результата.</w:t>
      </w:r>
    </w:p>
    <w:p>
      <w:pPr>
        <w:pStyle w:val="Normal"/>
        <w:numPr>
          <w:ilvl w:val="0"/>
          <w:numId w:val="4"/>
        </w:numPr>
        <w:tabs>
          <w:tab w:val="left" w:pos="567" w:leader="none"/>
          <w:tab w:val="left" w:pos="993" w:leader="none"/>
          <w:tab w:val="left" w:pos="1701" w:leader="none"/>
        </w:tabs>
        <w:spacing w:before="0" w:after="60"/>
        <w:ind w:left="567" w:hanging="340"/>
        <w:jc w:val="both"/>
        <w:rPr/>
      </w:pPr>
      <w:r>
        <w:rPr/>
        <w:t xml:space="preserve">Анализ нового редкого распада </w:t>
      </w:r>
      <w:r>
        <w:rPr>
          <w:rFonts w:eastAsia="Tahoma" w:cs="Tahoma"/>
          <w:lang w:val="en-US"/>
        </w:rPr>
        <w:t>K</w:t>
      </w:r>
      <w:r>
        <w:rPr>
          <w:rFonts w:eastAsia="Tahoma" w:cs="Tahoma"/>
          <w:position w:val="7"/>
          <w:sz w:val="17"/>
        </w:rPr>
        <w:t>±</w:t>
      </w:r>
      <w:r>
        <w:rPr>
          <w:rFonts w:eastAsia="Tahoma" w:cs="Tahoma"/>
        </w:rPr>
        <w:t xml:space="preserve">→ </w:t>
      </w:r>
      <w:r>
        <w:rPr>
          <w:rFonts w:eastAsia="Tahoma" w:cs="Symbol" w:ascii="Symbol" w:hAnsi="Symbol"/>
          <w:lang w:val="en-US"/>
        </w:rPr>
        <w:t></w:t>
      </w:r>
      <w:r>
        <w:rPr>
          <w:rFonts w:eastAsia="Times-Roman" w:cs="Tahoma"/>
          <w:position w:val="7"/>
          <w:sz w:val="17"/>
        </w:rPr>
        <w:t>±</w:t>
      </w:r>
      <w:r>
        <w:rPr>
          <w:rFonts w:eastAsia="Tahoma" w:cs="Symbol" w:ascii="Symbol" w:hAnsi="Symbol"/>
          <w:lang w:val="en-US"/>
        </w:rPr>
        <w:t></w:t>
      </w:r>
      <w:r>
        <w:rPr>
          <w:rFonts w:eastAsia="Tahoma"/>
          <w:vertAlign w:val="superscript"/>
        </w:rPr>
        <w:t>0</w:t>
      </w:r>
      <w:r>
        <w:rPr>
          <w:rFonts w:eastAsia="Tahoma" w:cs="Tahoma"/>
          <w:lang w:val="en-US"/>
        </w:rPr>
        <w:t>e</w:t>
      </w:r>
      <w:r>
        <w:rPr>
          <w:rFonts w:eastAsia="Tahoma" w:cs="Tahoma"/>
          <w:position w:val="7"/>
          <w:sz w:val="17"/>
        </w:rPr>
        <w:t>+</w:t>
      </w:r>
      <w:r>
        <w:rPr>
          <w:rFonts w:eastAsia="Tahoma" w:cs="Tahoma"/>
          <w:lang w:val="en-US"/>
        </w:rPr>
        <w:t>e</w:t>
      </w:r>
      <w:r>
        <w:rPr>
          <w:rFonts w:eastAsia="Tahoma" w:cs="Tahoma"/>
          <w:position w:val="7"/>
          <w:sz w:val="17"/>
        </w:rPr>
        <w:t>-</w:t>
      </w:r>
      <w:r>
        <w:rPr/>
        <w:t xml:space="preserve"> на основе данных </w:t>
      </w:r>
      <w:r>
        <w:rPr>
          <w:lang w:val="en-US"/>
        </w:rPr>
        <w:t>NA</w:t>
      </w:r>
      <w:r>
        <w:rPr/>
        <w:t xml:space="preserve">48/2 находится на завершающей стадии, это первое экспериментальное наблюдение этого канала распада каона. Измерено предварительное значение парциальной ширины этого распада </w:t>
        <w:br/>
      </w:r>
      <w:r>
        <w:rPr>
          <w:rFonts w:eastAsia="Tahoma" w:cs="Tahoma"/>
          <w:lang w:val="en-US"/>
        </w:rPr>
        <w:t>Br</w:t>
      </w:r>
      <w:r>
        <w:rPr>
          <w:rFonts w:eastAsia="Tahoma" w:cs="Tahoma"/>
          <w:i/>
        </w:rPr>
        <w:t>(</w:t>
      </w:r>
      <w:r>
        <w:rPr>
          <w:rFonts w:eastAsia="Tahoma" w:cs="Symbol" w:ascii="Symbol" w:hAnsi="Symbol"/>
          <w:lang w:val="en-US"/>
        </w:rPr>
        <w:t></w:t>
      </w:r>
      <w:r>
        <w:rPr>
          <w:rFonts w:eastAsia="Times-Roman" w:cs="Tahoma"/>
          <w:position w:val="7"/>
          <w:sz w:val="17"/>
        </w:rPr>
        <w:t>±</w:t>
      </w:r>
      <w:r>
        <w:rPr>
          <w:rFonts w:eastAsia="Tahoma" w:cs="Symbol" w:ascii="Symbol" w:hAnsi="Symbol"/>
          <w:lang w:val="en-US"/>
        </w:rPr>
        <w:t></w:t>
      </w:r>
      <w:r>
        <w:rPr>
          <w:rFonts w:eastAsia="Tahoma" w:cs="Symbol" w:ascii="Symbol" w:hAnsi="Symbol"/>
          <w:position w:val="7"/>
          <w:sz w:val="17"/>
          <w:lang w:val="en-US"/>
        </w:rPr>
        <w:t></w:t>
      </w:r>
      <w:r>
        <w:rPr>
          <w:rFonts w:eastAsia="Tahoma" w:cs="Tahoma"/>
          <w:lang w:val="en-US"/>
        </w:rPr>
        <w:t>e</w:t>
      </w:r>
      <w:r>
        <w:rPr>
          <w:rFonts w:eastAsia="Tahoma" w:cs="Tahoma"/>
          <w:position w:val="7"/>
          <w:sz w:val="17"/>
        </w:rPr>
        <w:t>+</w:t>
      </w:r>
      <w:r>
        <w:rPr>
          <w:rFonts w:eastAsia="Tahoma" w:cs="Tahoma"/>
          <w:lang w:val="en-US"/>
        </w:rPr>
        <w:t>e</w:t>
      </w:r>
      <w:r>
        <w:rPr>
          <w:rFonts w:eastAsia="Tahoma" w:cs="Tahoma"/>
          <w:position w:val="7"/>
          <w:sz w:val="17"/>
        </w:rPr>
        <w:t>-</w:t>
      </w:r>
      <w:r>
        <w:rPr>
          <w:rFonts w:eastAsia="Tahoma" w:cs="Tahoma"/>
        </w:rPr>
        <w:t xml:space="preserve">) = (4,22 </w:t>
      </w:r>
      <w:r>
        <w:rPr>
          <w:rFonts w:eastAsia="Times-Roman" w:cs="Tahoma"/>
        </w:rPr>
        <w:t>±</w:t>
      </w:r>
      <w:r>
        <w:rPr>
          <w:rFonts w:eastAsia="Tahoma" w:cs="Tahoma"/>
        </w:rPr>
        <w:t xml:space="preserve"> 0,06</w:t>
      </w:r>
      <w:r>
        <w:rPr>
          <w:rFonts w:eastAsia="Tahoma" w:cs="Tahoma"/>
          <w:vertAlign w:val="subscript"/>
        </w:rPr>
        <w:t>стат</w:t>
      </w:r>
      <w:r>
        <w:rPr>
          <w:rFonts w:eastAsia="Times-Roman" w:cs="Tahoma"/>
        </w:rPr>
        <w:t>±</w:t>
      </w:r>
      <w:r>
        <w:rPr>
          <w:rFonts w:eastAsia="Tahoma" w:cs="Tahoma"/>
        </w:rPr>
        <w:t>0,04</w:t>
      </w:r>
      <w:r>
        <w:rPr>
          <w:rFonts w:eastAsia="Tahoma" w:cs="Tahoma"/>
          <w:vertAlign w:val="subscript"/>
        </w:rPr>
        <w:t>сист</w:t>
      </w:r>
      <w:r>
        <w:rPr>
          <w:rFonts w:eastAsia="Times-Roman" w:cs="Tahoma"/>
        </w:rPr>
        <w:t>±</w:t>
      </w:r>
      <w:r>
        <w:rPr>
          <w:rFonts w:eastAsia="Tahoma" w:cs="Tahoma"/>
        </w:rPr>
        <w:t>0,13</w:t>
      </w:r>
      <w:r>
        <w:rPr>
          <w:rFonts w:eastAsia="Tahoma" w:cs="Tahoma"/>
          <w:vertAlign w:val="subscript"/>
        </w:rPr>
        <w:t>внеш</w:t>
      </w:r>
      <w:r>
        <w:rPr>
          <w:rFonts w:eastAsia="Tahoma" w:cs="Tahoma"/>
        </w:rPr>
        <w:t>)</w:t>
      </w:r>
      <w:r>
        <w:rPr>
          <w:rFonts w:eastAsia="Tahoma" w:cs="Liberation Serif" w:ascii="Liberation Serif" w:hAnsi="Liberation Serif"/>
        </w:rPr>
        <w:t>×</w:t>
      </w:r>
      <w:r>
        <w:rPr>
          <w:rFonts w:eastAsia="Tahoma" w:cs="Tahoma"/>
        </w:rPr>
        <w:t>10</w:t>
      </w:r>
      <w:r>
        <w:rPr>
          <w:rFonts w:eastAsia="Tahoma" w:cs="Tahoma"/>
          <w:vertAlign w:val="superscript"/>
        </w:rPr>
        <w:t>-6</w:t>
      </w:r>
      <w:r>
        <w:rPr>
          <w:rFonts w:eastAsia="Tahoma" w:cs="Tahoma"/>
        </w:rPr>
        <w:t xml:space="preserve"> </w:t>
      </w:r>
      <w:r>
        <w:rPr/>
        <w:t xml:space="preserve"> [14].</w:t>
      </w:r>
    </w:p>
    <w:p>
      <w:pPr>
        <w:pStyle w:val="Normal"/>
        <w:numPr>
          <w:ilvl w:val="0"/>
          <w:numId w:val="4"/>
        </w:numPr>
        <w:tabs>
          <w:tab w:val="left" w:pos="567" w:leader="none"/>
          <w:tab w:val="left" w:pos="993" w:leader="none"/>
          <w:tab w:val="left" w:pos="1701" w:leader="none"/>
        </w:tabs>
        <w:spacing w:before="0" w:after="60"/>
        <w:ind w:left="624" w:hanging="340"/>
        <w:jc w:val="both"/>
        <w:rPr/>
      </w:pPr>
      <w:r>
        <w:rPr/>
        <w:t xml:space="preserve">В настоящее время ведется изучение редкого распада </w:t>
      </w:r>
      <w:r>
        <w:rPr>
          <w:lang w:val="en-US"/>
        </w:rPr>
        <w:t>K</w:t>
      </w:r>
      <w:r>
        <w:rPr>
          <w:vertAlign w:val="subscript"/>
        </w:rPr>
        <w:t>µ4</w:t>
      </w:r>
      <w:r>
        <w:rPr>
          <w:vertAlign w:val="superscript"/>
        </w:rPr>
        <w:t>00</w:t>
      </w:r>
      <w:r>
        <w:rPr/>
        <w:t xml:space="preserve"> на основе данных </w:t>
      </w:r>
      <w:r>
        <w:rPr>
          <w:lang w:val="en-US"/>
        </w:rPr>
        <w:t>NA</w:t>
      </w:r>
      <w:r>
        <w:rPr/>
        <w:t>48/2, получено предварительное значение парциальной ширины. Этот канал распада также экспериментально ранее не наблюдался.</w:t>
      </w:r>
    </w:p>
    <w:p>
      <w:pPr>
        <w:pStyle w:val="Normal"/>
        <w:numPr>
          <w:ilvl w:val="0"/>
          <w:numId w:val="4"/>
        </w:numPr>
        <w:tabs>
          <w:tab w:val="left" w:pos="567" w:leader="none"/>
          <w:tab w:val="left" w:pos="993" w:leader="none"/>
          <w:tab w:val="left" w:pos="1701" w:leader="none"/>
        </w:tabs>
        <w:spacing w:before="0" w:after="60"/>
        <w:ind w:left="624" w:hanging="340"/>
        <w:jc w:val="both"/>
        <w:rPr/>
      </w:pPr>
      <w:r>
        <w:rPr/>
        <w:t>Начат анализ четырехлептонных распадов каонов на основе данных эксперимента NA62, собранных в сеансах 2016 и 2017 годов.</w:t>
      </w:r>
    </w:p>
    <w:p>
      <w:pPr>
        <w:pStyle w:val="Normal"/>
        <w:tabs>
          <w:tab w:val="left" w:pos="567" w:leader="none"/>
          <w:tab w:val="left" w:pos="993" w:leader="none"/>
          <w:tab w:val="left" w:pos="1701" w:leader="none"/>
        </w:tabs>
        <w:spacing w:before="0" w:after="60"/>
        <w:ind w:left="720" w:hanging="0"/>
        <w:jc w:val="both"/>
        <w:rPr/>
      </w:pPr>
      <w:r>
        <w:rPr/>
      </w:r>
    </w:p>
    <w:p>
      <w:pPr>
        <w:pStyle w:val="Normal"/>
        <w:tabs>
          <w:tab w:val="left" w:pos="851" w:leader="none"/>
          <w:tab w:val="left" w:pos="1701" w:leader="none"/>
        </w:tabs>
        <w:spacing w:before="120" w:after="120"/>
        <w:ind w:left="737" w:hanging="0"/>
        <w:jc w:val="both"/>
        <w:rPr>
          <w:rFonts w:cs="Arial"/>
        </w:rPr>
      </w:pPr>
      <w:r>
        <w:rPr>
          <w:rFonts w:cs="Arial"/>
          <w:b/>
          <w:bCs/>
        </w:rPr>
        <w:t>Наряду с экспериментальными работами были получены следующие методические и теоретические результаты:</w:t>
      </w:r>
    </w:p>
    <w:p>
      <w:pPr>
        <w:pStyle w:val="Normal"/>
        <w:numPr>
          <w:ilvl w:val="0"/>
          <w:numId w:val="5"/>
        </w:numPr>
        <w:tabs>
          <w:tab w:val="left" w:pos="709" w:leader="none"/>
        </w:tabs>
        <w:jc w:val="both"/>
        <w:rPr/>
      </w:pPr>
      <w:r>
        <w:rPr>
          <w:rFonts w:cs="Arial"/>
        </w:rPr>
        <w:t xml:space="preserve">Для использования в сотрудничестве </w:t>
      </w:r>
      <w:r>
        <w:rPr>
          <w:rFonts w:cs="Arial"/>
          <w:lang w:val="en-US"/>
        </w:rPr>
        <w:t>NA</w:t>
      </w:r>
      <w:r>
        <w:rPr>
          <w:rFonts w:cs="Arial"/>
        </w:rPr>
        <w:t>62 был разработан интерактивный программный инструмент, отображающий геометрию, сбор данных и электропитание спектрометра.</w:t>
      </w:r>
    </w:p>
    <w:p>
      <w:pPr>
        <w:pStyle w:val="Normal"/>
        <w:numPr>
          <w:ilvl w:val="0"/>
          <w:numId w:val="5"/>
        </w:numPr>
        <w:tabs>
          <w:tab w:val="left" w:pos="709" w:leader="none"/>
        </w:tabs>
        <w:jc w:val="both"/>
        <w:rPr/>
      </w:pPr>
      <w:r>
        <w:rPr>
          <w:rFonts w:cs="Arial"/>
        </w:rPr>
        <w:t>Разработан инструмент для калибровки и мониторинга, чтобы контролировать стабильность времени строу в каждом сбросе пучка. Он применяется для коррекции данных, собранных в 2016 году, а также использовался для специального мониторинга в течение сеанса 2017 года.</w:t>
      </w:r>
    </w:p>
    <w:p>
      <w:pPr>
        <w:pStyle w:val="Normal"/>
        <w:numPr>
          <w:ilvl w:val="0"/>
          <w:numId w:val="5"/>
        </w:numPr>
        <w:tabs>
          <w:tab w:val="left" w:pos="709" w:leader="none"/>
        </w:tabs>
        <w:jc w:val="both"/>
        <w:rPr/>
      </w:pPr>
      <w:r>
        <w:rPr>
          <w:rFonts w:cs="Arial"/>
        </w:rPr>
        <w:t xml:space="preserve">Разработан программный инструмент для контроля положения проволоки в строу и поперечных перемещений трубки. Он использует двумерные распределения времени хита и расстояния между треком, реконструированным спектрометром, и сработавшей проволокой. </w:t>
      </w:r>
    </w:p>
    <w:p>
      <w:pPr>
        <w:pStyle w:val="Normal"/>
        <w:numPr>
          <w:ilvl w:val="0"/>
          <w:numId w:val="5"/>
        </w:numPr>
        <w:tabs>
          <w:tab w:val="left" w:pos="709" w:leader="none"/>
        </w:tabs>
        <w:jc w:val="both"/>
        <w:rPr>
          <w:rFonts w:cs="Arial"/>
        </w:rPr>
      </w:pPr>
      <w:r>
        <w:rPr>
          <w:rFonts w:cs="Arial"/>
        </w:rPr>
        <w:t xml:space="preserve">Был подготовлен и опубликован обзор исследований распада каона, выполненных в сотрудничествах </w:t>
      </w:r>
      <w:r>
        <w:rPr>
          <w:rFonts w:cs="Arial"/>
          <w:lang w:val="en-GB"/>
        </w:rPr>
        <w:t>NA</w:t>
      </w:r>
      <w:r>
        <w:rPr>
          <w:rFonts w:cs="Arial"/>
        </w:rPr>
        <w:t xml:space="preserve">48, </w:t>
      </w:r>
      <w:r>
        <w:rPr>
          <w:rFonts w:cs="Arial"/>
          <w:lang w:val="en-GB"/>
        </w:rPr>
        <w:t>NA</w:t>
      </w:r>
      <w:r>
        <w:rPr>
          <w:rFonts w:cs="Arial"/>
        </w:rPr>
        <w:t xml:space="preserve">48/1 и </w:t>
      </w:r>
      <w:r>
        <w:rPr>
          <w:rFonts w:cs="Arial"/>
          <w:lang w:val="en-GB"/>
        </w:rPr>
        <w:t>NA</w:t>
      </w:r>
      <w:r>
        <w:rPr>
          <w:rFonts w:cs="Arial"/>
        </w:rPr>
        <w:t>48/2 [15].</w:t>
      </w:r>
    </w:p>
    <w:p>
      <w:pPr>
        <w:pStyle w:val="Normal"/>
        <w:numPr>
          <w:ilvl w:val="0"/>
          <w:numId w:val="5"/>
        </w:numPr>
        <w:tabs>
          <w:tab w:val="left" w:pos="709" w:leader="none"/>
        </w:tabs>
        <w:jc w:val="both"/>
        <w:rPr>
          <w:rFonts w:cs="Arial"/>
        </w:rPr>
      </w:pPr>
      <w:r>
        <w:rPr>
          <w:rFonts w:cs="Arial"/>
        </w:rPr>
        <w:t xml:space="preserve">Опубликована статья о конструкции дрейфовой камеры </w:t>
      </w:r>
      <w:r>
        <w:rPr>
          <w:rFonts w:cs="Arial"/>
          <w:lang w:val="en-GB"/>
        </w:rPr>
        <w:t>NA</w:t>
      </w:r>
      <w:r>
        <w:rPr>
          <w:rFonts w:cs="Arial"/>
        </w:rPr>
        <w:t>62 [16]. Представлена дрейфовая камера с площадью регистрации 2150×2150 мм</w:t>
      </w:r>
      <w:r>
        <w:rPr>
          <w:rFonts w:cs="Arial"/>
          <w:vertAlign w:val="superscript"/>
        </w:rPr>
        <w:t>2</w:t>
      </w:r>
      <w:r>
        <w:rPr>
          <w:rFonts w:cs="Arial"/>
        </w:rPr>
        <w:t>, способная работать в вакууме. В камере используются тонкостенные трубки (строу) нового типа. Большая доля этих дрейфовых трубок диаметром 9,80 мм произведена в Дубне из металлизированной майларовой пленки толщиной 36 мкм, свариваемой вдоль образующей с использованием ультразвуковой сварочной машины, созданной в ОИЯИ. В статье описаны основные особенности камеры и некоторые характеристики дрейфовых трубок.</w:t>
      </w:r>
    </w:p>
    <w:p>
      <w:pPr>
        <w:pStyle w:val="Normal"/>
        <w:numPr>
          <w:ilvl w:val="0"/>
          <w:numId w:val="5"/>
        </w:numPr>
        <w:tabs>
          <w:tab w:val="left" w:pos="709" w:leader="none"/>
        </w:tabs>
        <w:jc w:val="both"/>
        <w:rPr>
          <w:rFonts w:cs="Arial"/>
        </w:rPr>
      </w:pPr>
      <w:r>
        <w:rPr>
          <w:rFonts w:cs="Arial"/>
        </w:rPr>
        <w:t xml:space="preserve">Система сбора данных спектрометра </w:t>
      </w:r>
      <w:r>
        <w:rPr>
          <w:rFonts w:cs="Arial"/>
          <w:lang w:val="en-GB"/>
        </w:rPr>
        <w:t>NA</w:t>
      </w:r>
      <w:r>
        <w:rPr>
          <w:rFonts w:cs="Arial"/>
        </w:rPr>
        <w:t>62 описана в работе [17]. Представлены считывающие системы детектора, а также первые результаты его работы.</w:t>
      </w:r>
    </w:p>
    <w:p>
      <w:pPr>
        <w:pStyle w:val="Normal"/>
        <w:numPr>
          <w:ilvl w:val="0"/>
          <w:numId w:val="5"/>
        </w:numPr>
        <w:tabs>
          <w:tab w:val="left" w:pos="709" w:leader="none"/>
        </w:tabs>
        <w:jc w:val="both"/>
        <w:rPr>
          <w:rFonts w:eastAsia="MS Mincho"/>
          <w:spacing w:val="0"/>
          <w:szCs w:val="24"/>
        </w:rPr>
      </w:pPr>
      <w:r>
        <w:rPr>
          <w:rFonts w:eastAsia="MS Mincho"/>
          <w:spacing w:val="0"/>
          <w:szCs w:val="24"/>
        </w:rPr>
        <w:t xml:space="preserve">Для разработки детекторов заряженных частиц на основе строу трубок, работающих в вакууме, требуется специальная методика измерения для оценки их механических свойств. Рассмотрены известные уравнения, которые определяют поведение строу при внутреннем давлении, и предлагается новый экспериментальный метод исследования напряженной строу трубки. Измерено отношение Пуассона стенки строу для спектрометра </w:t>
      </w:r>
      <w:r>
        <w:rPr>
          <w:rFonts w:eastAsia="MS Mincho"/>
          <w:spacing w:val="0"/>
          <w:szCs w:val="24"/>
          <w:lang w:val="en-US"/>
        </w:rPr>
        <w:t>NA</w:t>
      </w:r>
      <w:r>
        <w:rPr>
          <w:rFonts w:eastAsia="MS Mincho"/>
          <w:spacing w:val="0"/>
          <w:szCs w:val="24"/>
        </w:rPr>
        <w:t>62, определяющее условия стабильности встроенной трубки [18].</w:t>
      </w:r>
    </w:p>
    <w:p>
      <w:pPr>
        <w:pStyle w:val="Normal"/>
        <w:numPr>
          <w:ilvl w:val="0"/>
          <w:numId w:val="5"/>
        </w:numPr>
        <w:tabs>
          <w:tab w:val="left" w:pos="709" w:leader="none"/>
        </w:tabs>
        <w:jc w:val="both"/>
        <w:rPr/>
      </w:pPr>
      <w:r>
        <w:rPr/>
        <w:t>Показано, что положения проволоки в строу и, следовательно, расстояние между анодами в дрейфовых камерах могут быть определены с высокой точностью (~ 5-10 мкм) с использованием микроскопа, установленного на высокоточной оптической скамье. Эти данные важны для уменьшения ошибок при восстановлении координат треков заряженных частиц в дрейфовых камерах [19,35].</w:t>
      </w:r>
    </w:p>
    <w:p>
      <w:pPr>
        <w:pStyle w:val="Normal"/>
        <w:numPr>
          <w:ilvl w:val="0"/>
          <w:numId w:val="5"/>
        </w:numPr>
        <w:tabs>
          <w:tab w:val="left" w:pos="709" w:leader="none"/>
        </w:tabs>
        <w:jc w:val="both"/>
        <w:rPr/>
      </w:pPr>
      <w:r>
        <w:rPr/>
        <w:t>Разработана конструкция устройства для изготовления тонкостенных (строу) дрейфовых труб с использованием пленки из полиэтилентерефталата толщиной 36 мкм методом ультразвуковой сварки, а также методика контроля их качества [20,34].</w:t>
      </w:r>
    </w:p>
    <w:p>
      <w:pPr>
        <w:pStyle w:val="Normal"/>
        <w:numPr>
          <w:ilvl w:val="0"/>
          <w:numId w:val="5"/>
        </w:numPr>
        <w:tabs>
          <w:tab w:val="left" w:pos="709" w:leader="none"/>
        </w:tabs>
        <w:jc w:val="both"/>
        <w:rPr/>
      </w:pPr>
      <w:r>
        <w:rPr/>
        <w:t>Теоретически изучены взаимодействия поперечно и продольно поляризованных векторных мезонов с нуклонами [21,22]. Измерения фоторождения векторного мезона в некогерентной области дают уникальную возможность извлечь все еще не измеренное полное сечение продольно поляризованных мезонов.</w:t>
      </w:r>
    </w:p>
    <w:p>
      <w:pPr>
        <w:pStyle w:val="Normal"/>
        <w:numPr>
          <w:ilvl w:val="0"/>
          <w:numId w:val="5"/>
        </w:numPr>
        <w:tabs>
          <w:tab w:val="left" w:pos="709" w:leader="none"/>
        </w:tabs>
        <w:jc w:val="both"/>
        <w:rPr/>
      </w:pPr>
      <w:r>
        <w:rPr/>
        <w:t>Рассмотрено рождение двухмезонных электромагнитных связанных состояний и свободных мезонных пар в релятивистских столкновениях. Показано, что использование точных кулоновских волновых функций для атома димезона (</w:t>
      </w:r>
      <w:r>
        <w:rPr>
          <w:lang w:val="en-GB"/>
        </w:rPr>
        <w:t>DMA</w:t>
      </w:r>
      <w:r>
        <w:rPr/>
        <w:t xml:space="preserve">) позволяет рассчитывать выход дискретных состояний с требуемой точностью. Оценены относительные вероятности рождения пар </w:t>
      </w:r>
      <w:r>
        <w:rPr>
          <w:lang w:val="en-GB"/>
        </w:rPr>
        <w:t>DMA</w:t>
      </w:r>
      <w:r>
        <w:rPr/>
        <w:t xml:space="preserve"> и мезонов в свободном состоянии. Получена амплитуда перехода </w:t>
      </w:r>
      <w:r>
        <w:rPr>
          <w:lang w:val="en-GB"/>
        </w:rPr>
        <w:t>DMA</w:t>
      </w:r>
      <w:r>
        <w:rPr/>
        <w:t xml:space="preserve"> из состояния 1</w:t>
      </w:r>
      <w:r>
        <w:rPr>
          <w:lang w:val="en-GB"/>
        </w:rPr>
        <w:t>S</w:t>
      </w:r>
      <w:r>
        <w:rPr/>
        <w:t xml:space="preserve"> в 2</w:t>
      </w:r>
      <w:r>
        <w:rPr>
          <w:lang w:val="en-GB"/>
        </w:rPr>
        <w:t>P</w:t>
      </w:r>
      <w:r>
        <w:rPr/>
        <w:t>, что является существенным для измерений сдвига Лэмба в пиониуме [23].</w:t>
      </w:r>
    </w:p>
    <w:p>
      <w:pPr>
        <w:pStyle w:val="Normal"/>
        <w:numPr>
          <w:ilvl w:val="0"/>
          <w:numId w:val="5"/>
        </w:numPr>
        <w:tabs>
          <w:tab w:val="left" w:pos="709" w:leader="none"/>
        </w:tabs>
        <w:jc w:val="both"/>
        <w:rPr/>
      </w:pPr>
      <w:r>
        <w:rPr>
          <w:rFonts w:cs="Arial"/>
        </w:rPr>
        <w:t>Полные мезон-нуклонные сечения могут быть извлечены путем измерения поглощения мезонов при рождении вблизи ядер, поскольку ядерное поглощение зависит от полного мезон-нуклонного сечения и, следовательно, от поляризации векторного мезона. Обсуждается возможность разницы во взаимодействии поперечных и продольно поляризованных векторных мезонов с нуклонами [24].</w:t>
      </w:r>
    </w:p>
    <w:p>
      <w:pPr>
        <w:pStyle w:val="Normal"/>
        <w:tabs>
          <w:tab w:val="left" w:pos="709" w:leader="none"/>
        </w:tabs>
        <w:jc w:val="both"/>
        <w:rPr>
          <w:rFonts w:cs="Arial"/>
        </w:rPr>
      </w:pPr>
      <w:r>
        <w:rPr>
          <w:rFonts w:cs="Arial"/>
        </w:rPr>
      </w:r>
    </w:p>
    <w:p>
      <w:pPr>
        <w:pStyle w:val="Normal"/>
        <w:spacing w:before="0" w:after="120"/>
        <w:ind w:firstLine="567"/>
        <w:jc w:val="both"/>
        <w:rPr/>
      </w:pPr>
      <w:r>
        <w:rPr/>
        <w:t xml:space="preserve">Полученные результаты в 2016-2018 гг. были представлены на международных конференциях, в том числе 12 докладов представлены представителями группы ОИЯИ [14,22,24-33]. Во время экспериментальных сеансов </w:t>
      </w:r>
      <w:r>
        <w:rPr>
          <w:lang w:val="en-US"/>
        </w:rPr>
        <w:t>NA</w:t>
      </w:r>
      <w:r>
        <w:rPr/>
        <w:t>62 в 2016-2018 гг. сотрудники группы ОИЯИ должны будут отработать ~250 смен.</w:t>
      </w:r>
    </w:p>
    <w:p>
      <w:pPr>
        <w:pStyle w:val="Normal"/>
        <w:spacing w:before="0" w:after="120"/>
        <w:ind w:firstLine="567"/>
        <w:jc w:val="both"/>
        <w:rPr>
          <w:rFonts w:eastAsia="MS Mincho"/>
          <w:bCs/>
        </w:rPr>
      </w:pPr>
      <w:r>
        <w:rPr>
          <w:rFonts w:eastAsia="MS Mincho"/>
          <w:bCs/>
        </w:rPr>
        <w:t>Серия научных работ дубненской группы «Разработка и создание газонаполненных детекторов на основе строу-трубок нового типа для работы в вакууме в трековом спектрометре установки NA62» была удостоена первой премии ОИЯИ (2017 г.) в номинации научно-методических работ. Членами группы ОИЯИ получены два патента на изобретения [34,35].</w:t>
      </w:r>
    </w:p>
    <w:p>
      <w:pPr>
        <w:pStyle w:val="Textbody1"/>
        <w:spacing w:before="0" w:after="120"/>
        <w:ind w:firstLine="357"/>
        <w:rPr>
          <w:rFonts w:eastAsia="MS Mincho"/>
          <w:bCs/>
        </w:rPr>
      </w:pPr>
      <w:r>
        <w:rPr>
          <w:rFonts w:eastAsia="MS Mincho"/>
          <w:bCs/>
        </w:rPr>
        <w:t xml:space="preserve">Во время выполнения проекта </w:t>
      </w:r>
      <w:r>
        <w:rPr>
          <w:rFonts w:eastAsia="MS Mincho"/>
          <w:bCs/>
          <w:lang w:val="en-US"/>
        </w:rPr>
        <w:t>NA</w:t>
      </w:r>
      <w:r>
        <w:rPr>
          <w:rFonts w:eastAsia="MS Mincho"/>
          <w:bCs/>
        </w:rPr>
        <w:t>62 в 2019-2021 гг. дубненская группа планирует следующие работы:</w:t>
      </w:r>
    </w:p>
    <w:p>
      <w:pPr>
        <w:pStyle w:val="Textbody1"/>
        <w:numPr>
          <w:ilvl w:val="0"/>
          <w:numId w:val="6"/>
        </w:numPr>
        <w:rPr>
          <w:rFonts w:eastAsia="MS Mincho"/>
          <w:bCs/>
        </w:rPr>
      </w:pPr>
      <w:r>
        <w:rPr>
          <w:rFonts w:eastAsia="MS Mincho"/>
          <w:bCs/>
        </w:rPr>
        <w:t>выполнить точную калибровку и выстраивание строу детектора на основе собранных данных;</w:t>
      </w:r>
    </w:p>
    <w:p>
      <w:pPr>
        <w:pStyle w:val="Textbody1"/>
        <w:numPr>
          <w:ilvl w:val="0"/>
          <w:numId w:val="6"/>
        </w:numPr>
        <w:rPr>
          <w:rFonts w:eastAsia="MS Mincho"/>
          <w:bCs/>
        </w:rPr>
      </w:pPr>
      <w:r>
        <w:rPr>
          <w:rFonts w:eastAsia="MS Mincho"/>
          <w:bCs/>
        </w:rPr>
        <w:t xml:space="preserve">усовершенствовать моделирование строу детектора методом Монте-Карло для использования для основного анализа </w:t>
      </w:r>
      <w:r>
        <w:rPr>
          <w:rFonts w:eastAsia="MS Mincho"/>
          <w:bCs/>
          <w:lang w:val="en-US"/>
        </w:rPr>
        <w:t>NA</w:t>
      </w:r>
      <w:r>
        <w:rPr>
          <w:rFonts w:eastAsia="MS Mincho"/>
          <w:bCs/>
        </w:rPr>
        <w:t>62;</w:t>
      </w:r>
    </w:p>
    <w:p>
      <w:pPr>
        <w:pStyle w:val="Textbody1"/>
        <w:numPr>
          <w:ilvl w:val="0"/>
          <w:numId w:val="6"/>
        </w:numPr>
        <w:rPr>
          <w:rFonts w:eastAsia="MS Mincho"/>
          <w:bCs/>
        </w:rPr>
      </w:pPr>
      <w:r>
        <w:rPr>
          <w:rFonts w:eastAsia="MS Mincho"/>
          <w:bCs/>
        </w:rPr>
        <w:t xml:space="preserve">участвовать в анализе некоторых фоновых процессов для распада </w:t>
      </w:r>
      <w:r>
        <w:rPr>
          <w:rFonts w:eastAsia="MS Mincho"/>
          <w:bCs/>
          <w:lang w:val="en-US"/>
        </w:rPr>
        <w:t>K</w:t>
      </w:r>
      <w:r>
        <w:rPr>
          <w:rFonts w:eastAsia="MS Mincho"/>
          <w:bCs/>
          <w:vertAlign w:val="superscript"/>
        </w:rPr>
        <w:t>+</w:t>
      </w:r>
      <w:r>
        <w:rPr>
          <w:rFonts w:eastAsia="Symbol" w:cs="Symbol" w:ascii="Symbol" w:hAnsi="Symbol"/>
          <w:sz w:val="24"/>
          <w:szCs w:val="24"/>
          <w:lang w:val="en-US"/>
        </w:rPr>
        <w:t></w:t>
      </w:r>
      <w:r>
        <w:rPr>
          <w:rFonts w:eastAsia="Tahoma" w:cs="Symbol" w:ascii="Symbol" w:hAnsi="Symbol"/>
          <w:sz w:val="24"/>
          <w:szCs w:val="24"/>
          <w:lang w:val="en-US"/>
        </w:rPr>
        <w:t></w:t>
      </w:r>
      <w:r>
        <w:rPr>
          <w:rFonts w:eastAsia="Wingdings"/>
          <w:bCs/>
          <w:spacing w:val="4"/>
          <w:sz w:val="24"/>
          <w:szCs w:val="24"/>
          <w:vertAlign w:val="superscript"/>
        </w:rPr>
        <w:t>+</w:t>
      </w:r>
      <w:r>
        <w:rPr>
          <w:rFonts w:eastAsia="Tahoma" w:cs="Symbol" w:ascii="Symbol" w:hAnsi="Symbol"/>
          <w:sz w:val="24"/>
          <w:szCs w:val="24"/>
          <w:lang w:val="en-US"/>
        </w:rPr>
        <w:t></w:t>
      </w:r>
      <w:r>
        <w:rPr>
          <w:rFonts w:eastAsia="MS Mincho"/>
          <w:bCs/>
        </w:rPr>
        <w:t>;</w:t>
      </w:r>
    </w:p>
    <w:p>
      <w:pPr>
        <w:pStyle w:val="Textbody1"/>
        <w:numPr>
          <w:ilvl w:val="0"/>
          <w:numId w:val="6"/>
        </w:numPr>
        <w:rPr>
          <w:rFonts w:eastAsia="MS Mincho"/>
          <w:bCs/>
        </w:rPr>
      </w:pPr>
      <w:r>
        <w:rPr>
          <w:rFonts w:eastAsia="MS Mincho"/>
          <w:bCs/>
        </w:rPr>
        <w:t>провести обработку данных и сделать анализ собранных экспериментальных данных по измерению четырехлептонных мод распадов заряженного каона;</w:t>
      </w:r>
    </w:p>
    <w:p>
      <w:pPr>
        <w:pStyle w:val="Textbody1"/>
        <w:numPr>
          <w:ilvl w:val="0"/>
          <w:numId w:val="6"/>
        </w:numPr>
        <w:rPr>
          <w:rFonts w:eastAsia="MS Mincho"/>
          <w:bCs/>
        </w:rPr>
      </w:pPr>
      <w:r>
        <w:rPr>
          <w:rFonts w:eastAsia="MS Mincho"/>
          <w:bCs/>
        </w:rPr>
        <w:t>поиск указаний на рождение легкого сголдстино;</w:t>
      </w:r>
    </w:p>
    <w:p>
      <w:pPr>
        <w:pStyle w:val="Textbody1"/>
        <w:numPr>
          <w:ilvl w:val="0"/>
          <w:numId w:val="6"/>
        </w:numPr>
        <w:rPr>
          <w:rFonts w:eastAsia="MS Mincho"/>
          <w:bCs/>
        </w:rPr>
      </w:pPr>
      <w:r>
        <w:rPr>
          <w:rFonts w:eastAsia="MS Mincho"/>
          <w:bCs/>
        </w:rPr>
        <w:t>выполнить диагностику и необходимый ремонт строу камер спектрометра и их источников питания низкого и высокого напряжения во время выключения ускорителя в 2019-2020 годах.</w:t>
      </w:r>
    </w:p>
    <w:p>
      <w:pPr>
        <w:pStyle w:val="Textbody1"/>
        <w:numPr>
          <w:ilvl w:val="0"/>
          <w:numId w:val="6"/>
        </w:numPr>
        <w:rPr>
          <w:rFonts w:eastAsia="MS Mincho"/>
          <w:bCs/>
        </w:rPr>
      </w:pPr>
      <w:r>
        <w:rPr>
          <w:rFonts w:eastAsia="MS Mincho"/>
          <w:bCs/>
        </w:rPr>
        <w:t xml:space="preserve">участвовать в следующем сеансе по сбору данных </w:t>
      </w:r>
      <w:r>
        <w:rPr>
          <w:rFonts w:eastAsia="MS Mincho"/>
          <w:bCs/>
          <w:lang w:val="en-US"/>
        </w:rPr>
        <w:t>NA</w:t>
      </w:r>
      <w:r>
        <w:rPr>
          <w:rFonts w:eastAsia="MS Mincho"/>
          <w:bCs/>
        </w:rPr>
        <w:t>62 в 2021 году.</w:t>
      </w:r>
    </w:p>
    <w:p>
      <w:pPr>
        <w:pStyle w:val="Textbody1"/>
        <w:numPr>
          <w:ilvl w:val="0"/>
          <w:numId w:val="6"/>
        </w:numPr>
        <w:rPr>
          <w:rFonts w:eastAsia="MS Mincho"/>
          <w:bCs/>
        </w:rPr>
      </w:pPr>
      <w:r>
        <w:rPr>
          <w:rFonts w:eastAsia="MS Mincho"/>
          <w:bCs/>
        </w:rPr>
        <w:t>поддерживать работу спектрометра во время выполнения сеанса 2021 года.</w:t>
      </w:r>
    </w:p>
    <w:p>
      <w:pPr>
        <w:pStyle w:val="Textbody1"/>
        <w:rPr>
          <w:rFonts w:eastAsia="MS Mincho"/>
          <w:bCs/>
        </w:rPr>
      </w:pPr>
      <w:r>
        <w:rPr>
          <w:rFonts w:eastAsia="MS Mincho"/>
          <w:bCs/>
        </w:rPr>
      </w:r>
    </w:p>
    <w:p>
      <w:pPr>
        <w:pStyle w:val="Normal"/>
        <w:jc w:val="both"/>
        <w:rPr>
          <w:rFonts w:eastAsia="MS Mincho"/>
          <w:b/>
          <w:b/>
          <w:bCs/>
          <w:color w:val="000000"/>
          <w:u w:val="single"/>
        </w:rPr>
      </w:pPr>
      <w:r>
        <w:rPr>
          <w:rFonts w:eastAsia="MS Mincho"/>
          <w:b/>
          <w:bCs/>
          <w:color w:val="000000"/>
          <w:u w:val="single"/>
        </w:rPr>
        <w:t xml:space="preserve">Оценка затрат </w:t>
      </w:r>
    </w:p>
    <w:p>
      <w:pPr>
        <w:pStyle w:val="Normal"/>
        <w:ind w:firstLine="567"/>
        <w:jc w:val="both"/>
        <w:rPr>
          <w:rFonts w:eastAsia="MS Mincho"/>
          <w:b/>
          <w:b/>
          <w:bCs/>
          <w:color w:val="000000"/>
          <w:u w:val="single"/>
        </w:rPr>
      </w:pPr>
      <w:r>
        <w:rPr>
          <w:rFonts w:eastAsia="MS Mincho"/>
          <w:b/>
          <w:bCs/>
          <w:color w:val="000000"/>
          <w:u w:val="single"/>
        </w:rPr>
      </w:r>
    </w:p>
    <w:p>
      <w:pPr>
        <w:pStyle w:val="Normal"/>
        <w:ind w:firstLine="567"/>
        <w:jc w:val="both"/>
        <w:rPr/>
      </w:pPr>
      <w:r>
        <w:rPr/>
        <w:t xml:space="preserve">Общие затраты на создание новых элементов детекторов для эксперимента </w:t>
      </w:r>
      <w:r>
        <w:rPr>
          <w:lang w:val="en-US"/>
        </w:rPr>
        <w:t>NA</w:t>
      </w:r>
      <w:r>
        <w:rPr/>
        <w:t>62 оцениваются на уровне 40 миллионов швейцарских франков (</w:t>
      </w:r>
      <w:r>
        <w:rPr>
          <w:lang w:val="en-US"/>
        </w:rPr>
        <w:t>CHF</w:t>
      </w:r>
      <w:r>
        <w:rPr/>
        <w:t xml:space="preserve">), где вклад ОИЯИ в соответствии с </w:t>
      </w:r>
      <w:r>
        <w:rPr>
          <w:lang w:val="en-US"/>
        </w:rPr>
        <w:t>MoU</w:t>
      </w:r>
      <w:r>
        <w:rPr/>
        <w:t xml:space="preserve"> составляет 1,5 миллиона швейцарских франков. В реализации предыдущих этапов проекта </w:t>
      </w:r>
      <w:r>
        <w:rPr>
          <w:lang w:val="en-US"/>
        </w:rPr>
        <w:t>NA</w:t>
      </w:r>
      <w:r>
        <w:rPr/>
        <w:t>62 в ОИЯИ участвовали 12 экспертов из разных областей. Мы предполагаем иметь еще 2 аспирантов для участия в третьей части Проекта.</w:t>
      </w:r>
    </w:p>
    <w:p>
      <w:pPr>
        <w:pStyle w:val="Normal"/>
        <w:ind w:firstLine="720"/>
        <w:jc w:val="both"/>
        <w:rPr/>
      </w:pPr>
      <w:r>
        <w:rPr>
          <w:color w:val="000000"/>
        </w:rPr>
        <w:t xml:space="preserve">Общие расходы ОИЯИ за период 2016-2018 гг. до третьего этапа реализации проекта (тема 1096) составляют </w:t>
      </w:r>
      <w:r>
        <w:rPr>
          <w:b/>
          <w:color w:val="000000"/>
        </w:rPr>
        <w:t>$504,7 тыс</w:t>
      </w:r>
      <w:r>
        <w:rPr>
          <w:color w:val="000000"/>
        </w:rPr>
        <w:t xml:space="preserve">. Около $10 тыс. были оплачены ЦЕРН и сотрудничеством </w:t>
      </w:r>
      <w:r>
        <w:rPr>
          <w:color w:val="000000"/>
          <w:lang w:val="en-US"/>
        </w:rPr>
        <w:t>NA</w:t>
      </w:r>
      <w:r>
        <w:rPr>
          <w:color w:val="000000"/>
        </w:rPr>
        <w:t xml:space="preserve">62 за работы по поддержке строу детектора; около $10 тыс. выделяется ЦЕРН на поездки экспертам ОИЯИ в ЦЕРН. Сотрудничество </w:t>
      </w:r>
      <w:r>
        <w:rPr>
          <w:color w:val="000000"/>
          <w:lang w:val="en-US"/>
        </w:rPr>
        <w:t>NA</w:t>
      </w:r>
      <w:r>
        <w:rPr>
          <w:color w:val="000000"/>
        </w:rPr>
        <w:t>62 выделило 30</w:t>
      </w:r>
      <w:r>
        <w:rPr>
          <w:color w:val="000000"/>
          <w:lang w:val="en-US"/>
        </w:rPr>
        <w:t>K</w:t>
      </w:r>
      <w:r>
        <w:rPr>
          <w:color w:val="000000"/>
        </w:rPr>
        <w:t xml:space="preserve"> </w:t>
      </w:r>
      <w:r>
        <w:rPr>
          <w:color w:val="000000"/>
          <w:lang w:val="en-US"/>
        </w:rPr>
        <w:t>CHF</w:t>
      </w:r>
      <w:r>
        <w:rPr>
          <w:color w:val="000000"/>
        </w:rPr>
        <w:t xml:space="preserve"> в 2016 году для инженеров ОИЯИ, присутствие которых было необходимо для проведения общих работ во время подготовки эксперимента.</w:t>
      </w:r>
    </w:p>
    <w:p>
      <w:pPr>
        <w:pStyle w:val="Normal"/>
        <w:ind w:firstLine="720"/>
        <w:jc w:val="both"/>
        <w:rPr/>
      </w:pPr>
      <w:r>
        <w:rPr>
          <w:color w:val="000000"/>
        </w:rPr>
        <w:t xml:space="preserve">Объем необходимого финансирования на 2019-2021 гг. из бюджета ОИЯИ составляет </w:t>
      </w:r>
      <w:r>
        <w:rPr>
          <w:b/>
          <w:color w:val="000000"/>
        </w:rPr>
        <w:t>$370 тыс</w:t>
      </w:r>
      <w:r>
        <w:rPr>
          <w:color w:val="000000"/>
        </w:rPr>
        <w:t xml:space="preserve">. Большая часть средств необходима для участия сотрудников ОИЯИ в экспериментальном сеансе 2021 года на установке эксперимента </w:t>
      </w:r>
      <w:r>
        <w:rPr>
          <w:color w:val="000000"/>
          <w:lang w:val="en-US"/>
        </w:rPr>
        <w:t>N</w:t>
      </w:r>
      <w:r>
        <w:rPr>
          <w:color w:val="000000"/>
        </w:rPr>
        <w:t xml:space="preserve">A62 и поддержания работы строу детекторов и онлайновых программных систем для контроля этой работы, для оплаты вкладов ОИЯИ в совместный фонд коллаборации в соответствии с обязательствами по </w:t>
      </w:r>
      <w:r>
        <w:rPr>
          <w:color w:val="000000"/>
          <w:lang w:val="en-US"/>
        </w:rPr>
        <w:t>MoU</w:t>
      </w:r>
      <w:r>
        <w:rPr>
          <w:color w:val="000000"/>
        </w:rPr>
        <w:t>, для обеспечения компьютерной и технической поддержки по моделированию, обработке и анализа накопленных экспериментальных данных. Финансирование из других источников составит по меньшей мере $10 тыс.</w:t>
      </w:r>
    </w:p>
    <w:p>
      <w:pPr>
        <w:pStyle w:val="Normal"/>
        <w:ind w:firstLine="720"/>
        <w:jc w:val="both"/>
        <w:rPr/>
      </w:pPr>
      <w:r>
        <w:rPr>
          <w:color w:val="000000"/>
        </w:rPr>
        <w:t>Ресурсы, необходимые для реализации проекта, представлены ниже наряду с их описанием и списком расходов по проекту.</w:t>
      </w:r>
      <w:r>
        <w:br w:type="page"/>
      </w:r>
    </w:p>
    <w:p>
      <w:pPr>
        <w:pStyle w:val="14"/>
        <w:rPr>
          <w:rFonts w:eastAsia="MS Mincho"/>
          <w:lang w:val="en-US"/>
        </w:rPr>
      </w:pPr>
      <w:r>
        <w:rPr>
          <w:rFonts w:eastAsia="MS Mincho"/>
          <w:b/>
          <w:bCs/>
          <w:u w:val="single"/>
          <w:lang w:val="en-US"/>
        </w:rPr>
        <w:t>References</w:t>
      </w:r>
    </w:p>
    <w:p>
      <w:pPr>
        <w:pStyle w:val="14"/>
        <w:rPr>
          <w:rFonts w:eastAsia="MS Mincho"/>
          <w:lang w:val="en-US"/>
        </w:rPr>
      </w:pPr>
      <w:r>
        <w:rPr>
          <w:rFonts w:eastAsia="MS Mincho"/>
          <w:lang w:val="en-US"/>
        </w:rPr>
      </w:r>
    </w:p>
    <w:p>
      <w:pPr>
        <w:pStyle w:val="ColorfulListAccent11"/>
        <w:numPr>
          <w:ilvl w:val="0"/>
          <w:numId w:val="7"/>
        </w:numPr>
        <w:tabs>
          <w:tab w:val="left" w:pos="450" w:leader="none"/>
        </w:tabs>
        <w:spacing w:before="0" w:after="60"/>
        <w:jc w:val="both"/>
        <w:rPr>
          <w:rFonts w:eastAsia="MS Mincho"/>
          <w:color w:val="000000"/>
          <w:lang w:val="en-US"/>
        </w:rPr>
      </w:pPr>
      <w:r>
        <w:rPr>
          <w:rFonts w:eastAsia="MS Mincho"/>
          <w:color w:val="000000"/>
          <w:lang w:val="en-US"/>
        </w:rPr>
        <w:t>NA62 COLLABORATION; F.Ambrosino et al. Proposal to Measure K</w:t>
      </w:r>
      <w:r>
        <w:rPr>
          <w:rFonts w:eastAsia="Times-Roman" w:cs="Times-Roman"/>
          <w:lang w:val="en-US"/>
        </w:rPr>
        <w:t>→</w:t>
      </w:r>
      <w:r>
        <w:rPr>
          <w:rFonts w:eastAsia="MS Mincho" w:cs="Symbol" w:ascii="Symbol" w:hAnsi="Symbol"/>
          <w:color w:val="000000"/>
          <w:lang w:val="en-US"/>
        </w:rPr>
        <w:t></w:t>
      </w:r>
      <w:r>
        <w:rPr>
          <w:rFonts w:eastAsia="MS Mincho"/>
          <w:color w:val="000000"/>
          <w:lang w:val="en-US"/>
        </w:rPr>
        <w:t xml:space="preserve"> rare decay at the CERN SPS. CERN-SPSC-2005-013, 2005.</w:t>
      </w:r>
    </w:p>
    <w:p>
      <w:pPr>
        <w:pStyle w:val="ColorfulListAccent11"/>
        <w:numPr>
          <w:ilvl w:val="0"/>
          <w:numId w:val="7"/>
        </w:numPr>
        <w:tabs>
          <w:tab w:val="left" w:pos="450" w:leader="none"/>
        </w:tabs>
        <w:spacing w:before="0" w:after="60"/>
        <w:jc w:val="both"/>
        <w:rPr>
          <w:rFonts w:eastAsia="MS Mincho"/>
          <w:lang w:val="en-US"/>
        </w:rPr>
      </w:pPr>
      <w:r>
        <w:rPr>
          <w:rFonts w:eastAsia="MS Mincho"/>
          <w:color w:val="000000"/>
          <w:lang w:val="en-US"/>
        </w:rPr>
        <w:t xml:space="preserve">NA62 COLLABORATION; F.Hahn et al. NA62 Technical Design Document. NA62-10-07, CERN, 2010, 414 pp. </w:t>
      </w:r>
    </w:p>
    <w:p>
      <w:pPr>
        <w:pStyle w:val="ColorfulListAccent11"/>
        <w:numPr>
          <w:ilvl w:val="0"/>
          <w:numId w:val="7"/>
        </w:numPr>
        <w:tabs>
          <w:tab w:val="left" w:pos="426" w:leader="none"/>
        </w:tabs>
        <w:spacing w:before="0" w:after="60"/>
        <w:jc w:val="both"/>
        <w:rPr>
          <w:rFonts w:eastAsia="MS Mincho"/>
          <w:color w:val="000000"/>
          <w:lang w:val="en-US"/>
        </w:rPr>
      </w:pPr>
      <w:r>
        <w:rPr>
          <w:rFonts w:eastAsia="MS Mincho"/>
          <w:lang w:val="en-US"/>
        </w:rPr>
        <w:t xml:space="preserve">Eduardo Cortina Gil </w:t>
      </w:r>
      <w:r>
        <w:rPr>
          <w:rFonts w:eastAsia="MS Mincho"/>
          <w:i/>
          <w:iCs/>
          <w:lang w:val="en-US"/>
        </w:rPr>
        <w:t>et al.</w:t>
      </w:r>
      <w:r>
        <w:rPr>
          <w:rFonts w:eastAsia="MS Mincho"/>
          <w:lang w:val="en-US"/>
        </w:rPr>
        <w:t xml:space="preserve"> The beam and detector of the NA62 experiment at CERN. JINST 12 (2017) no.05, P05025.</w:t>
      </w:r>
    </w:p>
    <w:p>
      <w:pPr>
        <w:pStyle w:val="ColorfulListAccent11"/>
        <w:numPr>
          <w:ilvl w:val="0"/>
          <w:numId w:val="7"/>
        </w:numPr>
        <w:tabs>
          <w:tab w:val="left" w:pos="426" w:leader="none"/>
        </w:tabs>
        <w:spacing w:before="0" w:after="60"/>
        <w:jc w:val="both"/>
        <w:rPr>
          <w:rFonts w:eastAsia="MS Mincho"/>
          <w:bCs/>
          <w:color w:val="000000"/>
          <w:lang w:val="en-US"/>
        </w:rPr>
      </w:pPr>
      <w:r>
        <w:rPr>
          <w:rFonts w:eastAsia="MS Mincho"/>
          <w:color w:val="000000"/>
          <w:lang w:val="en-US"/>
        </w:rPr>
        <w:t>NA62 COLLABORATION; F.Ambrosino et al. NA62 Status Report. CERN-SPSC-2007-035.</w:t>
      </w:r>
    </w:p>
    <w:p>
      <w:pPr>
        <w:pStyle w:val="Normal"/>
        <w:numPr>
          <w:ilvl w:val="0"/>
          <w:numId w:val="7"/>
        </w:numPr>
        <w:tabs>
          <w:tab w:val="left" w:pos="426" w:leader="none"/>
        </w:tabs>
        <w:spacing w:before="0" w:after="60"/>
        <w:jc w:val="both"/>
        <w:rPr/>
      </w:pPr>
      <w:r>
        <w:rPr>
          <w:color w:val="000000"/>
          <w:lang w:val="en-US"/>
        </w:rPr>
        <w:t>A.V.Artamonov et al. (E949 Collaboration). New Measurement of the K</w:t>
      </w:r>
      <w:r>
        <w:rPr>
          <w:color w:val="000000"/>
          <w:vertAlign w:val="superscript"/>
          <w:lang w:val="en-US"/>
        </w:rPr>
        <w:t>+</w:t>
      </w:r>
      <w:r>
        <w:rPr>
          <w:rFonts w:eastAsia="MS Mincho"/>
          <w:bCs/>
          <w:i/>
          <w:color w:val="000000"/>
          <w:spacing w:val="0"/>
          <w:lang w:val="en-US"/>
        </w:rPr>
        <w:t>→</w:t>
      </w:r>
      <w:r>
        <w:rPr>
          <w:color w:val="000000"/>
          <w:lang w:val="en-US"/>
        </w:rPr>
        <w:t xml:space="preserve"> </w:t>
      </w:r>
      <w:r>
        <w:rPr>
          <w:rFonts w:ascii="Symbol" w:hAnsi="Symbol"/>
          <w:color w:val="000000"/>
          <w:lang w:val="en-US"/>
        </w:rPr>
        <w:t></w:t>
      </w:r>
      <w:r>
        <w:rPr>
          <w:color w:val="000000"/>
          <w:lang w:val="en-US"/>
        </w:rPr>
        <w:t xml:space="preserve">+ </w:t>
      </w:r>
      <w:r>
        <w:rPr>
          <w:rFonts w:ascii="Symbol" w:hAnsi="Symbol"/>
          <w:color w:val="000000"/>
          <w:lang w:val="en-US"/>
        </w:rPr>
        <w:t></w:t>
      </w:r>
      <w:r>
        <w:rPr>
          <w:color w:val="000000"/>
          <w:lang w:val="en-US"/>
        </w:rPr>
        <w:t xml:space="preserve"> branching ratio. </w:t>
      </w:r>
      <w:r>
        <w:rPr>
          <w:color w:val="000000"/>
        </w:rPr>
        <w:t>Phys. Rev. Lett. 101 191802, 2008.</w:t>
      </w:r>
    </w:p>
    <w:p>
      <w:pPr>
        <w:pStyle w:val="ColorfulListAccent11"/>
        <w:numPr>
          <w:ilvl w:val="0"/>
          <w:numId w:val="7"/>
        </w:numPr>
        <w:tabs>
          <w:tab w:val="left" w:pos="426" w:leader="none"/>
        </w:tabs>
        <w:spacing w:before="0" w:after="60"/>
        <w:jc w:val="both"/>
        <w:rPr>
          <w:rFonts w:eastAsia="MS Mincho"/>
          <w:bCs/>
          <w:color w:val="000000"/>
        </w:rPr>
      </w:pPr>
      <w:r>
        <w:rPr>
          <w:rFonts w:eastAsia="MS Mincho"/>
          <w:bCs/>
          <w:color w:val="000000"/>
          <w:lang w:val="en-US"/>
        </w:rPr>
        <w:t>D.S.Gorbunov, V.A. Rubakov. Phys</w:t>
      </w:r>
      <w:r>
        <w:rPr>
          <w:rFonts w:eastAsia="MS Mincho"/>
          <w:bCs/>
          <w:color w:val="000000"/>
        </w:rPr>
        <w:t>.</w:t>
      </w:r>
      <w:r>
        <w:rPr>
          <w:rFonts w:eastAsia="MS Mincho"/>
          <w:bCs/>
          <w:color w:val="000000"/>
          <w:lang w:val="en-US"/>
        </w:rPr>
        <w:t>Rev</w:t>
      </w:r>
      <w:r>
        <w:rPr>
          <w:rFonts w:eastAsia="MS Mincho"/>
          <w:bCs/>
          <w:color w:val="000000"/>
        </w:rPr>
        <w:t>.</w:t>
      </w:r>
      <w:r>
        <w:rPr>
          <w:rFonts w:eastAsia="MS Mincho"/>
          <w:bCs/>
          <w:color w:val="000000"/>
          <w:lang w:val="en-US"/>
        </w:rPr>
        <w:t>D</w:t>
      </w:r>
      <w:r>
        <w:rPr>
          <w:rFonts w:eastAsia="MS Mincho"/>
          <w:bCs/>
          <w:color w:val="000000"/>
        </w:rPr>
        <w:t>73:035002, 2006.</w:t>
      </w:r>
    </w:p>
    <w:p>
      <w:pPr>
        <w:pStyle w:val="ColorfulListAccent11"/>
        <w:numPr>
          <w:ilvl w:val="0"/>
          <w:numId w:val="7"/>
        </w:numPr>
        <w:tabs>
          <w:tab w:val="left" w:pos="426" w:leader="none"/>
        </w:tabs>
        <w:spacing w:before="0" w:after="60"/>
        <w:jc w:val="both"/>
        <w:rPr>
          <w:rFonts w:eastAsia="MS Mincho"/>
          <w:bCs/>
          <w:iCs/>
          <w:color w:val="000000"/>
          <w:spacing w:val="0"/>
          <w:lang w:val="en-US"/>
        </w:rPr>
      </w:pPr>
      <w:r>
        <w:rPr>
          <w:rFonts w:eastAsia="MS Mincho"/>
          <w:bCs/>
          <w:color w:val="000000"/>
          <w:lang w:val="en-US"/>
        </w:rPr>
        <w:t>J.Antos at al. Search for CP Violation in the Decays of X</w:t>
      </w:r>
      <w:r>
        <w:rPr>
          <w:rFonts w:eastAsia="MS Mincho"/>
          <w:bCs/>
          <w:color w:val="000000"/>
          <w:vertAlign w:val="superscript"/>
          <w:lang w:val="en-US"/>
        </w:rPr>
        <w:t xml:space="preserve">- </w:t>
      </w:r>
      <w:r>
        <w:rPr>
          <w:rFonts w:eastAsia="MS Mincho"/>
          <w:bCs/>
          <w:color w:val="000000"/>
          <w:lang w:val="en-US"/>
        </w:rPr>
        <w:t>X</w:t>
      </w:r>
      <w:r>
        <w:rPr>
          <w:rFonts w:eastAsia="MS Mincho"/>
          <w:bCs/>
          <w:color w:val="000000"/>
          <w:vertAlign w:val="superscript"/>
          <w:lang w:val="en-US"/>
        </w:rPr>
        <w:t>+</w:t>
      </w:r>
      <w:r>
        <w:rPr>
          <w:rFonts w:eastAsia="MS Mincho"/>
          <w:bCs/>
          <w:color w:val="000000"/>
          <w:lang w:val="en-US"/>
        </w:rPr>
        <w:t xml:space="preserve"> and </w:t>
      </w:r>
      <w:r>
        <w:rPr>
          <w:rFonts w:eastAsia="MS Mincho"/>
          <w:bCs/>
          <w:iCs/>
          <w:color w:val="000000"/>
          <w:spacing w:val="0"/>
          <w:lang w:val="en-US"/>
        </w:rPr>
        <w:t>Hyperons. Fermilab Proposal P-871. FNAL 1994.</w:t>
      </w:r>
    </w:p>
    <w:p>
      <w:pPr>
        <w:pStyle w:val="ColorfulListAccent11"/>
        <w:numPr>
          <w:ilvl w:val="0"/>
          <w:numId w:val="7"/>
        </w:numPr>
        <w:tabs>
          <w:tab w:val="left" w:pos="426" w:leader="none"/>
        </w:tabs>
        <w:spacing w:before="0" w:after="60"/>
        <w:jc w:val="both"/>
        <w:rPr>
          <w:rFonts w:eastAsia="MS Mincho"/>
          <w:bCs/>
          <w:iCs/>
          <w:color w:val="000000"/>
          <w:spacing w:val="0"/>
          <w:lang w:val="en-US"/>
        </w:rPr>
      </w:pPr>
      <w:r>
        <w:rPr>
          <w:rFonts w:eastAsia="MS Mincho"/>
          <w:bCs/>
          <w:iCs/>
          <w:color w:val="000000"/>
          <w:spacing w:val="0"/>
          <w:lang w:val="en-US"/>
        </w:rPr>
        <w:t>O.G.Tchikilev et al. (ISTRA) Phys.Lett. B602:149-156, 2004.</w:t>
      </w:r>
    </w:p>
    <w:p>
      <w:pPr>
        <w:pStyle w:val="Normal"/>
        <w:numPr>
          <w:ilvl w:val="0"/>
          <w:numId w:val="7"/>
        </w:numPr>
        <w:tabs>
          <w:tab w:val="left" w:pos="426" w:leader="none"/>
        </w:tabs>
        <w:spacing w:before="0" w:after="60"/>
        <w:jc w:val="both"/>
        <w:rPr>
          <w:rFonts w:eastAsia="MS Mincho"/>
          <w:bCs/>
          <w:color w:val="000000"/>
          <w:spacing w:val="0"/>
          <w:lang w:val="en-US"/>
        </w:rPr>
      </w:pPr>
      <w:r>
        <w:rPr>
          <w:rFonts w:eastAsia="MS Mincho"/>
          <w:bCs/>
          <w:iCs/>
          <w:color w:val="000000"/>
          <w:spacing w:val="0"/>
          <w:lang w:val="en-US"/>
        </w:rPr>
        <w:t>T.Asaka and M.Shaposhnikov, Phys. Lett. B620 (2005) 17.</w:t>
      </w:r>
    </w:p>
    <w:p>
      <w:pPr>
        <w:pStyle w:val="Normal"/>
        <w:numPr>
          <w:ilvl w:val="0"/>
          <w:numId w:val="7"/>
        </w:numPr>
        <w:tabs>
          <w:tab w:val="left" w:pos="426" w:leader="none"/>
        </w:tabs>
        <w:spacing w:before="0" w:after="60"/>
        <w:jc w:val="both"/>
        <w:rPr>
          <w:rFonts w:eastAsia="MS Mincho"/>
          <w:spacing w:val="0"/>
          <w:lang w:val="en-US"/>
        </w:rPr>
      </w:pPr>
      <w:r>
        <w:rPr>
          <w:rFonts w:eastAsia="MS Mincho"/>
          <w:bCs/>
          <w:color w:val="000000"/>
          <w:spacing w:val="0"/>
          <w:lang w:val="en-US"/>
        </w:rPr>
        <w:t xml:space="preserve">J.R.Batley </w:t>
      </w:r>
      <w:r>
        <w:rPr>
          <w:rFonts w:eastAsia="MS Mincho"/>
          <w:bCs/>
          <w:i/>
          <w:iCs/>
          <w:color w:val="000000"/>
          <w:spacing w:val="0"/>
          <w:lang w:val="en-US"/>
        </w:rPr>
        <w:t>et al.</w:t>
      </w:r>
      <w:r>
        <w:rPr>
          <w:rFonts w:eastAsia="MS Mincho"/>
          <w:bCs/>
          <w:color w:val="000000"/>
          <w:spacing w:val="0"/>
          <w:lang w:val="en-US"/>
        </w:rPr>
        <w:t xml:space="preserve"> Searches for lepton number violation and resonances in </w:t>
      </w:r>
      <w:r>
        <w:rPr>
          <w:rFonts w:eastAsia="MS Mincho"/>
          <w:bCs/>
          <w:i/>
          <w:spacing w:val="0"/>
          <w:lang w:val="en-US"/>
        </w:rPr>
        <w:t>K</w:t>
      </w:r>
      <w:r>
        <w:rPr>
          <w:rFonts w:eastAsia="MS Mincho"/>
          <w:bCs/>
          <w:i/>
          <w:spacing w:val="0"/>
          <w:position w:val="14"/>
          <w:lang w:val="en-US"/>
        </w:rPr>
        <w:t>±</w:t>
      </w:r>
      <w:bookmarkStart w:id="1" w:name="__DdeLink__2252_900247477"/>
      <w:r>
        <w:rPr>
          <w:rFonts w:eastAsia="MS Mincho"/>
          <w:bCs/>
          <w:i/>
          <w:spacing w:val="0"/>
          <w:lang w:val="en-US"/>
        </w:rPr>
        <w:t>→</w:t>
      </w:r>
      <w:bookmarkEnd w:id="1"/>
      <w:r>
        <w:rPr>
          <w:rFonts w:eastAsia="MS Mincho"/>
          <w:bCs/>
          <w:i/>
          <w:spacing w:val="0"/>
          <w:lang w:val="en-US"/>
        </w:rPr>
        <w:t>π</w:t>
      </w:r>
      <w:r>
        <w:rPr>
          <w:rFonts w:eastAsia="MS Mincho" w:cs="Symbol" w:ascii="Symbol" w:hAnsi="Symbol"/>
          <w:bCs/>
          <w:i/>
          <w:spacing w:val="0"/>
          <w:lang w:val="en-US"/>
        </w:rPr>
        <w:t></w:t>
      </w:r>
      <w:r>
        <w:rPr>
          <w:rFonts w:eastAsia="MS Mincho"/>
          <w:bCs/>
          <w:spacing w:val="0"/>
          <w:lang w:val="en-US"/>
        </w:rPr>
        <w:t xml:space="preserve"> decays. </w:t>
      </w:r>
      <w:r>
        <w:rPr>
          <w:rFonts w:eastAsia="MS Mincho"/>
          <w:spacing w:val="0"/>
          <w:lang w:val="en-US"/>
        </w:rPr>
        <w:t>Phys.Lett. B769 (2017) 67-76.</w:t>
      </w:r>
    </w:p>
    <w:p>
      <w:pPr>
        <w:pStyle w:val="Normal"/>
        <w:numPr>
          <w:ilvl w:val="0"/>
          <w:numId w:val="7"/>
        </w:numPr>
        <w:tabs>
          <w:tab w:val="left" w:pos="426" w:leader="none"/>
        </w:tabs>
        <w:spacing w:before="0" w:after="60"/>
        <w:jc w:val="both"/>
        <w:rPr>
          <w:rFonts w:eastAsia="MS Mincho"/>
          <w:spacing w:val="0"/>
          <w:lang w:val="en-US"/>
        </w:rPr>
      </w:pPr>
      <w:r>
        <w:rPr>
          <w:rFonts w:eastAsia="MS Mincho"/>
          <w:spacing w:val="0"/>
          <w:lang w:val="en-US"/>
        </w:rPr>
        <w:t xml:space="preserve">C.Lazzeroni </w:t>
      </w:r>
      <w:r>
        <w:rPr>
          <w:rFonts w:eastAsia="MS Mincho"/>
          <w:i/>
          <w:iCs/>
          <w:spacing w:val="0"/>
          <w:lang w:val="en-US"/>
        </w:rPr>
        <w:t xml:space="preserve">et al. </w:t>
      </w:r>
      <w:r>
        <w:rPr>
          <w:rFonts w:eastAsia="MS Mincho"/>
          <w:spacing w:val="0"/>
          <w:lang w:val="en-US"/>
        </w:rPr>
        <w:t xml:space="preserve">Measurement of the </w:t>
      </w:r>
      <w:r>
        <w:rPr>
          <w:rFonts w:eastAsia="MS Mincho" w:cs="Symbol" w:ascii="Symbol" w:hAnsi="Symbol"/>
          <w:spacing w:val="0"/>
          <w:lang w:val="en-US"/>
        </w:rPr>
        <w:t></w:t>
      </w:r>
      <w:r>
        <w:rPr>
          <w:rFonts w:eastAsia="MS Mincho"/>
          <w:spacing w:val="0"/>
          <w:vertAlign w:val="superscript"/>
          <w:lang w:val="en-US"/>
        </w:rPr>
        <w:t></w:t>
      </w:r>
      <w:r>
        <w:rPr>
          <w:rFonts w:eastAsia="MS Mincho"/>
          <w:spacing w:val="0"/>
          <w:position w:val="14"/>
          <w:lang w:val="en-US"/>
        </w:rPr>
        <w:t xml:space="preserve"> </w:t>
      </w:r>
      <w:r>
        <w:rPr>
          <w:rFonts w:eastAsia="MS Mincho"/>
          <w:spacing w:val="0"/>
          <w:lang w:val="en-US"/>
        </w:rPr>
        <w:t>electromagnetic transition form factor slope. Phys.Lett. B768 (2017) 38-45.</w:t>
      </w:r>
    </w:p>
    <w:p>
      <w:pPr>
        <w:pStyle w:val="Normal"/>
        <w:numPr>
          <w:ilvl w:val="0"/>
          <w:numId w:val="7"/>
        </w:numPr>
        <w:tabs>
          <w:tab w:val="left" w:pos="426" w:leader="none"/>
        </w:tabs>
        <w:spacing w:before="0" w:after="60"/>
        <w:jc w:val="both"/>
        <w:rPr>
          <w:rFonts w:eastAsia="MS Mincho"/>
          <w:spacing w:val="0"/>
          <w:lang w:val="en-US"/>
        </w:rPr>
      </w:pPr>
      <w:r>
        <w:rPr>
          <w:rFonts w:eastAsia="MS Mincho"/>
          <w:spacing w:val="0"/>
          <w:lang w:val="en-US"/>
        </w:rPr>
        <w:t xml:space="preserve">E.Cortina Gil </w:t>
      </w:r>
      <w:r>
        <w:rPr>
          <w:rFonts w:eastAsia="MS Mincho"/>
          <w:i/>
          <w:iCs/>
          <w:spacing w:val="0"/>
          <w:lang w:val="en-US"/>
        </w:rPr>
        <w:t xml:space="preserve">et al. </w:t>
      </w:r>
      <w:r>
        <w:rPr>
          <w:rFonts w:eastAsia="MS Mincho"/>
          <w:spacing w:val="0"/>
          <w:lang w:val="en-US"/>
        </w:rPr>
        <w:t>Search for heavy neutral lepton production in K</w:t>
      </w:r>
      <w:r>
        <w:rPr>
          <w:rFonts w:eastAsia="MS Mincho"/>
          <w:spacing w:val="0"/>
          <w:position w:val="14"/>
          <w:lang w:val="en-US"/>
        </w:rPr>
        <w:t>+</w:t>
      </w:r>
      <w:r>
        <w:rPr>
          <w:rFonts w:eastAsia="MS Mincho"/>
          <w:spacing w:val="0"/>
          <w:lang w:val="en-US"/>
        </w:rPr>
        <w:t xml:space="preserve"> decays. CERN-EP-2017-311. 2017. 15 pp.</w:t>
      </w:r>
    </w:p>
    <w:p>
      <w:pPr>
        <w:pStyle w:val="Normal"/>
        <w:numPr>
          <w:ilvl w:val="0"/>
          <w:numId w:val="7"/>
        </w:numPr>
        <w:tabs>
          <w:tab w:val="left" w:pos="426" w:leader="none"/>
        </w:tabs>
        <w:spacing w:before="0" w:after="60"/>
        <w:jc w:val="both"/>
        <w:rPr>
          <w:rFonts w:eastAsia="MS Mincho"/>
          <w:spacing w:val="0"/>
          <w:lang w:val="en-US"/>
        </w:rPr>
      </w:pPr>
      <w:r>
        <w:rPr>
          <w:rFonts w:eastAsia="MS Mincho"/>
          <w:spacing w:val="0"/>
          <w:lang w:val="en-US"/>
        </w:rPr>
        <w:t xml:space="preserve">C.Lazzeroni </w:t>
      </w:r>
      <w:r>
        <w:rPr>
          <w:rFonts w:eastAsia="MS Mincho"/>
          <w:i/>
          <w:iCs/>
          <w:spacing w:val="0"/>
          <w:lang w:val="en-US"/>
        </w:rPr>
        <w:t>et al.</w:t>
      </w:r>
      <w:r>
        <w:rPr>
          <w:rFonts w:eastAsia="MS Mincho"/>
          <w:spacing w:val="0"/>
          <w:lang w:val="en-US"/>
        </w:rPr>
        <w:t xml:space="preserve"> Search for heavy neutrinos in  K</w:t>
      </w:r>
      <w:r>
        <w:rPr>
          <w:rFonts w:eastAsia="MS Mincho"/>
          <w:i/>
          <w:spacing w:val="0"/>
          <w:position w:val="14"/>
          <w:lang w:val="en-US"/>
        </w:rPr>
        <w:t>+</w:t>
      </w:r>
      <w:r>
        <w:rPr>
          <w:rFonts w:eastAsia="MS Mincho"/>
          <w:spacing w:val="0"/>
          <w:lang w:val="en-US"/>
        </w:rPr>
        <w:t>→</w:t>
      </w:r>
      <w:r>
        <w:rPr>
          <w:rFonts w:eastAsia="MS Mincho" w:cs="Symbol" w:ascii="Symbol" w:hAnsi="Symbol"/>
          <w:spacing w:val="0"/>
          <w:lang w:val="en-US"/>
        </w:rPr>
        <w:t></w:t>
      </w:r>
      <w:r>
        <w:rPr>
          <w:rFonts w:eastAsia="MS Mincho"/>
          <w:i/>
          <w:spacing w:val="0"/>
          <w:position w:val="14"/>
          <w:lang w:val="en-US"/>
        </w:rPr>
        <w:t>+</w:t>
      </w:r>
      <w:r>
        <w:rPr>
          <w:rFonts w:eastAsia="MS Mincho" w:cs="Symbol" w:ascii="Symbol" w:hAnsi="Symbol"/>
          <w:spacing w:val="0"/>
          <w:lang w:val="en-US"/>
        </w:rPr>
        <w:t></w:t>
      </w:r>
      <w:r>
        <w:rPr>
          <w:rFonts w:eastAsia="MS Mincho"/>
          <w:spacing w:val="0"/>
          <w:lang w:val="en-US"/>
        </w:rPr>
        <w:t>decays. Phys.Lett. B772 (2017) 712-718.</w:t>
      </w:r>
    </w:p>
    <w:p>
      <w:pPr>
        <w:pStyle w:val="Normal"/>
        <w:numPr>
          <w:ilvl w:val="0"/>
          <w:numId w:val="7"/>
        </w:numPr>
        <w:tabs>
          <w:tab w:val="left" w:pos="426" w:leader="none"/>
        </w:tabs>
        <w:spacing w:before="0" w:after="60"/>
        <w:jc w:val="both"/>
        <w:rPr>
          <w:rFonts w:eastAsia="MS Mincho"/>
          <w:spacing w:val="0"/>
          <w:lang w:val="en-US"/>
        </w:rPr>
      </w:pPr>
      <w:r>
        <w:rPr>
          <w:rFonts w:eastAsia="MS Mincho"/>
          <w:spacing w:val="0"/>
          <w:lang w:val="en-US"/>
        </w:rPr>
        <w:t>D.Madigozhin. New and recent results from NA48/2. Proceedings of the 52</w:t>
      </w:r>
      <w:r>
        <w:rPr>
          <w:rFonts w:eastAsia="MS Mincho"/>
          <w:spacing w:val="0"/>
          <w:vertAlign w:val="superscript"/>
          <w:lang w:val="en-US"/>
        </w:rPr>
        <w:t>nd</w:t>
      </w:r>
      <w:r>
        <w:rPr>
          <w:rFonts w:eastAsia="MS Mincho"/>
          <w:spacing w:val="0"/>
          <w:lang w:val="en-US"/>
        </w:rPr>
        <w:t xml:space="preserve"> Recontres de Moriond. QCD and High Energy Interactions. ARISF. 2017.</w:t>
      </w:r>
    </w:p>
    <w:p>
      <w:pPr>
        <w:pStyle w:val="Normal"/>
        <w:numPr>
          <w:ilvl w:val="0"/>
          <w:numId w:val="7"/>
        </w:numPr>
        <w:tabs>
          <w:tab w:val="left" w:pos="426" w:leader="none"/>
        </w:tabs>
        <w:spacing w:before="0" w:after="60"/>
        <w:jc w:val="both"/>
        <w:rPr>
          <w:rFonts w:eastAsia="MS Mincho"/>
          <w:spacing w:val="0"/>
          <w:lang w:val="en-US"/>
        </w:rPr>
      </w:pPr>
      <w:r>
        <w:rPr>
          <w:rFonts w:eastAsia="MS Mincho"/>
          <w:spacing w:val="0"/>
          <w:lang w:val="en-US"/>
        </w:rPr>
        <w:t>A.Cecucci, E.Goudzovski, V.Kekelidze, D.Madigozhin, I.Potrebenikov. Kaon decay studies at CERN SPS in the last decades. Phys.Part.Nucl. 47 (2016) no.4, 567-590.</w:t>
      </w:r>
    </w:p>
    <w:p>
      <w:pPr>
        <w:pStyle w:val="Normal"/>
        <w:numPr>
          <w:ilvl w:val="0"/>
          <w:numId w:val="7"/>
        </w:numPr>
        <w:tabs>
          <w:tab w:val="left" w:pos="426" w:leader="none"/>
        </w:tabs>
        <w:spacing w:before="0" w:after="60"/>
        <w:jc w:val="both"/>
        <w:rPr>
          <w:rStyle w:val="Strong"/>
          <w:rFonts w:eastAsia="MS Mincho"/>
          <w:spacing w:val="0"/>
          <w:lang w:val="en-US"/>
        </w:rPr>
      </w:pPr>
      <w:r>
        <w:rPr>
          <w:rFonts w:eastAsia="MS Mincho"/>
          <w:spacing w:val="0"/>
          <w:lang w:val="en-US"/>
        </w:rPr>
        <w:t xml:space="preserve">N.Azorskiy </w:t>
      </w:r>
      <w:r>
        <w:rPr>
          <w:rFonts w:eastAsia="MS Mincho"/>
          <w:i/>
          <w:iCs/>
          <w:spacing w:val="0"/>
          <w:lang w:val="en-US"/>
        </w:rPr>
        <w:t xml:space="preserve">et al. </w:t>
      </w:r>
      <w:r>
        <w:rPr>
          <w:rStyle w:val="Strong"/>
          <w:rFonts w:eastAsia="MS Mincho"/>
          <w:spacing w:val="0"/>
          <w:lang w:val="en-US"/>
        </w:rPr>
        <w:t>A drift chamber with a new type of straws for operation in vacuum</w:t>
      </w:r>
      <w:r>
        <w:rPr>
          <w:rStyle w:val="Strong"/>
          <w:rFonts w:eastAsia="MS Mincho"/>
          <w:i/>
          <w:iCs/>
          <w:spacing w:val="0"/>
          <w:lang w:val="en-US"/>
        </w:rPr>
        <w:t xml:space="preserve">. </w:t>
      </w:r>
      <w:r>
        <w:rPr>
          <w:rStyle w:val="Strong"/>
          <w:rFonts w:eastAsia="MS Mincho"/>
          <w:spacing w:val="0"/>
          <w:lang w:val="en-US"/>
        </w:rPr>
        <w:t>Nucl.Instrum.Meth. A824 (2016) 569-570</w:t>
      </w:r>
      <w:r>
        <w:rPr>
          <w:rStyle w:val="Strong"/>
          <w:rFonts w:eastAsia="MS Mincho"/>
          <w:i/>
          <w:iCs/>
          <w:spacing w:val="0"/>
          <w:lang w:val="en-US"/>
        </w:rPr>
        <w:t>.</w:t>
      </w:r>
    </w:p>
    <w:p>
      <w:pPr>
        <w:pStyle w:val="Normal"/>
        <w:numPr>
          <w:ilvl w:val="0"/>
          <w:numId w:val="7"/>
        </w:numPr>
        <w:tabs>
          <w:tab w:val="left" w:pos="426" w:leader="none"/>
        </w:tabs>
        <w:spacing w:before="0" w:after="60"/>
        <w:jc w:val="both"/>
        <w:rPr>
          <w:rFonts w:eastAsia="MS Mincho"/>
          <w:spacing w:val="0"/>
          <w:lang w:val="en-US"/>
        </w:rPr>
      </w:pPr>
      <w:r>
        <w:rPr>
          <w:rStyle w:val="Strong"/>
          <w:rFonts w:eastAsia="MS Mincho"/>
          <w:spacing w:val="0"/>
          <w:lang w:val="en-US"/>
        </w:rPr>
        <w:t xml:space="preserve">N.Azorskiy </w:t>
      </w:r>
      <w:r>
        <w:rPr>
          <w:rStyle w:val="Strong"/>
          <w:rFonts w:eastAsia="MS Mincho"/>
          <w:i/>
          <w:iCs/>
          <w:spacing w:val="0"/>
          <w:lang w:val="en-US"/>
        </w:rPr>
        <w:t xml:space="preserve">et al. </w:t>
      </w:r>
      <w:r>
        <w:rPr>
          <w:rStyle w:val="Strong"/>
          <w:rFonts w:eastAsia="MS Mincho"/>
          <w:spacing w:val="0"/>
          <w:lang w:val="en-US"/>
        </w:rPr>
        <w:t>The NA62 spectrometer acquisition system. JINST 11 (2016) no.02, C02064.</w:t>
      </w:r>
    </w:p>
    <w:p>
      <w:pPr>
        <w:pStyle w:val="Normal"/>
        <w:numPr>
          <w:ilvl w:val="0"/>
          <w:numId w:val="7"/>
        </w:numPr>
        <w:tabs>
          <w:tab w:val="left" w:pos="426" w:leader="none"/>
        </w:tabs>
        <w:spacing w:before="0" w:after="60"/>
        <w:jc w:val="both"/>
        <w:rPr>
          <w:rFonts w:eastAsia="MS Mincho"/>
          <w:spacing w:val="0"/>
          <w:lang w:val="en-US"/>
        </w:rPr>
      </w:pPr>
      <w:r>
        <w:rPr>
          <w:rFonts w:eastAsia="MS Mincho"/>
          <w:spacing w:val="0"/>
          <w:lang w:val="en-US"/>
        </w:rPr>
        <w:t xml:space="preserve">L.Glonti </w:t>
      </w:r>
      <w:r>
        <w:rPr>
          <w:rFonts w:eastAsia="MS Mincho"/>
          <w:i/>
          <w:iCs/>
          <w:spacing w:val="0"/>
          <w:lang w:val="en-US"/>
        </w:rPr>
        <w:t xml:space="preserve">et al. </w:t>
      </w:r>
      <w:r>
        <w:rPr>
          <w:spacing w:val="0"/>
          <w:lang w:val="en-US"/>
        </w:rPr>
        <w:t xml:space="preserve">Longitudinal tension and mechanical stability of a pressurized straw tube. </w:t>
      </w:r>
      <w:r>
        <w:rPr>
          <w:spacing w:val="0"/>
        </w:rPr>
        <w:t>JINR preprint E1-2017-20. 20 pp.</w:t>
      </w:r>
    </w:p>
    <w:p>
      <w:pPr>
        <w:pStyle w:val="Normal"/>
        <w:numPr>
          <w:ilvl w:val="0"/>
          <w:numId w:val="7"/>
        </w:numPr>
        <w:tabs>
          <w:tab w:val="left" w:pos="426" w:leader="none"/>
        </w:tabs>
        <w:spacing w:before="0" w:after="60"/>
        <w:jc w:val="both"/>
        <w:rPr>
          <w:spacing w:val="0"/>
          <w:lang w:val="en-US"/>
        </w:rPr>
      </w:pPr>
      <w:r>
        <w:rPr>
          <w:rFonts w:eastAsia="MS Mincho"/>
          <w:spacing w:val="0"/>
          <w:lang w:val="en-US"/>
        </w:rPr>
        <w:t xml:space="preserve">L.Glonti </w:t>
      </w:r>
      <w:r>
        <w:rPr>
          <w:rFonts w:eastAsia="MS Mincho"/>
          <w:i/>
          <w:iCs/>
          <w:spacing w:val="0"/>
          <w:lang w:val="en-US"/>
        </w:rPr>
        <w:t xml:space="preserve">et al. </w:t>
      </w:r>
      <w:r>
        <w:rPr>
          <w:rStyle w:val="Strong"/>
          <w:rFonts w:eastAsia="MS Mincho"/>
          <w:spacing w:val="0"/>
          <w:lang w:val="en-US"/>
        </w:rPr>
        <w:t>Determination of the anode wire position by visible light in a new type straw for NA62 experiment tracker</w:t>
      </w:r>
      <w:r>
        <w:rPr>
          <w:rStyle w:val="Strong"/>
          <w:rFonts w:eastAsia="MS Mincho"/>
          <w:i/>
          <w:iCs/>
          <w:spacing w:val="0"/>
          <w:lang w:val="en-US"/>
        </w:rPr>
        <w:t xml:space="preserve">. </w:t>
      </w:r>
      <w:r>
        <w:rPr>
          <w:rStyle w:val="Strong"/>
          <w:rFonts w:eastAsia="MS Mincho"/>
          <w:spacing w:val="0"/>
          <w:lang w:val="en-US"/>
        </w:rPr>
        <w:t>Nucl.Instrum.Meth. A824 (2016) 532-534.</w:t>
      </w:r>
    </w:p>
    <w:p>
      <w:pPr>
        <w:pStyle w:val="Normal"/>
        <w:numPr>
          <w:ilvl w:val="0"/>
          <w:numId w:val="7"/>
        </w:numPr>
        <w:tabs>
          <w:tab w:val="left" w:pos="426" w:leader="none"/>
        </w:tabs>
        <w:spacing w:before="0" w:after="60"/>
        <w:jc w:val="both"/>
        <w:rPr>
          <w:rStyle w:val="Strong"/>
          <w:spacing w:val="0"/>
          <w:lang w:val="en-US"/>
        </w:rPr>
      </w:pPr>
      <w:r>
        <w:rPr>
          <w:spacing w:val="0"/>
          <w:lang w:val="en-US"/>
        </w:rPr>
        <w:t xml:space="preserve">N.I.Azorskii </w:t>
      </w:r>
      <w:r>
        <w:rPr>
          <w:i/>
          <w:iCs/>
          <w:spacing w:val="0"/>
          <w:lang w:val="en-US"/>
        </w:rPr>
        <w:t xml:space="preserve">et al. </w:t>
      </w:r>
      <w:r>
        <w:rPr>
          <w:spacing w:val="0"/>
          <w:lang w:val="en-US"/>
        </w:rPr>
        <w:t>New type of drift tubes for gas-discharge detectors operating in vacuum: production technology and quality control.  Phys.Part.Nucl.Lett. 14 (2017) no.1, 144-149.</w:t>
      </w:r>
    </w:p>
    <w:p>
      <w:pPr>
        <w:pStyle w:val="Normal"/>
        <w:numPr>
          <w:ilvl w:val="0"/>
          <w:numId w:val="7"/>
        </w:numPr>
        <w:tabs>
          <w:tab w:val="left" w:pos="426" w:leader="none"/>
        </w:tabs>
        <w:spacing w:before="0" w:after="60"/>
        <w:jc w:val="both"/>
        <w:rPr>
          <w:rStyle w:val="Strong"/>
          <w:spacing w:val="0"/>
          <w:lang w:val="en-US"/>
        </w:rPr>
      </w:pPr>
      <w:r>
        <w:rPr>
          <w:rStyle w:val="Strong"/>
          <w:spacing w:val="0"/>
          <w:lang w:val="en-US"/>
        </w:rPr>
        <w:t xml:space="preserve">E. Chudakov, S. Gevorkyan, A. Somov. Photoproduction of </w:t>
      </w:r>
      <w:bookmarkStart w:id="2" w:name="MathJax-Element-2-Frame"/>
      <w:bookmarkStart w:id="3" w:name="MathJax-Span-4"/>
      <w:bookmarkStart w:id="4" w:name="MathJax-Span-5"/>
      <w:bookmarkStart w:id="5" w:name="MathJax-Span-6"/>
      <w:bookmarkEnd w:id="2"/>
      <w:bookmarkEnd w:id="3"/>
      <w:bookmarkEnd w:id="4"/>
      <w:bookmarkEnd w:id="5"/>
      <w:r>
        <w:rPr>
          <w:rStyle w:val="Strong"/>
          <w:i/>
          <w:spacing w:val="0"/>
          <w:lang w:val="en-US"/>
        </w:rPr>
        <w:t>ω</w:t>
      </w:r>
      <w:r>
        <w:rPr>
          <w:rStyle w:val="Strong"/>
          <w:spacing w:val="0"/>
          <w:lang w:val="en-US"/>
        </w:rPr>
        <w:t xml:space="preserve"> mesons off nuclei and impact of polarization on the meson-nucleon interaction. Phys.Rev. C93 (2016) no.1, 015203.</w:t>
      </w:r>
    </w:p>
    <w:p>
      <w:pPr>
        <w:pStyle w:val="Normal"/>
        <w:numPr>
          <w:ilvl w:val="0"/>
          <w:numId w:val="7"/>
        </w:numPr>
        <w:tabs>
          <w:tab w:val="left" w:pos="426" w:leader="none"/>
        </w:tabs>
        <w:spacing w:before="0" w:after="60"/>
        <w:jc w:val="both"/>
        <w:rPr>
          <w:rStyle w:val="Strong"/>
          <w:spacing w:val="0"/>
          <w:lang w:val="en-US"/>
        </w:rPr>
      </w:pPr>
      <w:r>
        <w:rPr>
          <w:rStyle w:val="Strong"/>
          <w:spacing w:val="0"/>
          <w:lang w:val="en-US"/>
        </w:rPr>
        <w:t>S.Gevorkyan. The impact of vector mesons polarization on meson-nucleon interaction. 16th Workshop on High Energy Spin Physics (DSPIN-15). J.Phys.Conf.Ser. 678 (2016) no.1, 012033.</w:t>
      </w:r>
    </w:p>
    <w:p>
      <w:pPr>
        <w:pStyle w:val="Normal"/>
        <w:numPr>
          <w:ilvl w:val="0"/>
          <w:numId w:val="7"/>
        </w:numPr>
        <w:tabs>
          <w:tab w:val="left" w:pos="426" w:leader="none"/>
        </w:tabs>
        <w:spacing w:before="0" w:after="60"/>
        <w:jc w:val="both"/>
        <w:rPr>
          <w:rStyle w:val="Strong"/>
          <w:spacing w:val="0"/>
          <w:lang w:val="en-US"/>
        </w:rPr>
      </w:pPr>
      <w:r>
        <w:rPr>
          <w:rStyle w:val="Strong"/>
          <w:spacing w:val="0"/>
          <w:lang w:val="en-US"/>
        </w:rPr>
        <w:t>L.Afanasyev, S.Gevorkyan, O.Voskresenskaya. Production of dimeson atoms in high-energy collisions. Eur.Phys.J. A53 (2017) no.4, 78.</w:t>
      </w:r>
    </w:p>
    <w:p>
      <w:pPr>
        <w:pStyle w:val="Normal"/>
        <w:numPr>
          <w:ilvl w:val="0"/>
          <w:numId w:val="7"/>
        </w:numPr>
        <w:tabs>
          <w:tab w:val="left" w:pos="426" w:leader="none"/>
        </w:tabs>
        <w:spacing w:before="0" w:after="60"/>
        <w:jc w:val="both"/>
        <w:rPr>
          <w:spacing w:val="0"/>
          <w:lang w:val="en-US"/>
        </w:rPr>
      </w:pPr>
      <w:r>
        <w:rPr>
          <w:rStyle w:val="Strong"/>
          <w:spacing w:val="0"/>
          <w:lang w:val="en-US"/>
        </w:rPr>
        <w:t>S.Gevorkyan. Vector mesons polarization versus color transparency. 23rd International Baldin Seminar on High Energy Physics Problems : Relativistic Nuclear Physics &amp; Quantum Chromodynamics. (Baldin ISHEPP 23).</w:t>
      </w:r>
      <w:r>
        <w:rPr>
          <w:rStyle w:val="Strong"/>
          <w:b/>
          <w:spacing w:val="0"/>
          <w:lang w:val="en-US"/>
        </w:rPr>
        <w:t xml:space="preserve"> </w:t>
      </w:r>
      <w:r>
        <w:rPr>
          <w:rStyle w:val="Strong"/>
          <w:spacing w:val="0"/>
          <w:lang w:val="en-US"/>
        </w:rPr>
        <w:t>EPJ Web Conf. 138 (2017) 08004.</w:t>
      </w:r>
    </w:p>
    <w:p>
      <w:pPr>
        <w:pStyle w:val="Normal"/>
        <w:numPr>
          <w:ilvl w:val="0"/>
          <w:numId w:val="7"/>
        </w:numPr>
        <w:tabs>
          <w:tab w:val="left" w:pos="426" w:leader="none"/>
        </w:tabs>
        <w:spacing w:before="0" w:after="60"/>
        <w:jc w:val="both"/>
        <w:rPr>
          <w:spacing w:val="0"/>
          <w:lang w:val="en-US"/>
        </w:rPr>
      </w:pPr>
      <w:r>
        <w:rPr>
          <w:spacing w:val="0"/>
          <w:lang w:val="en-US"/>
        </w:rPr>
        <w:t>Yu.Potrebenikov. A new system of STRAW chambers operating in vacuum for the NA62 experiment. J.Phys.Conf.Ser. 800 (2017) no.1, 012047.</w:t>
      </w:r>
    </w:p>
    <w:p>
      <w:pPr>
        <w:pStyle w:val="Normal"/>
        <w:numPr>
          <w:ilvl w:val="0"/>
          <w:numId w:val="7"/>
        </w:numPr>
        <w:tabs>
          <w:tab w:val="left" w:pos="426" w:leader="none"/>
        </w:tabs>
        <w:spacing w:before="0" w:after="60"/>
        <w:jc w:val="both"/>
        <w:rPr>
          <w:spacing w:val="0"/>
          <w:lang w:val="en-US"/>
        </w:rPr>
      </w:pPr>
      <w:r>
        <w:rPr>
          <w:spacing w:val="0"/>
          <w:lang w:val="en-US"/>
        </w:rPr>
        <w:t xml:space="preserve">S.Shkarovskiy. NA62 spectrometer to search for </w:t>
      </w:r>
      <w:r>
        <w:rPr>
          <w:spacing w:val="1"/>
          <w:w w:val="120"/>
          <w:lang w:val="en-US"/>
        </w:rPr>
        <w:t>K</w:t>
      </w:r>
      <w:r>
        <w:rPr>
          <w:spacing w:val="1"/>
          <w:w w:val="120"/>
          <w:vertAlign w:val="superscript"/>
          <w:lang w:val="en-US"/>
        </w:rPr>
        <w:t>+</w:t>
      </w:r>
      <w:r>
        <w:rPr>
          <w:rFonts w:cs="Symbol" w:ascii="Symbol" w:hAnsi="Symbol"/>
          <w:spacing w:val="1"/>
          <w:w w:val="120"/>
          <w:lang w:val="en-US"/>
        </w:rPr>
        <w:t></w:t>
      </w:r>
      <w:r>
        <w:rPr>
          <w:spacing w:val="1"/>
          <w:w w:val="120"/>
          <w:vertAlign w:val="superscript"/>
          <w:lang w:val="en-US"/>
        </w:rPr>
        <w:t>+</w:t>
      </w:r>
      <w:r>
        <w:rPr>
          <w:rFonts w:cs="Symbol" w:ascii="Symbol" w:hAnsi="Symbol"/>
          <w:spacing w:val="1"/>
          <w:w w:val="120"/>
          <w:lang w:val="en-US"/>
        </w:rPr>
        <w:t></w:t>
      </w:r>
      <w:r>
        <w:rPr>
          <w:rFonts w:cs="Symbol" w:ascii="Symbol" w:hAnsi="Symbol"/>
          <w:spacing w:val="2"/>
          <w:w w:val="120"/>
          <w:lang w:val="en-US"/>
        </w:rPr>
        <w:t></w:t>
      </w:r>
      <w:r>
        <w:rPr>
          <w:spacing w:val="0"/>
          <w:lang w:val="en-US"/>
        </w:rPr>
        <w:t xml:space="preserve">. 14th Topical Seminar on Innovative Particle and Radiation Detectors (IPRD16). </w:t>
      </w:r>
      <w:r>
        <w:rPr>
          <w:rFonts w:eastAsia="Times-Roman"/>
          <w:spacing w:val="0"/>
          <w:lang w:val="en-US"/>
        </w:rPr>
        <w:t>Siena. Italy. 2016.</w:t>
      </w:r>
      <w:r>
        <w:rPr>
          <w:spacing w:val="0"/>
          <w:lang w:val="en-US"/>
        </w:rPr>
        <w:t xml:space="preserve"> JINST 12 (2017) no.02, C02027.</w:t>
      </w:r>
    </w:p>
    <w:p>
      <w:pPr>
        <w:pStyle w:val="Normal"/>
        <w:numPr>
          <w:ilvl w:val="0"/>
          <w:numId w:val="7"/>
        </w:numPr>
        <w:tabs>
          <w:tab w:val="left" w:pos="426" w:leader="none"/>
        </w:tabs>
        <w:spacing w:before="0" w:after="60"/>
        <w:jc w:val="both"/>
        <w:rPr>
          <w:spacing w:val="0"/>
          <w:lang w:val="en-US"/>
        </w:rPr>
      </w:pPr>
      <w:r>
        <w:rPr>
          <w:spacing w:val="0"/>
          <w:lang w:val="en-US"/>
        </w:rPr>
        <w:t>S. Shkarovskiy. Recent measurement of K</w:t>
      </w:r>
      <w:r>
        <w:rPr>
          <w:spacing w:val="0"/>
          <w:sz w:val="16"/>
          <w:lang w:val="en-US"/>
        </w:rPr>
        <w:t>l3</w:t>
      </w:r>
      <w:r>
        <w:rPr>
          <w:spacing w:val="0"/>
          <w:lang w:val="en-US"/>
        </w:rPr>
        <w:t xml:space="preserve"> form factors at NA48. 23th International Workshop on High Energy Physics and Quantum Field Theory (QFTHEP 2017). EPJ Web Conf. 158 (2017) 03007.</w:t>
      </w:r>
    </w:p>
    <w:p>
      <w:pPr>
        <w:pStyle w:val="Normal"/>
        <w:numPr>
          <w:ilvl w:val="0"/>
          <w:numId w:val="7"/>
        </w:numPr>
        <w:tabs>
          <w:tab w:val="left" w:pos="426" w:leader="none"/>
        </w:tabs>
        <w:spacing w:before="0" w:after="60"/>
        <w:jc w:val="both"/>
        <w:rPr>
          <w:rStyle w:val="Strong"/>
          <w:spacing w:val="0"/>
          <w:lang w:val="en-US"/>
        </w:rPr>
      </w:pPr>
      <w:r>
        <w:rPr>
          <w:spacing w:val="0"/>
          <w:lang w:val="en-US"/>
        </w:rPr>
        <w:t xml:space="preserve">S.Shkarovskiy. </w:t>
      </w:r>
      <w:r>
        <w:rPr>
          <w:rStyle w:val="Strong"/>
          <w:spacing w:val="0"/>
          <w:lang w:val="en-US"/>
        </w:rPr>
        <w:t>Recent QCD-related Results from Kaon Physics at CERN (NA48/2 and NA62). 9th Workshop "Excited QCD" 2017. Acta Phys.Polon.Supp. 10 (2017) 1153-1158.</w:t>
      </w:r>
    </w:p>
    <w:p>
      <w:pPr>
        <w:pStyle w:val="Normal"/>
        <w:numPr>
          <w:ilvl w:val="0"/>
          <w:numId w:val="7"/>
        </w:numPr>
        <w:tabs>
          <w:tab w:val="left" w:pos="426" w:leader="none"/>
        </w:tabs>
        <w:spacing w:before="0" w:after="60"/>
        <w:jc w:val="both"/>
        <w:rPr>
          <w:rStyle w:val="Strong"/>
          <w:spacing w:val="0"/>
          <w:lang w:val="en-US"/>
        </w:rPr>
      </w:pPr>
      <w:r>
        <w:rPr>
          <w:rStyle w:val="Strong"/>
          <w:spacing w:val="0"/>
          <w:lang w:val="en-US"/>
        </w:rPr>
        <w:t>S.Shkarovskiy. Recent results from the NA48 experiment at CERN. 3rd International Conference on Particle Physics and Astrophysics (ICPPA 2017). J.Phys.Conf.Ser. 934 (2017) no.1, 012031.</w:t>
      </w:r>
    </w:p>
    <w:p>
      <w:pPr>
        <w:pStyle w:val="Normal"/>
        <w:numPr>
          <w:ilvl w:val="0"/>
          <w:numId w:val="7"/>
        </w:numPr>
        <w:tabs>
          <w:tab w:val="left" w:pos="426" w:leader="none"/>
        </w:tabs>
        <w:spacing w:before="0" w:after="60"/>
        <w:jc w:val="both"/>
        <w:rPr>
          <w:rStyle w:val="Strong"/>
          <w:spacing w:val="0"/>
          <w:lang w:val="en-US"/>
        </w:rPr>
      </w:pPr>
      <w:r>
        <w:rPr>
          <w:rStyle w:val="Strong"/>
          <w:spacing w:val="0"/>
          <w:lang w:val="en-US"/>
        </w:rPr>
        <w:t>E.Goudzovski. Kaon experiments at CERN: recent results and prospects. 14th International Workshop on Meson Production, Properties and Interaction (MESON 2016). EPJ Web Conf. 130 (2016) 01019.</w:t>
      </w:r>
    </w:p>
    <w:p>
      <w:pPr>
        <w:pStyle w:val="Normal"/>
        <w:numPr>
          <w:ilvl w:val="0"/>
          <w:numId w:val="7"/>
        </w:numPr>
        <w:tabs>
          <w:tab w:val="left" w:pos="426" w:leader="none"/>
        </w:tabs>
        <w:spacing w:before="0" w:after="60"/>
        <w:jc w:val="both"/>
        <w:rPr>
          <w:rStyle w:val="Strong"/>
          <w:spacing w:val="0"/>
          <w:lang w:val="en-US"/>
        </w:rPr>
      </w:pPr>
      <w:r>
        <w:rPr>
          <w:rStyle w:val="Strong"/>
          <w:spacing w:val="0"/>
          <w:lang w:val="en-US"/>
        </w:rPr>
        <w:t>E.Goudzovski. Neutral pion form factor measurement at NA62. 38th International Conference on High Energy Physics (ICHEP 2016). PoS ICHEP2016 (2017) 642.</w:t>
      </w:r>
    </w:p>
    <w:p>
      <w:pPr>
        <w:pStyle w:val="Style25"/>
        <w:numPr>
          <w:ilvl w:val="0"/>
          <w:numId w:val="7"/>
        </w:numPr>
        <w:tabs>
          <w:tab w:val="left" w:pos="0" w:leader="none"/>
          <w:tab w:val="left" w:pos="426" w:leader="none"/>
        </w:tabs>
        <w:spacing w:before="0" w:after="60"/>
        <w:jc w:val="both"/>
        <w:rPr>
          <w:rStyle w:val="Strong"/>
          <w:rFonts w:ascii="Times New Roman" w:hAnsi="Times New Roman" w:cs="Times New Roman"/>
          <w:spacing w:val="0"/>
        </w:rPr>
      </w:pPr>
      <w:r>
        <w:rPr>
          <w:rStyle w:val="Strong"/>
          <w:rFonts w:cs="Times New Roman" w:ascii="Times New Roman" w:hAnsi="Times New Roman"/>
          <w:spacing w:val="0"/>
        </w:rPr>
        <w:t xml:space="preserve">D.Madigozhin </w:t>
      </w:r>
      <w:r>
        <w:rPr>
          <w:rStyle w:val="Strong"/>
          <w:rFonts w:cs="Times New Roman" w:ascii="Times New Roman" w:hAnsi="Times New Roman"/>
          <w:i/>
          <w:iCs/>
          <w:spacing w:val="0"/>
        </w:rPr>
        <w:t>et al</w:t>
      </w:r>
      <w:r>
        <w:rPr>
          <w:rStyle w:val="Strong"/>
          <w:rFonts w:cs="Times New Roman" w:ascii="Times New Roman" w:hAnsi="Times New Roman"/>
          <w:spacing w:val="0"/>
        </w:rPr>
        <w:t>. Searches for lepton number violation and resonances in the K</w:t>
      </w:r>
      <w:r>
        <w:rPr>
          <w:rStyle w:val="Strong"/>
          <w:rFonts w:eastAsia="Times-Roman" w:cs="Times New Roman" w:ascii="Times New Roman" w:hAnsi="Times New Roman"/>
          <w:spacing w:val="0"/>
          <w:vertAlign w:val="superscript"/>
        </w:rPr>
        <w:t>±</w:t>
      </w:r>
      <w:r>
        <w:rPr>
          <w:rStyle w:val="Strong"/>
          <w:rFonts w:cs="Times New Roman" w:ascii="Times New Roman" w:hAnsi="Times New Roman"/>
          <w:spacing w:val="0"/>
        </w:rPr>
        <w:t>→</w:t>
      </w:r>
      <w:r>
        <w:rPr>
          <w:rStyle w:val="Strong"/>
          <w:rFonts w:cs="Symbol" w:ascii="Symbol" w:hAnsi="Symbol"/>
          <w:spacing w:val="0"/>
        </w:rPr>
        <w:t></w:t>
      </w:r>
      <w:r>
        <w:rPr>
          <w:rStyle w:val="Strong"/>
          <w:rFonts w:cs="Times New Roman" w:ascii="Times New Roman" w:hAnsi="Times New Roman"/>
          <w:spacing w:val="0"/>
        </w:rPr>
        <w:t xml:space="preserve"> decays at the NA48/2 experiment. New Trends in High-Energy Physics. Budva, Becici, Montenegro. 2016.</w:t>
      </w:r>
    </w:p>
    <w:p>
      <w:pPr>
        <w:pStyle w:val="Style25"/>
        <w:numPr>
          <w:ilvl w:val="0"/>
          <w:numId w:val="7"/>
        </w:numPr>
        <w:tabs>
          <w:tab w:val="left" w:pos="0" w:leader="none"/>
          <w:tab w:val="left" w:pos="426" w:leader="none"/>
        </w:tabs>
        <w:spacing w:before="0" w:after="60"/>
        <w:jc w:val="both"/>
        <w:rPr>
          <w:rStyle w:val="Strong"/>
          <w:rFonts w:ascii="Times New Roman" w:hAnsi="Times New Roman" w:cs="Times New Roman"/>
          <w:bCs/>
          <w:spacing w:val="0"/>
        </w:rPr>
      </w:pPr>
      <w:r>
        <w:rPr>
          <w:rStyle w:val="Strong"/>
          <w:rFonts w:cs="Times New Roman" w:ascii="Times New Roman" w:hAnsi="Times New Roman"/>
          <w:spacing w:val="0"/>
        </w:rPr>
        <w:t xml:space="preserve">A.Zinchenko </w:t>
      </w:r>
      <w:r>
        <w:rPr>
          <w:rStyle w:val="Strong"/>
          <w:rFonts w:cs="Times New Roman" w:ascii="Times New Roman" w:hAnsi="Times New Roman"/>
          <w:i/>
          <w:iCs/>
          <w:spacing w:val="0"/>
        </w:rPr>
        <w:t>et al</w:t>
      </w:r>
      <w:r>
        <w:rPr>
          <w:rStyle w:val="Strong"/>
          <w:rFonts w:cs="Times New Roman" w:ascii="Times New Roman" w:hAnsi="Times New Roman"/>
          <w:spacing w:val="0"/>
        </w:rPr>
        <w:t>. Searches for lepton number violation and resonances in the K</w:t>
      </w:r>
      <w:r>
        <w:rPr>
          <w:rStyle w:val="Strong"/>
          <w:rFonts w:eastAsia="Times-Roman" w:cs="Times New Roman" w:ascii="Times New Roman" w:hAnsi="Times New Roman"/>
          <w:spacing w:val="0"/>
          <w:vertAlign w:val="superscript"/>
        </w:rPr>
        <w:t>±</w:t>
      </w:r>
      <w:r>
        <w:rPr>
          <w:rStyle w:val="Strong"/>
          <w:rFonts w:cs="Times New Roman" w:ascii="Times New Roman" w:hAnsi="Times New Roman"/>
          <w:spacing w:val="0"/>
        </w:rPr>
        <w:t>→</w:t>
      </w:r>
      <w:r>
        <w:rPr>
          <w:rStyle w:val="Strong"/>
          <w:rFonts w:cs="Symbol" w:ascii="Symbol" w:hAnsi="Symbol"/>
          <w:spacing w:val="0"/>
        </w:rPr>
        <w:t></w:t>
      </w:r>
      <w:r>
        <w:rPr>
          <w:rStyle w:val="Strong"/>
          <w:rFonts w:cs="Times New Roman" w:ascii="Times New Roman" w:hAnsi="Times New Roman"/>
          <w:spacing w:val="0"/>
        </w:rPr>
        <w:t xml:space="preserve"> decays by NA48/2 at CERN. 14-th International Conference on Meson-Nucleon Physics and the Structure of the Nucleon. </w:t>
      </w:r>
      <w:r>
        <w:rPr>
          <w:rStyle w:val="Strong"/>
          <w:rFonts w:eastAsia="Calibri" w:cs="Times New Roman" w:ascii="Times New Roman" w:hAnsi="Times New Roman"/>
          <w:color w:val="000000"/>
          <w:spacing w:val="0"/>
        </w:rPr>
        <w:t>July 25-30, 2016, Kyoto, Japan.</w:t>
      </w:r>
    </w:p>
    <w:p>
      <w:pPr>
        <w:pStyle w:val="Style25"/>
        <w:numPr>
          <w:ilvl w:val="0"/>
          <w:numId w:val="7"/>
        </w:numPr>
        <w:tabs>
          <w:tab w:val="left" w:pos="0" w:leader="none"/>
          <w:tab w:val="left" w:pos="426" w:leader="none"/>
        </w:tabs>
        <w:spacing w:before="0" w:after="60"/>
        <w:jc w:val="both"/>
        <w:rPr>
          <w:rStyle w:val="Strong"/>
          <w:rFonts w:ascii="Times New Roman" w:hAnsi="Times New Roman" w:eastAsia="MS Mincho" w:cs="Times New Roman"/>
          <w:bCs/>
          <w:spacing w:val="0"/>
        </w:rPr>
      </w:pPr>
      <w:r>
        <w:rPr>
          <w:rStyle w:val="Strong"/>
          <w:rFonts w:cs="Times New Roman" w:ascii="Times New Roman" w:hAnsi="Times New Roman"/>
          <w:bCs/>
          <w:spacing w:val="0"/>
        </w:rPr>
        <w:t xml:space="preserve">S.A.Movchan </w:t>
      </w:r>
      <w:r>
        <w:rPr>
          <w:rStyle w:val="Strong"/>
          <w:rFonts w:cs="Times New Roman" w:ascii="Times New Roman" w:hAnsi="Times New Roman"/>
          <w:bCs/>
          <w:i/>
          <w:iCs/>
          <w:spacing w:val="0"/>
        </w:rPr>
        <w:t>et al</w:t>
      </w:r>
      <w:r>
        <w:rPr>
          <w:rStyle w:val="Strong"/>
          <w:rFonts w:cs="Times New Roman" w:ascii="Times New Roman" w:hAnsi="Times New Roman"/>
          <w:bCs/>
          <w:spacing w:val="0"/>
        </w:rPr>
        <w:t>. A device for the production of cylinder tubes for the gas-filled drift detectors of ionizing radiation. Patent #2555693</w:t>
      </w:r>
      <w:r>
        <w:rPr>
          <w:rStyle w:val="Strong"/>
          <w:rFonts w:eastAsia="MS Mincho" w:cs="Times New Roman" w:ascii="Times New Roman" w:hAnsi="Times New Roman"/>
          <w:bCs/>
          <w:spacing w:val="0"/>
        </w:rPr>
        <w:t>. 8.06.2016.</w:t>
      </w:r>
    </w:p>
    <w:p>
      <w:pPr>
        <w:pStyle w:val="Style25"/>
        <w:numPr>
          <w:ilvl w:val="0"/>
          <w:numId w:val="7"/>
        </w:numPr>
        <w:tabs>
          <w:tab w:val="left" w:pos="0" w:leader="none"/>
          <w:tab w:val="left" w:pos="426" w:leader="none"/>
        </w:tabs>
        <w:spacing w:before="0" w:after="60"/>
        <w:jc w:val="both"/>
        <w:rPr>
          <w:rStyle w:val="Strong"/>
        </w:rPr>
      </w:pPr>
      <w:r>
        <w:rPr>
          <w:rStyle w:val="Strong"/>
          <w:rFonts w:eastAsia="MS Mincho" w:cs="Times New Roman" w:ascii="Times New Roman" w:hAnsi="Times New Roman"/>
          <w:bCs/>
          <w:spacing w:val="0"/>
        </w:rPr>
        <w:t xml:space="preserve">L.Glonti </w:t>
      </w:r>
      <w:r>
        <w:rPr>
          <w:rStyle w:val="Strong"/>
          <w:rFonts w:eastAsia="MS Mincho" w:cs="Times New Roman" w:ascii="Times New Roman" w:hAnsi="Times New Roman"/>
          <w:bCs/>
          <w:i/>
          <w:iCs/>
          <w:spacing w:val="0"/>
        </w:rPr>
        <w:t>et al</w:t>
      </w:r>
      <w:r>
        <w:rPr>
          <w:rStyle w:val="Strong"/>
          <w:rFonts w:eastAsia="MS Mincho" w:cs="Times New Roman" w:ascii="Times New Roman" w:hAnsi="Times New Roman"/>
          <w:bCs/>
          <w:spacing w:val="0"/>
        </w:rPr>
        <w:t>. A device for the measurement of wire positions in gas wire chambers. Patent #2602492. 15.09.2016.</w:t>
      </w:r>
    </w:p>
    <w:p>
      <w:pPr>
        <w:pStyle w:val="Style25"/>
        <w:tabs>
          <w:tab w:val="left" w:pos="0" w:leader="none"/>
          <w:tab w:val="left" w:pos="426" w:leader="none"/>
        </w:tabs>
        <w:spacing w:before="0" w:after="60"/>
        <w:ind w:left="720" w:hanging="0"/>
        <w:jc w:val="both"/>
        <w:rPr/>
      </w:pPr>
      <w:r>
        <w:rPr/>
      </w:r>
      <w:r>
        <w:br w:type="page"/>
      </w:r>
    </w:p>
    <w:p>
      <w:pPr>
        <w:pStyle w:val="PlainText"/>
        <w:jc w:val="right"/>
        <w:rPr>
          <w:rFonts w:ascii="Times New Roman" w:hAnsi="Times New Roman" w:eastAsia="MS Mincho"/>
          <w:sz w:val="24"/>
          <w:lang w:val="ru-RU"/>
        </w:rPr>
      </w:pPr>
      <w:r>
        <w:rPr>
          <w:rFonts w:eastAsia="MS Mincho" w:ascii="Times New Roman" w:hAnsi="Times New Roman"/>
          <w:sz w:val="24"/>
          <w:lang w:val="ru-RU"/>
        </w:rPr>
        <w:t>Форма №26</w:t>
      </w:r>
    </w:p>
    <w:p>
      <w:pPr>
        <w:pStyle w:val="Normal"/>
        <w:tabs>
          <w:tab w:val="left" w:pos="360" w:leader="none"/>
        </w:tabs>
        <w:ind w:left="360" w:hanging="0"/>
        <w:jc w:val="center"/>
        <w:rPr>
          <w:rFonts w:eastAsia="MS Mincho"/>
          <w:b/>
          <w:b/>
          <w:bCs/>
          <w:sz w:val="24"/>
        </w:rPr>
      </w:pPr>
      <w:r>
        <w:rPr>
          <w:rFonts w:eastAsia="MS Mincho"/>
          <w:b/>
          <w:bCs/>
          <w:sz w:val="24"/>
        </w:rPr>
      </w:r>
    </w:p>
    <w:p>
      <w:pPr>
        <w:pStyle w:val="Normal"/>
        <w:tabs>
          <w:tab w:val="left" w:pos="360" w:leader="none"/>
        </w:tabs>
        <w:ind w:left="360" w:hanging="0"/>
        <w:jc w:val="center"/>
        <w:rPr>
          <w:rFonts w:eastAsia="MS Mincho"/>
          <w:b/>
          <w:b/>
          <w:bCs/>
          <w:sz w:val="24"/>
        </w:rPr>
      </w:pPr>
      <w:r>
        <w:rPr>
          <w:rFonts w:eastAsia="MS Mincho"/>
          <w:b/>
          <w:bCs/>
          <w:sz w:val="24"/>
        </w:rPr>
      </w:r>
    </w:p>
    <w:p>
      <w:pPr>
        <w:pStyle w:val="Normal"/>
        <w:tabs>
          <w:tab w:val="left" w:pos="360" w:leader="none"/>
        </w:tabs>
        <w:ind w:left="360" w:hanging="0"/>
        <w:jc w:val="center"/>
        <w:rPr>
          <w:rFonts w:eastAsia="MS Mincho"/>
          <w:b/>
          <w:b/>
          <w:bCs/>
          <w:sz w:val="24"/>
        </w:rPr>
      </w:pPr>
      <w:r>
        <w:rPr>
          <w:rFonts w:eastAsia="MS Mincho"/>
          <w:b/>
          <w:bCs/>
          <w:sz w:val="24"/>
        </w:rPr>
        <w:t>Необходимые ресурсы для осуществления проекта</w:t>
      </w:r>
    </w:p>
    <w:p>
      <w:pPr>
        <w:pStyle w:val="WWPlainText"/>
        <w:rPr>
          <w:b/>
          <w:b/>
          <w:u w:val="single"/>
          <w:lang w:val="en-US"/>
        </w:rPr>
      </w:pPr>
      <w:r>
        <w:rPr>
          <w:b/>
          <w:u w:val="single"/>
          <w:lang w:val="en-US"/>
        </w:rPr>
      </w:r>
    </w:p>
    <w:tbl>
      <w:tblPr>
        <w:tblW w:w="8816"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58" w:type="dxa"/>
          <w:bottom w:w="0" w:type="dxa"/>
          <w:right w:w="108" w:type="dxa"/>
        </w:tblCellMar>
        <w:tblLook w:val="0000" w:noVBand="0" w:noHBand="0" w:lastColumn="0" w:firstColumn="0" w:lastRow="0" w:firstRow="0"/>
      </w:tblPr>
      <w:tblGrid>
        <w:gridCol w:w="3960"/>
        <w:gridCol w:w="1259"/>
        <w:gridCol w:w="1610"/>
        <w:gridCol w:w="567"/>
        <w:gridCol w:w="710"/>
        <w:gridCol w:w="709"/>
      </w:tblGrid>
      <w:tr>
        <w:trPr>
          <w:trHeight w:val="413" w:hRule="atLeast"/>
          <w:cantSplit w:val="true"/>
        </w:trPr>
        <w:tc>
          <w:tcPr>
            <w:tcW w:w="396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PlainText"/>
              <w:jc w:val="center"/>
              <w:rPr>
                <w:rFonts w:ascii="Times New Roman" w:hAnsi="Times New Roman" w:eastAsia="MS Mincho"/>
                <w:sz w:val="24"/>
                <w:lang w:val="ru-RU"/>
              </w:rPr>
            </w:pPr>
            <w:r>
              <w:rPr>
                <w:rFonts w:eastAsia="MS Mincho" w:ascii="Times New Roman" w:hAnsi="Times New Roman"/>
                <w:sz w:val="24"/>
                <w:lang w:val="ru-RU"/>
              </w:rPr>
            </w:r>
          </w:p>
        </w:tc>
        <w:tc>
          <w:tcPr>
            <w:tcW w:w="125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PlainText"/>
              <w:jc w:val="center"/>
              <w:rPr>
                <w:rFonts w:ascii="Times New Roman" w:hAnsi="Times New Roman" w:eastAsia="MS Mincho"/>
                <w:sz w:val="24"/>
                <w:lang w:val="ru-RU"/>
              </w:rPr>
            </w:pPr>
            <w:r>
              <w:rPr>
                <w:rFonts w:eastAsia="MS Mincho" w:ascii="Times New Roman" w:hAnsi="Times New Roman"/>
                <w:sz w:val="24"/>
                <w:lang w:val="ru-RU"/>
              </w:rPr>
              <w:t>Един. изм.</w:t>
            </w:r>
          </w:p>
        </w:tc>
        <w:tc>
          <w:tcPr>
            <w:tcW w:w="161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PlainText"/>
              <w:jc w:val="center"/>
              <w:rPr>
                <w:rFonts w:ascii="Times New Roman" w:hAnsi="Times New Roman" w:eastAsia="MS Mincho"/>
                <w:sz w:val="24"/>
                <w:lang w:val="ru-RU"/>
              </w:rPr>
            </w:pPr>
            <w:r>
              <w:rPr>
                <w:rFonts w:eastAsia="MS Mincho" w:ascii="Times New Roman" w:hAnsi="Times New Roman"/>
                <w:sz w:val="24"/>
                <w:lang w:val="ru-RU"/>
              </w:rPr>
              <w:t>Потребности в ресурсах 2016-2018 гг.</w:t>
            </w:r>
          </w:p>
        </w:tc>
        <w:tc>
          <w:tcPr>
            <w:tcW w:w="1986"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PlainText"/>
              <w:jc w:val="center"/>
              <w:rPr>
                <w:rFonts w:ascii="Times New Roman" w:hAnsi="Times New Roman" w:eastAsia="MS Mincho"/>
                <w:sz w:val="24"/>
                <w:lang w:val="ru-RU"/>
              </w:rPr>
            </w:pPr>
            <w:r>
              <w:rPr>
                <w:rFonts w:eastAsia="MS Mincho" w:ascii="Times New Roman" w:hAnsi="Times New Roman"/>
                <w:sz w:val="24"/>
                <w:lang w:val="ru-RU"/>
              </w:rPr>
              <w:t>Ресурсы лаборатории</w:t>
            </w:r>
          </w:p>
        </w:tc>
      </w:tr>
      <w:tr>
        <w:trPr>
          <w:trHeight w:val="412" w:hRule="atLeast"/>
          <w:cantSplit w:val="true"/>
        </w:trPr>
        <w:tc>
          <w:tcPr>
            <w:tcW w:w="39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PlainText"/>
              <w:rPr>
                <w:rFonts w:ascii="Times New Roman" w:hAnsi="Times New Roman" w:eastAsia="MS Mincho"/>
                <w:sz w:val="24"/>
                <w:lang w:val="ru-RU"/>
              </w:rPr>
            </w:pPr>
            <w:r>
              <w:rPr>
                <w:rFonts w:eastAsia="MS Mincho" w:ascii="Times New Roman" w:hAnsi="Times New Roman"/>
                <w:sz w:val="24"/>
                <w:lang w:val="ru-RU"/>
              </w:rPr>
            </w:r>
          </w:p>
        </w:tc>
        <w:tc>
          <w:tcPr>
            <w:tcW w:w="12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PlainText"/>
              <w:rPr>
                <w:rFonts w:ascii="Times New Roman" w:hAnsi="Times New Roman" w:eastAsia="MS Mincho"/>
                <w:sz w:val="24"/>
                <w:lang w:val="ru-RU"/>
              </w:rPr>
            </w:pPr>
            <w:r>
              <w:rPr>
                <w:rFonts w:eastAsia="MS Mincho" w:ascii="Times New Roman" w:hAnsi="Times New Roman"/>
                <w:sz w:val="24"/>
                <w:lang w:val="ru-RU"/>
              </w:rPr>
            </w:r>
          </w:p>
        </w:tc>
        <w:tc>
          <w:tcPr>
            <w:tcW w:w="16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PlainText"/>
              <w:rPr>
                <w:rFonts w:ascii="Times New Roman" w:hAnsi="Times New Roman" w:eastAsia="MS Mincho"/>
                <w:sz w:val="24"/>
                <w:lang w:val="ru-RU"/>
              </w:rPr>
            </w:pPr>
            <w:r>
              <w:rPr>
                <w:rFonts w:eastAsia="MS Mincho" w:ascii="Times New Roman" w:hAnsi="Times New Roman"/>
                <w:sz w:val="24"/>
                <w:lang w:val="ru-RU"/>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PlainText"/>
              <w:jc w:val="center"/>
              <w:rPr>
                <w:rFonts w:ascii="Times New Roman" w:hAnsi="Times New Roman" w:eastAsia="MS Mincho"/>
                <w:sz w:val="24"/>
                <w:lang w:val="ru-RU"/>
              </w:rPr>
            </w:pPr>
            <w:r>
              <w:rPr>
                <w:rFonts w:eastAsia="MS Mincho" w:ascii="Times New Roman" w:hAnsi="Times New Roman"/>
                <w:sz w:val="24"/>
                <w:lang w:val="ru-RU"/>
              </w:rPr>
              <w:t>1-год</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PlainText"/>
              <w:jc w:val="center"/>
              <w:rPr>
                <w:rFonts w:ascii="Times New Roman" w:hAnsi="Times New Roman" w:eastAsia="MS Mincho"/>
                <w:sz w:val="24"/>
                <w:lang w:val="ru-RU"/>
              </w:rPr>
            </w:pPr>
            <w:r>
              <w:rPr>
                <w:rFonts w:eastAsia="MS Mincho" w:ascii="Times New Roman" w:hAnsi="Times New Roman"/>
                <w:sz w:val="24"/>
                <w:lang w:val="ru-RU"/>
              </w:rPr>
              <w:t>2-год</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PlainText"/>
              <w:jc w:val="center"/>
              <w:rPr>
                <w:rFonts w:ascii="Times New Roman" w:hAnsi="Times New Roman" w:eastAsia="MS Mincho"/>
                <w:sz w:val="24"/>
                <w:lang w:val="ru-RU"/>
              </w:rPr>
            </w:pPr>
            <w:r>
              <w:rPr>
                <w:rFonts w:eastAsia="MS Mincho" w:ascii="Times New Roman" w:hAnsi="Times New Roman"/>
                <w:sz w:val="24"/>
                <w:lang w:val="ru-RU"/>
              </w:rPr>
              <w:t>3-год</w:t>
            </w:r>
          </w:p>
        </w:tc>
      </w:tr>
      <w:tr>
        <w:trPr>
          <w:cantSplit w:val="true"/>
        </w:trPr>
        <w:tc>
          <w:tcPr>
            <w:tcW w:w="3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PlainText"/>
              <w:rPr>
                <w:rFonts w:ascii="Times New Roman" w:hAnsi="Times New Roman" w:eastAsia="MS Mincho"/>
                <w:sz w:val="24"/>
                <w:lang w:val="ru-RU"/>
              </w:rPr>
            </w:pPr>
            <w:r>
              <w:rPr>
                <w:rFonts w:eastAsia="MS Mincho" w:ascii="Times New Roman" w:hAnsi="Times New Roman"/>
                <w:sz w:val="24"/>
                <w:lang w:val="ru-RU"/>
              </w:rPr>
              <w:t>Основные узлы и оборудование:</w:t>
            </w:r>
          </w:p>
        </w:tc>
        <w:tc>
          <w:tcPr>
            <w:tcW w:w="12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PlainText"/>
              <w:rPr>
                <w:rFonts w:ascii="Times New Roman" w:hAnsi="Times New Roman" w:eastAsia="MS Mincho"/>
                <w:sz w:val="24"/>
                <w:lang w:val="ru-RU"/>
              </w:rPr>
            </w:pPr>
            <w:r>
              <w:rPr>
                <w:rFonts w:eastAsia="MS Mincho" w:ascii="Times New Roman" w:hAnsi="Times New Roman"/>
                <w:sz w:val="24"/>
                <w:lang w:val="ru-RU"/>
              </w:rPr>
            </w:r>
          </w:p>
        </w:tc>
        <w:tc>
          <w:tcPr>
            <w:tcW w:w="16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PlainText"/>
              <w:rPr>
                <w:rFonts w:ascii="Times New Roman" w:hAnsi="Times New Roman" w:eastAsia="MS Mincho"/>
                <w:sz w:val="24"/>
                <w:lang w:val="ru-RU"/>
              </w:rPr>
            </w:pPr>
            <w:r>
              <w:rPr>
                <w:rFonts w:eastAsia="MS Mincho" w:ascii="Times New Roman" w:hAnsi="Times New Roman"/>
                <w:sz w:val="24"/>
                <w:lang w:val="ru-RU"/>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PlainText"/>
              <w:rPr>
                <w:rFonts w:ascii="Times New Roman" w:hAnsi="Times New Roman" w:eastAsia="MS Mincho"/>
                <w:sz w:val="24"/>
                <w:lang w:val="ru-RU"/>
              </w:rPr>
            </w:pPr>
            <w:r>
              <w:rPr>
                <w:rFonts w:eastAsia="MS Mincho" w:ascii="Times New Roman" w:hAnsi="Times New Roman"/>
                <w:sz w:val="24"/>
                <w:lang w:val="ru-RU"/>
              </w:rPr>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PlainText"/>
              <w:rPr>
                <w:rFonts w:ascii="Times New Roman" w:hAnsi="Times New Roman" w:eastAsia="MS Mincho"/>
                <w:sz w:val="24"/>
                <w:lang w:val="ru-RU"/>
              </w:rPr>
            </w:pPr>
            <w:r>
              <w:rPr>
                <w:rFonts w:eastAsia="MS Mincho" w:ascii="Times New Roman" w:hAnsi="Times New Roman"/>
                <w:sz w:val="24"/>
                <w:lang w:val="ru-RU"/>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PlainText"/>
              <w:jc w:val="right"/>
              <w:rPr>
                <w:rFonts w:ascii="Times New Roman" w:hAnsi="Times New Roman" w:eastAsia="MS Mincho"/>
                <w:sz w:val="24"/>
                <w:lang w:val="ru-RU"/>
              </w:rPr>
            </w:pPr>
            <w:r>
              <w:rPr>
                <w:rFonts w:eastAsia="MS Mincho" w:ascii="Times New Roman" w:hAnsi="Times New Roman"/>
                <w:sz w:val="24"/>
                <w:lang w:val="ru-RU"/>
              </w:rPr>
            </w:r>
          </w:p>
        </w:tc>
      </w:tr>
      <w:tr>
        <w:trPr>
          <w:cantSplit w:val="true"/>
        </w:trPr>
        <w:tc>
          <w:tcPr>
            <w:tcW w:w="3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PlainText"/>
              <w:rPr>
                <w:rFonts w:ascii="Times New Roman" w:hAnsi="Times New Roman" w:eastAsia="MS Mincho"/>
                <w:sz w:val="24"/>
                <w:lang w:val="ru-RU"/>
              </w:rPr>
            </w:pPr>
            <w:r>
              <w:rPr>
                <w:rFonts w:eastAsia="MS Mincho" w:ascii="Times New Roman" w:hAnsi="Times New Roman"/>
                <w:sz w:val="24"/>
                <w:lang w:val="ru-RU"/>
              </w:rPr>
              <w:t>Необходимые ресурсы:</w:t>
            </w:r>
          </w:p>
          <w:p>
            <w:pPr>
              <w:pStyle w:val="PlainText"/>
              <w:rPr>
                <w:rFonts w:ascii="Times New Roman" w:hAnsi="Times New Roman" w:eastAsia="MS Mincho"/>
                <w:sz w:val="22"/>
                <w:lang w:val="ru-RU"/>
              </w:rPr>
            </w:pPr>
            <w:r>
              <w:rPr>
                <w:rFonts w:eastAsia="MS Mincho" w:ascii="Times New Roman" w:hAnsi="Times New Roman"/>
                <w:sz w:val="22"/>
                <w:lang w:val="ru-RU"/>
              </w:rPr>
              <w:t xml:space="preserve">   </w:t>
            </w:r>
            <w:r>
              <w:rPr>
                <w:rFonts w:eastAsia="MS Mincho" w:ascii="Times New Roman" w:hAnsi="Times New Roman"/>
                <w:sz w:val="22"/>
                <w:lang w:val="ru-RU"/>
              </w:rPr>
              <w:t>а) ООЭП лаборатории</w:t>
            </w:r>
          </w:p>
          <w:p>
            <w:pPr>
              <w:pStyle w:val="PlainText"/>
              <w:rPr>
                <w:rFonts w:ascii="Times New Roman" w:hAnsi="Times New Roman" w:eastAsia="MS Mincho"/>
                <w:sz w:val="24"/>
                <w:lang w:val="ru-RU"/>
              </w:rPr>
            </w:pPr>
            <w:r>
              <w:rPr>
                <w:rFonts w:eastAsia="MS Mincho" w:ascii="Times New Roman" w:hAnsi="Times New Roman"/>
                <w:sz w:val="22"/>
                <w:lang w:val="ru-RU"/>
              </w:rPr>
              <w:t xml:space="preserve">   </w:t>
            </w:r>
            <w:r>
              <w:rPr>
                <w:rFonts w:eastAsia="MS Mincho" w:ascii="Times New Roman" w:hAnsi="Times New Roman"/>
                <w:sz w:val="22"/>
                <w:lang w:val="ru-RU"/>
              </w:rPr>
              <w:t>б) КБ лаборатории</w:t>
            </w:r>
          </w:p>
        </w:tc>
        <w:tc>
          <w:tcPr>
            <w:tcW w:w="12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PlainText"/>
              <w:rPr>
                <w:rFonts w:ascii="Times New Roman" w:hAnsi="Times New Roman" w:eastAsia="MS Mincho"/>
                <w:lang w:val="ru-RU"/>
              </w:rPr>
            </w:pPr>
            <w:r>
              <w:rPr>
                <w:rFonts w:eastAsia="MS Mincho" w:ascii="Times New Roman" w:hAnsi="Times New Roman"/>
                <w:lang w:val="ru-RU"/>
              </w:rPr>
            </w:r>
          </w:p>
          <w:p>
            <w:pPr>
              <w:pStyle w:val="PlainText"/>
              <w:rPr>
                <w:rFonts w:ascii="Times New Roman" w:hAnsi="Times New Roman" w:eastAsia="MS Mincho"/>
                <w:sz w:val="22"/>
                <w:lang w:val="ru-RU"/>
              </w:rPr>
            </w:pPr>
            <w:r>
              <w:rPr>
                <w:rFonts w:eastAsia="MS Mincho" w:ascii="Times New Roman" w:hAnsi="Times New Roman"/>
                <w:sz w:val="22"/>
                <w:lang w:val="ru-RU"/>
              </w:rPr>
              <w:t>нормо-час</w:t>
            </w:r>
          </w:p>
          <w:p>
            <w:pPr>
              <w:pStyle w:val="PlainText"/>
              <w:rPr>
                <w:rFonts w:ascii="Times New Roman" w:hAnsi="Times New Roman" w:eastAsia="MS Mincho"/>
                <w:lang w:val="ru-RU"/>
              </w:rPr>
            </w:pPr>
            <w:r>
              <w:rPr>
                <w:rFonts w:eastAsia="MS Mincho" w:ascii="Times New Roman" w:hAnsi="Times New Roman"/>
                <w:sz w:val="22"/>
                <w:lang w:val="ru-RU"/>
              </w:rPr>
              <w:t>нормо-час</w:t>
            </w:r>
          </w:p>
        </w:tc>
        <w:tc>
          <w:tcPr>
            <w:tcW w:w="16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PlainText"/>
              <w:rPr>
                <w:rFonts w:ascii="Times New Roman" w:hAnsi="Times New Roman" w:eastAsia="MS Mincho"/>
                <w:sz w:val="24"/>
                <w:lang w:val="ru-RU"/>
              </w:rPr>
            </w:pPr>
            <w:r>
              <w:rPr>
                <w:rFonts w:eastAsia="MS Mincho" w:ascii="Times New Roman" w:hAnsi="Times New Roman"/>
                <w:sz w:val="24"/>
                <w:lang w:val="ru-RU"/>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PlainText"/>
              <w:rPr>
                <w:rFonts w:ascii="Times New Roman" w:hAnsi="Times New Roman" w:eastAsia="MS Mincho"/>
                <w:sz w:val="24"/>
                <w:lang w:val="ru-RU"/>
              </w:rPr>
            </w:pPr>
            <w:r>
              <w:rPr>
                <w:rFonts w:eastAsia="MS Mincho" w:ascii="Times New Roman" w:hAnsi="Times New Roman"/>
                <w:sz w:val="24"/>
                <w:lang w:val="ru-RU"/>
              </w:rPr>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PlainText"/>
              <w:jc w:val="right"/>
              <w:rPr>
                <w:rFonts w:ascii="Times New Roman" w:hAnsi="Times New Roman" w:eastAsia="MS Mincho"/>
                <w:sz w:val="24"/>
                <w:lang w:val="ru-RU"/>
              </w:rPr>
            </w:pPr>
            <w:r>
              <w:rPr>
                <w:rFonts w:eastAsia="MS Mincho" w:ascii="Times New Roman" w:hAnsi="Times New Roman"/>
                <w:sz w:val="24"/>
                <w:lang w:val="ru-RU"/>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PlainText"/>
              <w:jc w:val="right"/>
              <w:rPr>
                <w:rFonts w:ascii="Times New Roman" w:hAnsi="Times New Roman" w:eastAsia="MS Mincho"/>
                <w:sz w:val="24"/>
                <w:lang w:val="ru-RU"/>
              </w:rPr>
            </w:pPr>
            <w:r>
              <w:rPr>
                <w:rFonts w:eastAsia="MS Mincho" w:ascii="Times New Roman" w:hAnsi="Times New Roman"/>
                <w:sz w:val="24"/>
                <w:lang w:val="ru-RU"/>
              </w:rPr>
            </w:r>
          </w:p>
        </w:tc>
      </w:tr>
      <w:tr>
        <w:trPr>
          <w:cantSplit w:val="true"/>
        </w:trPr>
        <w:tc>
          <w:tcPr>
            <w:tcW w:w="3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PlainText"/>
              <w:rPr>
                <w:rFonts w:ascii="Times New Roman" w:hAnsi="Times New Roman" w:eastAsia="MS Mincho"/>
                <w:sz w:val="24"/>
                <w:lang w:val="ru-RU"/>
              </w:rPr>
            </w:pPr>
            <w:r>
              <w:rPr>
                <w:rFonts w:eastAsia="MS Mincho" w:ascii="Times New Roman" w:hAnsi="Times New Roman"/>
                <w:sz w:val="24"/>
                <w:lang w:val="ru-RU"/>
              </w:rPr>
              <w:t xml:space="preserve">   </w:t>
            </w:r>
            <w:r>
              <w:rPr>
                <w:rFonts w:eastAsia="MS Mincho" w:ascii="Times New Roman" w:hAnsi="Times New Roman"/>
                <w:sz w:val="24"/>
                <w:lang w:val="ru-RU"/>
              </w:rPr>
              <w:t>в) Ускоритель</w:t>
            </w:r>
          </w:p>
          <w:p>
            <w:pPr>
              <w:pStyle w:val="PlainText"/>
              <w:rPr>
                <w:rFonts w:ascii="Times New Roman" w:hAnsi="Times New Roman" w:eastAsia="MS Mincho"/>
                <w:sz w:val="24"/>
                <w:lang w:val="ru-RU"/>
              </w:rPr>
            </w:pPr>
            <w:r>
              <w:rPr>
                <w:rFonts w:eastAsia="MS Mincho" w:ascii="Times New Roman" w:hAnsi="Times New Roman"/>
                <w:sz w:val="24"/>
                <w:lang w:val="ru-RU"/>
              </w:rPr>
              <w:t xml:space="preserve">   </w:t>
            </w:r>
            <w:r>
              <w:rPr>
                <w:rFonts w:eastAsia="MS Mincho" w:ascii="Times New Roman" w:hAnsi="Times New Roman"/>
                <w:sz w:val="24"/>
                <w:lang w:val="ru-RU"/>
              </w:rPr>
              <w:t>г) Реактор</w:t>
            </w:r>
          </w:p>
          <w:p>
            <w:pPr>
              <w:pStyle w:val="PlainText"/>
              <w:rPr>
                <w:rFonts w:ascii="Times New Roman" w:hAnsi="Times New Roman" w:eastAsia="MS Mincho"/>
                <w:sz w:val="24"/>
                <w:lang w:val="ru-RU"/>
              </w:rPr>
            </w:pPr>
            <w:r>
              <w:rPr>
                <w:rFonts w:eastAsia="MS Mincho" w:ascii="Times New Roman" w:hAnsi="Times New Roman"/>
                <w:sz w:val="24"/>
                <w:lang w:val="ru-RU"/>
              </w:rPr>
              <w:t xml:space="preserve">   </w:t>
            </w:r>
            <w:r>
              <w:rPr>
                <w:rFonts w:eastAsia="MS Mincho" w:ascii="Times New Roman" w:hAnsi="Times New Roman"/>
                <w:sz w:val="24"/>
                <w:lang w:val="ru-RU"/>
              </w:rPr>
              <w:t>д) ЭВМ</w:t>
            </w:r>
          </w:p>
        </w:tc>
        <w:tc>
          <w:tcPr>
            <w:tcW w:w="12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PlainText"/>
              <w:rPr>
                <w:rFonts w:ascii="Times New Roman" w:hAnsi="Times New Roman" w:eastAsia="MS Mincho"/>
                <w:sz w:val="24"/>
                <w:lang w:val="ru-RU"/>
              </w:rPr>
            </w:pPr>
            <w:r>
              <w:rPr>
                <w:rFonts w:eastAsia="MS Mincho" w:ascii="Times New Roman" w:hAnsi="Times New Roman"/>
                <w:sz w:val="24"/>
                <w:lang w:val="ru-RU"/>
              </w:rPr>
              <w:t>час.</w:t>
            </w:r>
          </w:p>
          <w:p>
            <w:pPr>
              <w:pStyle w:val="PlainText"/>
              <w:rPr>
                <w:rFonts w:ascii="Times New Roman" w:hAnsi="Times New Roman" w:eastAsia="MS Mincho"/>
                <w:sz w:val="24"/>
                <w:lang w:val="ru-RU"/>
              </w:rPr>
            </w:pPr>
            <w:r>
              <w:rPr>
                <w:rFonts w:eastAsia="MS Mincho" w:ascii="Times New Roman" w:hAnsi="Times New Roman"/>
                <w:sz w:val="24"/>
                <w:lang w:val="ru-RU"/>
              </w:rPr>
              <w:t>час.</w:t>
            </w:r>
          </w:p>
          <w:p>
            <w:pPr>
              <w:pStyle w:val="PlainText"/>
              <w:rPr>
                <w:rFonts w:ascii="Times New Roman" w:hAnsi="Times New Roman" w:eastAsia="MS Mincho"/>
                <w:sz w:val="24"/>
                <w:lang w:val="ru-RU"/>
              </w:rPr>
            </w:pPr>
            <w:r>
              <w:rPr>
                <w:rFonts w:eastAsia="MS Mincho" w:ascii="Times New Roman" w:hAnsi="Times New Roman"/>
                <w:sz w:val="24"/>
                <w:lang w:val="ru-RU"/>
              </w:rPr>
              <w:t>час.</w:t>
            </w:r>
          </w:p>
        </w:tc>
        <w:tc>
          <w:tcPr>
            <w:tcW w:w="16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PlainText"/>
              <w:rPr>
                <w:rFonts w:ascii="Times New Roman" w:hAnsi="Times New Roman" w:eastAsia="MS Mincho"/>
                <w:sz w:val="24"/>
                <w:lang w:val="ru-RU"/>
              </w:rPr>
            </w:pPr>
            <w:r>
              <w:rPr>
                <w:rFonts w:eastAsia="MS Mincho" w:ascii="Times New Roman" w:hAnsi="Times New Roman"/>
                <w:sz w:val="24"/>
                <w:lang w:val="ru-RU"/>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PlainText"/>
              <w:rPr>
                <w:rFonts w:ascii="Times New Roman" w:hAnsi="Times New Roman" w:eastAsia="MS Mincho"/>
                <w:sz w:val="24"/>
                <w:lang w:val="ru-RU"/>
              </w:rPr>
            </w:pPr>
            <w:r>
              <w:rPr>
                <w:rFonts w:eastAsia="MS Mincho" w:ascii="Times New Roman" w:hAnsi="Times New Roman"/>
                <w:sz w:val="24"/>
                <w:lang w:val="ru-RU"/>
              </w:rPr>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PlainText"/>
              <w:rPr>
                <w:rFonts w:ascii="Times New Roman" w:hAnsi="Times New Roman" w:eastAsia="MS Mincho"/>
                <w:sz w:val="24"/>
                <w:lang w:val="ru-RU"/>
              </w:rPr>
            </w:pPr>
            <w:r>
              <w:rPr>
                <w:rFonts w:eastAsia="MS Mincho" w:ascii="Times New Roman" w:hAnsi="Times New Roman"/>
                <w:sz w:val="24"/>
                <w:lang w:val="ru-RU"/>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PlainText"/>
              <w:jc w:val="right"/>
              <w:rPr>
                <w:rFonts w:ascii="Times New Roman" w:hAnsi="Times New Roman" w:eastAsia="MS Mincho"/>
                <w:sz w:val="24"/>
                <w:lang w:val="ru-RU"/>
              </w:rPr>
            </w:pPr>
            <w:r>
              <w:rPr>
                <w:rFonts w:eastAsia="MS Mincho" w:ascii="Times New Roman" w:hAnsi="Times New Roman"/>
                <w:sz w:val="24"/>
                <w:lang w:val="ru-RU"/>
              </w:rPr>
            </w:r>
          </w:p>
        </w:tc>
      </w:tr>
      <w:tr>
        <w:trPr>
          <w:cantSplit w:val="true"/>
        </w:trPr>
        <w:tc>
          <w:tcPr>
            <w:tcW w:w="3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PlainText"/>
              <w:rPr>
                <w:rFonts w:ascii="Times New Roman" w:hAnsi="Times New Roman" w:eastAsia="MS Mincho"/>
                <w:sz w:val="24"/>
                <w:lang w:val="ru-RU"/>
              </w:rPr>
            </w:pPr>
            <w:r>
              <w:rPr>
                <w:rFonts w:eastAsia="MS Mincho" w:ascii="Times New Roman" w:hAnsi="Times New Roman"/>
                <w:sz w:val="24"/>
                <w:lang w:val="ru-RU"/>
              </w:rPr>
              <w:t>Эксплуатационные расходы</w:t>
            </w:r>
          </w:p>
        </w:tc>
        <w:tc>
          <w:tcPr>
            <w:tcW w:w="12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PlainText"/>
              <w:rPr>
                <w:rFonts w:ascii="Times New Roman" w:hAnsi="Times New Roman" w:eastAsia="MS Mincho"/>
                <w:sz w:val="24"/>
                <w:lang w:val="ru-RU"/>
              </w:rPr>
            </w:pPr>
            <w:r>
              <w:rPr>
                <w:rFonts w:eastAsia="MS Mincho" w:ascii="Times New Roman" w:hAnsi="Times New Roman"/>
                <w:sz w:val="24"/>
                <w:lang w:val="ru-RU"/>
              </w:rPr>
              <w:t>тыс. US$</w:t>
            </w:r>
          </w:p>
        </w:tc>
        <w:tc>
          <w:tcPr>
            <w:tcW w:w="16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PlainText"/>
              <w:rPr>
                <w:rFonts w:ascii="Times New Roman" w:hAnsi="Times New Roman" w:eastAsia="MS Mincho"/>
                <w:sz w:val="24"/>
                <w:lang w:val="ru-RU"/>
              </w:rPr>
            </w:pPr>
            <w:r>
              <w:rPr>
                <w:rFonts w:eastAsia="MS Mincho" w:ascii="Times New Roman" w:hAnsi="Times New Roman"/>
                <w:sz w:val="24"/>
                <w:lang w:val="ru-RU"/>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PlainText"/>
              <w:rPr>
                <w:rFonts w:ascii="Times New Roman" w:hAnsi="Times New Roman" w:eastAsia="MS Mincho"/>
                <w:sz w:val="24"/>
                <w:lang w:val="ru-RU"/>
              </w:rPr>
            </w:pPr>
            <w:r>
              <w:rPr>
                <w:rFonts w:eastAsia="MS Mincho" w:ascii="Times New Roman" w:hAnsi="Times New Roman"/>
                <w:sz w:val="24"/>
                <w:lang w:val="ru-RU"/>
              </w:rPr>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PlainText"/>
              <w:rPr>
                <w:rFonts w:ascii="Times New Roman" w:hAnsi="Times New Roman" w:eastAsia="MS Mincho"/>
                <w:sz w:val="24"/>
                <w:lang w:val="ru-RU"/>
              </w:rPr>
            </w:pPr>
            <w:r>
              <w:rPr>
                <w:rFonts w:eastAsia="MS Mincho" w:ascii="Times New Roman" w:hAnsi="Times New Roman"/>
                <w:sz w:val="24"/>
                <w:lang w:val="ru-RU"/>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PlainText"/>
              <w:jc w:val="right"/>
              <w:rPr>
                <w:rFonts w:ascii="Times New Roman" w:hAnsi="Times New Roman" w:eastAsia="MS Mincho"/>
                <w:sz w:val="24"/>
                <w:lang w:val="ru-RU"/>
              </w:rPr>
            </w:pPr>
            <w:r>
              <w:rPr>
                <w:rFonts w:eastAsia="MS Mincho" w:ascii="Times New Roman" w:hAnsi="Times New Roman"/>
                <w:sz w:val="24"/>
                <w:lang w:val="ru-RU"/>
              </w:rPr>
            </w:r>
          </w:p>
        </w:tc>
      </w:tr>
      <w:tr>
        <w:trPr>
          <w:cantSplit w:val="true"/>
        </w:trPr>
        <w:tc>
          <w:tcPr>
            <w:tcW w:w="3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PlainText"/>
              <w:rPr>
                <w:rFonts w:ascii="Times New Roman" w:hAnsi="Times New Roman" w:eastAsia="MS Mincho"/>
                <w:sz w:val="24"/>
                <w:lang w:val="ru-RU"/>
              </w:rPr>
            </w:pPr>
            <w:r>
              <w:rPr>
                <w:rFonts w:eastAsia="MS Mincho" w:ascii="Times New Roman" w:hAnsi="Times New Roman"/>
                <w:sz w:val="24"/>
                <w:lang w:val="ru-RU"/>
              </w:rPr>
              <w:t>Источник финансирования:</w:t>
            </w:r>
          </w:p>
          <w:p>
            <w:pPr>
              <w:pStyle w:val="PlainText"/>
              <w:rPr>
                <w:rFonts w:ascii="Times New Roman" w:hAnsi="Times New Roman" w:eastAsia="MS Mincho"/>
                <w:sz w:val="22"/>
                <w:lang w:val="ru-RU"/>
              </w:rPr>
            </w:pPr>
            <w:r>
              <w:rPr>
                <w:rFonts w:eastAsia="MS Mincho" w:ascii="Times New Roman" w:hAnsi="Times New Roman"/>
                <w:sz w:val="22"/>
                <w:lang w:val="ru-RU"/>
              </w:rPr>
              <w:t xml:space="preserve">   </w:t>
            </w:r>
            <w:r>
              <w:rPr>
                <w:rFonts w:eastAsia="MS Mincho" w:ascii="Times New Roman" w:hAnsi="Times New Roman"/>
                <w:sz w:val="22"/>
                <w:lang w:val="ru-RU"/>
              </w:rPr>
              <w:t>Затраты из бюджета</w:t>
            </w:r>
          </w:p>
          <w:p>
            <w:pPr>
              <w:pStyle w:val="PlainText"/>
              <w:rPr>
                <w:rFonts w:ascii="Times New Roman" w:hAnsi="Times New Roman" w:eastAsia="MS Mincho"/>
                <w:sz w:val="24"/>
                <w:lang w:val="ru-RU"/>
              </w:rPr>
            </w:pPr>
            <w:r>
              <w:rPr>
                <w:rFonts w:eastAsia="MS Mincho" w:ascii="Times New Roman" w:hAnsi="Times New Roman"/>
                <w:sz w:val="22"/>
                <w:lang w:val="ru-RU"/>
              </w:rPr>
              <w:t xml:space="preserve">   </w:t>
            </w:r>
            <w:r>
              <w:rPr>
                <w:rFonts w:eastAsia="MS Mincho" w:ascii="Times New Roman" w:hAnsi="Times New Roman"/>
                <w:sz w:val="22"/>
                <w:lang w:val="ru-RU"/>
              </w:rPr>
              <w:t>в том числе инвалютные средства</w:t>
            </w:r>
          </w:p>
        </w:tc>
        <w:tc>
          <w:tcPr>
            <w:tcW w:w="12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PlainText"/>
              <w:rPr>
                <w:rFonts w:ascii="Times New Roman" w:hAnsi="Times New Roman" w:eastAsia="MS Mincho"/>
                <w:sz w:val="24"/>
                <w:lang w:val="ru-RU"/>
              </w:rPr>
            </w:pPr>
            <w:r>
              <w:rPr>
                <w:rFonts w:eastAsia="MS Mincho" w:ascii="Times New Roman" w:hAnsi="Times New Roman"/>
                <w:sz w:val="24"/>
                <w:lang w:val="ru-RU"/>
              </w:rPr>
            </w:r>
          </w:p>
          <w:p>
            <w:pPr>
              <w:pStyle w:val="PlainText"/>
              <w:rPr>
                <w:rFonts w:ascii="Times New Roman" w:hAnsi="Times New Roman" w:eastAsia="MS Mincho"/>
                <w:sz w:val="22"/>
                <w:lang w:val="ru-RU"/>
              </w:rPr>
            </w:pPr>
            <w:r>
              <w:rPr>
                <w:rFonts w:eastAsia="MS Mincho" w:ascii="Times New Roman" w:hAnsi="Times New Roman"/>
                <w:sz w:val="22"/>
                <w:lang w:val="ru-RU"/>
              </w:rPr>
              <w:t>тыс. US$</w:t>
            </w:r>
          </w:p>
          <w:p>
            <w:pPr>
              <w:pStyle w:val="PlainText"/>
              <w:rPr>
                <w:rFonts w:ascii="Times New Roman" w:hAnsi="Times New Roman" w:eastAsia="MS Mincho"/>
                <w:sz w:val="24"/>
                <w:lang w:val="ru-RU"/>
              </w:rPr>
            </w:pPr>
            <w:r>
              <w:rPr>
                <w:rFonts w:eastAsia="MS Mincho" w:ascii="Times New Roman" w:hAnsi="Times New Roman"/>
                <w:sz w:val="22"/>
                <w:lang w:val="ru-RU"/>
              </w:rPr>
              <w:t>тыс. US$</w:t>
            </w:r>
          </w:p>
        </w:tc>
        <w:tc>
          <w:tcPr>
            <w:tcW w:w="16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WWPlainText"/>
              <w:jc w:val="center"/>
              <w:rPr>
                <w:sz w:val="24"/>
                <w:szCs w:val="24"/>
              </w:rPr>
            </w:pPr>
            <w:r>
              <w:rPr>
                <w:sz w:val="24"/>
                <w:szCs w:val="24"/>
              </w:rPr>
            </w:r>
          </w:p>
          <w:p>
            <w:pPr>
              <w:pStyle w:val="WWPlainText"/>
              <w:jc w:val="center"/>
              <w:rPr>
                <w:sz w:val="24"/>
                <w:szCs w:val="24"/>
              </w:rPr>
            </w:pPr>
            <w:r>
              <w:rPr>
                <w:sz w:val="24"/>
                <w:szCs w:val="24"/>
              </w:rPr>
              <w:t>380</w:t>
            </w:r>
          </w:p>
          <w:p>
            <w:pPr>
              <w:pStyle w:val="WWPlainText"/>
              <w:jc w:val="center"/>
              <w:rPr>
                <w:sz w:val="24"/>
                <w:szCs w:val="24"/>
              </w:rPr>
            </w:pPr>
            <w:r>
              <w:rPr>
                <w:sz w:val="24"/>
                <w:szCs w:val="24"/>
              </w:rPr>
              <w:t>370</w:t>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WWPlainText"/>
              <w:jc w:val="center"/>
              <w:rPr>
                <w:sz w:val="24"/>
                <w:szCs w:val="24"/>
              </w:rPr>
            </w:pPr>
            <w:r>
              <w:rPr>
                <w:sz w:val="24"/>
                <w:szCs w:val="24"/>
              </w:rPr>
            </w:r>
          </w:p>
          <w:p>
            <w:pPr>
              <w:pStyle w:val="WWPlainText"/>
              <w:jc w:val="center"/>
              <w:rPr>
                <w:sz w:val="24"/>
                <w:szCs w:val="24"/>
              </w:rPr>
            </w:pPr>
            <w:r>
              <w:rPr>
                <w:sz w:val="24"/>
                <w:szCs w:val="24"/>
              </w:rPr>
              <w:t>103</w:t>
            </w:r>
          </w:p>
          <w:p>
            <w:pPr>
              <w:pStyle w:val="WWPlainText"/>
              <w:jc w:val="center"/>
              <w:rPr>
                <w:sz w:val="24"/>
                <w:szCs w:val="24"/>
              </w:rPr>
            </w:pPr>
            <w:r>
              <w:rPr>
                <w:sz w:val="24"/>
                <w:szCs w:val="24"/>
              </w:rPr>
              <w:t>100</w:t>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WWPlainText"/>
              <w:jc w:val="center"/>
              <w:rPr>
                <w:sz w:val="24"/>
                <w:szCs w:val="24"/>
              </w:rPr>
            </w:pPr>
            <w:r>
              <w:rPr>
                <w:sz w:val="24"/>
                <w:szCs w:val="24"/>
              </w:rPr>
            </w:r>
          </w:p>
          <w:p>
            <w:pPr>
              <w:pStyle w:val="WWPlainText"/>
              <w:jc w:val="center"/>
              <w:rPr>
                <w:sz w:val="24"/>
                <w:szCs w:val="24"/>
              </w:rPr>
            </w:pPr>
            <w:r>
              <w:rPr>
                <w:sz w:val="24"/>
                <w:szCs w:val="24"/>
              </w:rPr>
              <w:t>103</w:t>
            </w:r>
          </w:p>
          <w:p>
            <w:pPr>
              <w:pStyle w:val="WWPlainText"/>
              <w:jc w:val="center"/>
              <w:rPr>
                <w:sz w:val="24"/>
                <w:szCs w:val="24"/>
              </w:rPr>
            </w:pPr>
            <w:r>
              <w:rPr>
                <w:sz w:val="24"/>
                <w:szCs w:val="24"/>
              </w:rPr>
              <w:t>100</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WWPlainText"/>
              <w:jc w:val="center"/>
              <w:rPr>
                <w:sz w:val="24"/>
                <w:szCs w:val="24"/>
              </w:rPr>
            </w:pPr>
            <w:r>
              <w:rPr>
                <w:sz w:val="24"/>
                <w:szCs w:val="24"/>
              </w:rPr>
            </w:r>
          </w:p>
          <w:p>
            <w:pPr>
              <w:pStyle w:val="WWPlainText"/>
              <w:jc w:val="center"/>
              <w:rPr>
                <w:sz w:val="24"/>
                <w:szCs w:val="24"/>
              </w:rPr>
            </w:pPr>
            <w:r>
              <w:rPr>
                <w:sz w:val="24"/>
                <w:szCs w:val="24"/>
              </w:rPr>
              <w:t>174</w:t>
            </w:r>
          </w:p>
          <w:p>
            <w:pPr>
              <w:pStyle w:val="WWPlainText"/>
              <w:jc w:val="center"/>
              <w:rPr>
                <w:sz w:val="24"/>
                <w:szCs w:val="24"/>
              </w:rPr>
            </w:pPr>
            <w:r>
              <w:rPr>
                <w:sz w:val="24"/>
                <w:szCs w:val="24"/>
              </w:rPr>
              <w:t>170</w:t>
            </w:r>
          </w:p>
        </w:tc>
      </w:tr>
      <w:tr>
        <w:trPr>
          <w:cantSplit w:val="true"/>
        </w:trPr>
        <w:tc>
          <w:tcPr>
            <w:tcW w:w="3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PlainText"/>
              <w:rPr>
                <w:rFonts w:ascii="Times New Roman" w:hAnsi="Times New Roman" w:eastAsia="MS Mincho"/>
                <w:sz w:val="24"/>
                <w:lang w:val="ru-RU"/>
              </w:rPr>
            </w:pPr>
            <w:r>
              <w:rPr>
                <w:rFonts w:eastAsia="MS Mincho" w:ascii="Times New Roman" w:hAnsi="Times New Roman"/>
                <w:sz w:val="24"/>
                <w:lang w:val="ru-RU"/>
              </w:rPr>
              <w:t>Вклады коллаборантов</w:t>
            </w:r>
          </w:p>
          <w:p>
            <w:pPr>
              <w:pStyle w:val="PlainText"/>
              <w:rPr>
                <w:rFonts w:ascii="Times New Roman" w:hAnsi="Times New Roman" w:eastAsia="MS Mincho"/>
                <w:sz w:val="24"/>
                <w:lang w:val="ru-RU"/>
              </w:rPr>
            </w:pPr>
            <w:r>
              <w:rPr>
                <w:rFonts w:eastAsia="MS Mincho" w:ascii="Times New Roman" w:hAnsi="Times New Roman"/>
                <w:sz w:val="24"/>
                <w:lang w:val="ru-RU"/>
              </w:rPr>
              <w:t>Вклады по грантам (INTAS+МНТЦ)</w:t>
            </w:r>
          </w:p>
          <w:p>
            <w:pPr>
              <w:pStyle w:val="PlainText"/>
              <w:rPr>
                <w:rFonts w:ascii="Times New Roman" w:hAnsi="Times New Roman" w:eastAsia="MS Mincho"/>
                <w:sz w:val="24"/>
                <w:lang w:val="ru-RU"/>
              </w:rPr>
            </w:pPr>
            <w:r>
              <w:rPr>
                <w:rFonts w:eastAsia="MS Mincho" w:ascii="Times New Roman" w:hAnsi="Times New Roman"/>
                <w:sz w:val="24"/>
                <w:lang w:val="ru-RU"/>
              </w:rPr>
              <w:t>Вклады спонсоров</w:t>
            </w:r>
          </w:p>
          <w:p>
            <w:pPr>
              <w:pStyle w:val="PlainText"/>
              <w:rPr>
                <w:rFonts w:ascii="Times New Roman" w:hAnsi="Times New Roman" w:eastAsia="MS Mincho"/>
                <w:sz w:val="24"/>
                <w:lang w:val="ru-RU"/>
              </w:rPr>
            </w:pPr>
            <w:r>
              <w:rPr>
                <w:rFonts w:eastAsia="MS Mincho" w:ascii="Times New Roman" w:hAnsi="Times New Roman"/>
                <w:sz w:val="24"/>
                <w:lang w:val="ru-RU"/>
              </w:rPr>
              <w:t>Вклады по договорам</w:t>
            </w:r>
          </w:p>
          <w:p>
            <w:pPr>
              <w:pStyle w:val="PlainText"/>
              <w:rPr>
                <w:rFonts w:ascii="Times New Roman" w:hAnsi="Times New Roman" w:eastAsia="MS Mincho"/>
                <w:sz w:val="24"/>
                <w:lang w:val="ru-RU"/>
              </w:rPr>
            </w:pPr>
            <w:r>
              <w:rPr>
                <w:rFonts w:eastAsia="MS Mincho" w:ascii="Times New Roman" w:hAnsi="Times New Roman"/>
                <w:sz w:val="24"/>
                <w:lang w:val="ru-RU"/>
              </w:rPr>
              <w:t>Другие источники</w:t>
            </w:r>
          </w:p>
        </w:tc>
        <w:tc>
          <w:tcPr>
            <w:tcW w:w="12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PlainText"/>
              <w:rPr>
                <w:rFonts w:ascii="Times New Roman" w:hAnsi="Times New Roman" w:eastAsia="MS Mincho"/>
                <w:sz w:val="24"/>
              </w:rPr>
            </w:pPr>
            <w:r>
              <w:rPr>
                <w:rFonts w:eastAsia="MS Mincho" w:ascii="Times New Roman" w:hAnsi="Times New Roman"/>
                <w:sz w:val="24"/>
                <w:lang w:val="ru-RU"/>
              </w:rPr>
              <w:t>тыс</w:t>
            </w:r>
            <w:r>
              <w:rPr>
                <w:rFonts w:eastAsia="MS Mincho" w:ascii="Times New Roman" w:hAnsi="Times New Roman"/>
                <w:sz w:val="24"/>
              </w:rPr>
              <w:t>. US$</w:t>
            </w:r>
          </w:p>
          <w:p>
            <w:pPr>
              <w:pStyle w:val="PlainText"/>
              <w:rPr>
                <w:rFonts w:ascii="Times New Roman" w:hAnsi="Times New Roman" w:eastAsia="MS Mincho"/>
                <w:sz w:val="24"/>
              </w:rPr>
            </w:pPr>
            <w:r>
              <w:rPr>
                <w:rFonts w:eastAsia="MS Mincho" w:ascii="Times New Roman" w:hAnsi="Times New Roman"/>
                <w:sz w:val="24"/>
                <w:lang w:val="ru-RU"/>
              </w:rPr>
              <w:t>тыс</w:t>
            </w:r>
            <w:r>
              <w:rPr>
                <w:rFonts w:eastAsia="MS Mincho" w:ascii="Times New Roman" w:hAnsi="Times New Roman"/>
                <w:sz w:val="24"/>
              </w:rPr>
              <w:t>. US$</w:t>
            </w:r>
          </w:p>
          <w:p>
            <w:pPr>
              <w:pStyle w:val="PlainText"/>
              <w:rPr>
                <w:rFonts w:ascii="Times New Roman" w:hAnsi="Times New Roman" w:eastAsia="MS Mincho"/>
                <w:sz w:val="24"/>
              </w:rPr>
            </w:pPr>
            <w:r>
              <w:rPr>
                <w:rFonts w:eastAsia="MS Mincho" w:ascii="Times New Roman" w:hAnsi="Times New Roman"/>
                <w:sz w:val="24"/>
                <w:lang w:val="ru-RU"/>
              </w:rPr>
              <w:t>тыс</w:t>
            </w:r>
            <w:r>
              <w:rPr>
                <w:rFonts w:eastAsia="MS Mincho" w:ascii="Times New Roman" w:hAnsi="Times New Roman"/>
                <w:sz w:val="24"/>
              </w:rPr>
              <w:t>. US$</w:t>
            </w:r>
          </w:p>
          <w:p>
            <w:pPr>
              <w:pStyle w:val="PlainText"/>
              <w:rPr>
                <w:rFonts w:ascii="Times New Roman" w:hAnsi="Times New Roman" w:eastAsia="MS Mincho"/>
                <w:sz w:val="24"/>
                <w:lang w:val="ru-RU"/>
              </w:rPr>
            </w:pPr>
            <w:r>
              <w:rPr>
                <w:rFonts w:eastAsia="MS Mincho" w:ascii="Times New Roman" w:hAnsi="Times New Roman"/>
                <w:sz w:val="24"/>
                <w:lang w:val="ru-RU"/>
              </w:rPr>
              <w:t>тыс. US$</w:t>
            </w:r>
          </w:p>
          <w:p>
            <w:pPr>
              <w:pStyle w:val="PlainText"/>
              <w:rPr>
                <w:rFonts w:ascii="Times New Roman" w:hAnsi="Times New Roman" w:eastAsia="MS Mincho"/>
                <w:sz w:val="24"/>
                <w:lang w:val="ru-RU"/>
              </w:rPr>
            </w:pPr>
            <w:r>
              <w:rPr>
                <w:rFonts w:eastAsia="MS Mincho" w:ascii="Times New Roman" w:hAnsi="Times New Roman"/>
                <w:sz w:val="24"/>
                <w:lang w:val="ru-RU"/>
              </w:rPr>
              <w:t>тыс. US$</w:t>
            </w:r>
          </w:p>
        </w:tc>
        <w:tc>
          <w:tcPr>
            <w:tcW w:w="16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WWPlainText"/>
              <w:jc w:val="center"/>
              <w:rPr>
                <w:sz w:val="24"/>
                <w:szCs w:val="24"/>
              </w:rPr>
            </w:pPr>
            <w:r>
              <w:rPr>
                <w:sz w:val="24"/>
                <w:szCs w:val="24"/>
              </w:rPr>
              <w:t>10</w:t>
            </w:r>
          </w:p>
          <w:p>
            <w:pPr>
              <w:pStyle w:val="WWPlainText"/>
              <w:jc w:val="center"/>
              <w:rPr>
                <w:sz w:val="24"/>
                <w:szCs w:val="24"/>
              </w:rPr>
            </w:pPr>
            <w:r>
              <w:rPr>
                <w:sz w:val="24"/>
                <w:szCs w:val="24"/>
              </w:rPr>
            </w:r>
          </w:p>
          <w:p>
            <w:pPr>
              <w:pStyle w:val="WWPlainText"/>
              <w:jc w:val="center"/>
              <w:rPr>
                <w:sz w:val="24"/>
                <w:szCs w:val="24"/>
              </w:rPr>
            </w:pPr>
            <w:r>
              <w:rPr>
                <w:sz w:val="24"/>
                <w:szCs w:val="24"/>
              </w:rPr>
            </w:r>
          </w:p>
          <w:p>
            <w:pPr>
              <w:pStyle w:val="WWPlainText"/>
              <w:jc w:val="center"/>
              <w:rPr>
                <w:sz w:val="24"/>
                <w:szCs w:val="24"/>
              </w:rPr>
            </w:pPr>
            <w:r>
              <w:rPr>
                <w:sz w:val="24"/>
                <w:szCs w:val="24"/>
              </w:rPr>
            </w:r>
          </w:p>
          <w:p>
            <w:pPr>
              <w:pStyle w:val="WWPlainText"/>
              <w:jc w:val="center"/>
              <w:rPr>
                <w:sz w:val="24"/>
                <w:szCs w:val="24"/>
              </w:rPr>
            </w:pPr>
            <w:r>
              <w:rPr>
                <w:sz w:val="24"/>
                <w:szCs w:val="24"/>
              </w:rPr>
            </w:r>
          </w:p>
        </w:tc>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WWPlainText"/>
              <w:jc w:val="center"/>
              <w:rPr>
                <w:sz w:val="24"/>
                <w:szCs w:val="24"/>
              </w:rPr>
            </w:pPr>
            <w:r>
              <w:rPr>
                <w:sz w:val="24"/>
                <w:szCs w:val="24"/>
              </w:rPr>
              <w:t>0</w:t>
            </w:r>
          </w:p>
          <w:p>
            <w:pPr>
              <w:pStyle w:val="WWPlainText"/>
              <w:jc w:val="center"/>
              <w:rPr>
                <w:sz w:val="24"/>
                <w:szCs w:val="24"/>
              </w:rPr>
            </w:pPr>
            <w:r>
              <w:rPr>
                <w:sz w:val="24"/>
                <w:szCs w:val="24"/>
              </w:rPr>
            </w:r>
          </w:p>
          <w:p>
            <w:pPr>
              <w:pStyle w:val="WWPlainText"/>
              <w:jc w:val="center"/>
              <w:rPr>
                <w:sz w:val="24"/>
                <w:szCs w:val="24"/>
              </w:rPr>
            </w:pPr>
            <w:r>
              <w:rPr>
                <w:sz w:val="24"/>
                <w:szCs w:val="24"/>
              </w:rPr>
            </w:r>
          </w:p>
          <w:p>
            <w:pPr>
              <w:pStyle w:val="WWPlainText"/>
              <w:jc w:val="center"/>
              <w:rPr>
                <w:sz w:val="24"/>
                <w:szCs w:val="24"/>
              </w:rPr>
            </w:pPr>
            <w:r>
              <w:rPr>
                <w:sz w:val="24"/>
                <w:szCs w:val="24"/>
              </w:rPr>
            </w:r>
          </w:p>
          <w:p>
            <w:pPr>
              <w:pStyle w:val="WWPlainText"/>
              <w:jc w:val="center"/>
              <w:rPr>
                <w:sz w:val="24"/>
                <w:szCs w:val="24"/>
              </w:rPr>
            </w:pPr>
            <w:r>
              <w:rPr>
                <w:sz w:val="24"/>
                <w:szCs w:val="24"/>
              </w:rPr>
            </w:r>
          </w:p>
        </w:tc>
        <w:tc>
          <w:tcPr>
            <w:tcW w:w="7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WWPlainText"/>
              <w:jc w:val="center"/>
              <w:rPr>
                <w:sz w:val="24"/>
                <w:szCs w:val="24"/>
              </w:rPr>
            </w:pPr>
            <w:r>
              <w:rPr>
                <w:sz w:val="24"/>
                <w:szCs w:val="24"/>
              </w:rPr>
              <w:t>5</w:t>
            </w:r>
          </w:p>
          <w:p>
            <w:pPr>
              <w:pStyle w:val="WWPlainText"/>
              <w:jc w:val="center"/>
              <w:rPr>
                <w:sz w:val="24"/>
                <w:szCs w:val="24"/>
              </w:rPr>
            </w:pPr>
            <w:r>
              <w:rPr>
                <w:sz w:val="24"/>
                <w:szCs w:val="24"/>
              </w:rPr>
            </w:r>
          </w:p>
          <w:p>
            <w:pPr>
              <w:pStyle w:val="WWPlainText"/>
              <w:jc w:val="center"/>
              <w:rPr>
                <w:sz w:val="24"/>
                <w:szCs w:val="24"/>
              </w:rPr>
            </w:pPr>
            <w:r>
              <w:rPr>
                <w:sz w:val="24"/>
                <w:szCs w:val="24"/>
              </w:rPr>
            </w:r>
          </w:p>
          <w:p>
            <w:pPr>
              <w:pStyle w:val="WWPlainText"/>
              <w:jc w:val="center"/>
              <w:rPr>
                <w:sz w:val="24"/>
                <w:szCs w:val="24"/>
              </w:rPr>
            </w:pPr>
            <w:r>
              <w:rPr>
                <w:sz w:val="24"/>
                <w:szCs w:val="24"/>
              </w:rPr>
            </w:r>
          </w:p>
          <w:p>
            <w:pPr>
              <w:pStyle w:val="WWPlainText"/>
              <w:jc w:val="center"/>
              <w:rPr>
                <w:sz w:val="24"/>
                <w:szCs w:val="24"/>
              </w:rPr>
            </w:pPr>
            <w:r>
              <w:rPr>
                <w:sz w:val="24"/>
                <w:szCs w:val="24"/>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8" w:type="dxa"/>
            </w:tcMar>
          </w:tcPr>
          <w:p>
            <w:pPr>
              <w:pStyle w:val="WWPlainText"/>
              <w:jc w:val="center"/>
              <w:rPr>
                <w:bCs/>
                <w:sz w:val="24"/>
                <w:szCs w:val="24"/>
              </w:rPr>
            </w:pPr>
            <w:r>
              <w:rPr>
                <w:bCs/>
                <w:sz w:val="24"/>
                <w:szCs w:val="24"/>
              </w:rPr>
              <w:t>5</w:t>
            </w:r>
          </w:p>
          <w:p>
            <w:pPr>
              <w:pStyle w:val="WWPlainText"/>
              <w:jc w:val="center"/>
              <w:rPr>
                <w:bCs/>
                <w:sz w:val="24"/>
                <w:szCs w:val="24"/>
              </w:rPr>
            </w:pPr>
            <w:r>
              <w:rPr>
                <w:bCs/>
                <w:sz w:val="24"/>
                <w:szCs w:val="24"/>
              </w:rPr>
            </w:r>
          </w:p>
          <w:p>
            <w:pPr>
              <w:pStyle w:val="WWPlainText"/>
              <w:jc w:val="center"/>
              <w:rPr>
                <w:bCs/>
                <w:sz w:val="24"/>
                <w:szCs w:val="24"/>
              </w:rPr>
            </w:pPr>
            <w:r>
              <w:rPr>
                <w:bCs/>
                <w:sz w:val="24"/>
                <w:szCs w:val="24"/>
              </w:rPr>
            </w:r>
          </w:p>
          <w:p>
            <w:pPr>
              <w:pStyle w:val="WWPlainText"/>
              <w:jc w:val="center"/>
              <w:rPr>
                <w:bCs/>
                <w:sz w:val="24"/>
                <w:szCs w:val="24"/>
              </w:rPr>
            </w:pPr>
            <w:r>
              <w:rPr>
                <w:bCs/>
                <w:sz w:val="24"/>
                <w:szCs w:val="24"/>
              </w:rPr>
            </w:r>
          </w:p>
          <w:p>
            <w:pPr>
              <w:pStyle w:val="WWPlainText"/>
              <w:jc w:val="center"/>
              <w:rPr>
                <w:bCs/>
                <w:sz w:val="24"/>
                <w:szCs w:val="24"/>
              </w:rPr>
            </w:pPr>
            <w:r>
              <w:rPr>
                <w:bCs/>
                <w:sz w:val="24"/>
                <w:szCs w:val="24"/>
              </w:rPr>
            </w:r>
          </w:p>
        </w:tc>
      </w:tr>
    </w:tbl>
    <w:p>
      <w:pPr>
        <w:pStyle w:val="WWPlainText"/>
        <w:jc w:val="center"/>
        <w:rPr>
          <w:rFonts w:eastAsia="MS Mincho"/>
          <w:b/>
          <w:b/>
          <w:u w:val="single"/>
          <w:lang w:val="en-US"/>
        </w:rPr>
      </w:pPr>
      <w:r>
        <w:rPr>
          <w:rFonts w:eastAsia="MS Mincho"/>
          <w:b/>
          <w:u w:val="single"/>
          <w:lang w:val="en-US"/>
        </w:rPr>
      </w:r>
    </w:p>
    <w:p>
      <w:pPr>
        <w:pStyle w:val="14"/>
        <w:jc w:val="center"/>
        <w:rPr>
          <w:rFonts w:eastAsia="MS Mincho"/>
          <w:b/>
          <w:b/>
          <w:u w:val="single"/>
          <w:lang w:val="en-US"/>
        </w:rPr>
      </w:pPr>
      <w:r>
        <w:rPr>
          <w:rFonts w:eastAsia="MS Mincho"/>
          <w:b/>
          <w:u w:val="single"/>
          <w:lang w:val="en-US"/>
        </w:rPr>
      </w:r>
    </w:p>
    <w:p>
      <w:pPr>
        <w:pStyle w:val="PlainText"/>
        <w:ind w:left="720" w:firstLine="273"/>
        <w:rPr>
          <w:rFonts w:ascii="Times New Roman" w:hAnsi="Times New Roman" w:eastAsia="MS Mincho"/>
          <w:sz w:val="24"/>
          <w:lang w:val="ru-RU"/>
        </w:rPr>
      </w:pPr>
      <w:r>
        <w:rPr>
          <w:rFonts w:eastAsia="MS Mincho" w:ascii="Times New Roman" w:hAnsi="Times New Roman"/>
          <w:sz w:val="24"/>
          <w:lang w:val="ru-RU"/>
        </w:rPr>
      </w:r>
    </w:p>
    <w:p>
      <w:pPr>
        <w:pStyle w:val="PlainText"/>
        <w:ind w:left="720" w:firstLine="273"/>
        <w:rPr>
          <w:rFonts w:ascii="Times New Roman" w:hAnsi="Times New Roman" w:eastAsia="MS Mincho"/>
          <w:sz w:val="24"/>
          <w:lang w:val="ru-RU"/>
        </w:rPr>
      </w:pPr>
      <w:r>
        <w:rPr>
          <w:rFonts w:eastAsia="MS Mincho" w:ascii="Times New Roman" w:hAnsi="Times New Roman"/>
          <w:sz w:val="24"/>
          <w:lang w:val="ru-RU"/>
        </w:rPr>
        <w:t>Руководители проекта</w:t>
        <w:tab/>
        <w:tab/>
        <w:tab/>
        <w:tab/>
        <w:tab/>
        <w:tab/>
        <w:t>В.Д.Кекелидзе</w:t>
      </w:r>
    </w:p>
    <w:p>
      <w:pPr>
        <w:pStyle w:val="PlainText"/>
        <w:ind w:firstLine="720"/>
        <w:rPr>
          <w:rFonts w:ascii="Times New Roman" w:hAnsi="Times New Roman" w:eastAsia="MS Mincho"/>
          <w:sz w:val="24"/>
          <w:lang w:val="ru-RU"/>
        </w:rPr>
      </w:pPr>
      <w:r>
        <w:rPr>
          <w:rFonts w:eastAsia="MS Mincho" w:ascii="Times New Roman" w:hAnsi="Times New Roman"/>
          <w:sz w:val="24"/>
          <w:lang w:val="ru-RU"/>
        </w:rPr>
      </w:r>
    </w:p>
    <w:p>
      <w:pPr>
        <w:pStyle w:val="PlainText"/>
        <w:ind w:firstLine="720"/>
        <w:rPr>
          <w:rFonts w:ascii="Times New Roman" w:hAnsi="Times New Roman" w:eastAsia="MS Mincho"/>
          <w:sz w:val="24"/>
          <w:lang w:val="ru-RU"/>
        </w:rPr>
      </w:pPr>
      <w:r>
        <w:rPr>
          <w:rFonts w:eastAsia="MS Mincho" w:ascii="Times New Roman" w:hAnsi="Times New Roman"/>
          <w:sz w:val="24"/>
          <w:lang w:val="ru-RU"/>
        </w:rPr>
        <w:tab/>
        <w:tab/>
        <w:tab/>
        <w:tab/>
        <w:tab/>
        <w:tab/>
        <w:tab/>
        <w:tab/>
        <w:tab/>
        <w:t>Ю.К.Потребеников</w:t>
      </w:r>
    </w:p>
    <w:p>
      <w:pPr>
        <w:pStyle w:val="Normal"/>
        <w:suppressAutoHyphens w:val="false"/>
        <w:rPr>
          <w:rFonts w:eastAsia="MS Mincho" w:cs="Courier New"/>
          <w:b/>
          <w:b/>
          <w:bCs/>
          <w:sz w:val="24"/>
          <w:lang w:eastAsia="en-US"/>
        </w:rPr>
      </w:pPr>
      <w:r>
        <w:rPr>
          <w:rFonts w:eastAsia="MS Mincho" w:cs="Courier New"/>
          <w:b/>
          <w:bCs/>
          <w:sz w:val="24"/>
          <w:lang w:eastAsia="en-US"/>
        </w:rPr>
      </w:r>
      <w:r>
        <w:br w:type="page"/>
      </w:r>
    </w:p>
    <w:p>
      <w:pPr>
        <w:pStyle w:val="PlainText"/>
        <w:jc w:val="right"/>
        <w:rPr>
          <w:rFonts w:ascii="Times New Roman" w:hAnsi="Times New Roman" w:eastAsia="MS Mincho"/>
          <w:sz w:val="24"/>
          <w:lang w:val="ru-RU"/>
        </w:rPr>
      </w:pPr>
      <w:r>
        <w:rPr>
          <w:rFonts w:eastAsia="MS Mincho" w:ascii="Times New Roman" w:hAnsi="Times New Roman"/>
          <w:sz w:val="24"/>
          <w:lang w:val="ru-RU"/>
        </w:rPr>
        <w:t>Форма №29</w:t>
      </w:r>
    </w:p>
    <w:p>
      <w:pPr>
        <w:pStyle w:val="PlainText"/>
        <w:jc w:val="center"/>
        <w:rPr>
          <w:rFonts w:ascii="Times New Roman" w:hAnsi="Times New Roman" w:eastAsia="MS Mincho"/>
          <w:b/>
          <w:b/>
          <w:bCs/>
          <w:sz w:val="24"/>
          <w:lang w:val="ru-RU"/>
        </w:rPr>
      </w:pPr>
      <w:r>
        <w:rPr>
          <w:rFonts w:eastAsia="MS Mincho" w:ascii="Times New Roman" w:hAnsi="Times New Roman"/>
          <w:b/>
          <w:bCs/>
          <w:sz w:val="24"/>
          <w:lang w:val="ru-RU"/>
        </w:rPr>
      </w:r>
    </w:p>
    <w:p>
      <w:pPr>
        <w:pStyle w:val="PlainText"/>
        <w:jc w:val="center"/>
        <w:rPr>
          <w:rFonts w:ascii="Times New Roman" w:hAnsi="Times New Roman" w:eastAsia="MS Mincho"/>
          <w:b/>
          <w:b/>
          <w:bCs/>
          <w:sz w:val="24"/>
          <w:lang w:val="ru-RU"/>
        </w:rPr>
      </w:pPr>
      <w:bookmarkStart w:id="6" w:name="_GoBack"/>
      <w:bookmarkEnd w:id="6"/>
      <w:r>
        <w:rPr>
          <w:rFonts w:eastAsia="MS Mincho" w:ascii="Times New Roman" w:hAnsi="Times New Roman"/>
          <w:b/>
          <w:bCs/>
          <w:sz w:val="24"/>
          <w:lang w:val="ru-RU"/>
        </w:rPr>
        <w:t>Смета расходов по проекту из бюджета ОИЯИ</w:t>
      </w:r>
    </w:p>
    <w:p>
      <w:pPr>
        <w:pStyle w:val="WWPlainText"/>
        <w:rPr>
          <w:b/>
          <w:b/>
          <w:u w:val="single"/>
        </w:rPr>
      </w:pPr>
      <w:r>
        <w:rPr>
          <w:b/>
          <w:u w:val="single"/>
        </w:rPr>
      </w:r>
    </w:p>
    <w:p>
      <w:pPr>
        <w:pStyle w:val="WWPlainText"/>
        <w:rPr>
          <w:b/>
          <w:b/>
          <w:u w:val="single"/>
        </w:rPr>
      </w:pPr>
      <w:r>
        <w:rPr>
          <w:b/>
          <w:u w:val="single"/>
        </w:rPr>
        <mc:AlternateContent>
          <mc:Choice Requires="wps">
            <w:drawing>
              <wp:anchor behindDoc="0" distT="0" distB="0" distL="114300" distR="114300" simplePos="0" locked="0" layoutInCell="1" allowOverlap="1" relativeHeight="25" wp14:anchorId="03E86AED">
                <wp:simplePos x="0" y="0"/>
                <wp:positionH relativeFrom="page">
                  <wp:posOffset>1028700</wp:posOffset>
                </wp:positionH>
                <wp:positionV relativeFrom="paragraph">
                  <wp:posOffset>13970</wp:posOffset>
                </wp:positionV>
                <wp:extent cx="5475605" cy="3083560"/>
                <wp:effectExtent l="0" t="0" r="11430" b="2540"/>
                <wp:wrapSquare wrapText="bothSides"/>
                <wp:docPr id="19" name="Врезка1"/>
                <a:graphic xmlns:a="http://schemas.openxmlformats.org/drawingml/2006/main">
                  <a:graphicData uri="http://schemas.microsoft.com/office/word/2010/wordprocessingShape">
                    <wps:wsp>
                      <wps:cNvSpPr/>
                      <wps:spPr>
                        <a:xfrm>
                          <a:off x="0" y="0"/>
                          <a:ext cx="5474880" cy="3083040"/>
                        </a:xfrm>
                        <a:prstGeom prst="rect">
                          <a:avLst/>
                        </a:prstGeom>
                        <a:noFill/>
                        <a:ln>
                          <a:noFill/>
                        </a:ln>
                      </wps:spPr>
                      <wps:style>
                        <a:lnRef idx="0"/>
                        <a:fillRef idx="0"/>
                        <a:effectRef idx="0"/>
                        <a:fontRef idx="minor"/>
                      </wps:style>
                      <wps:txbx>
                        <w:txbxContent>
                          <w:tbl>
                            <w:tblPr>
                              <w:tblW w:w="8613" w:type="dxa"/>
                              <w:jc w:val="left"/>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53" w:type="dxa"/>
                                <w:bottom w:w="0" w:type="dxa"/>
                                <w:right w:w="108" w:type="dxa"/>
                              </w:tblCellMar>
                              <w:tblLook w:val="0000" w:noVBand="0" w:noHBand="0" w:lastColumn="0" w:firstColumn="0" w:lastRow="0" w:firstRow="0"/>
                            </w:tblPr>
                            <w:tblGrid>
                              <w:gridCol w:w="468"/>
                              <w:gridCol w:w="3637"/>
                              <w:gridCol w:w="1390"/>
                              <w:gridCol w:w="578"/>
                              <w:gridCol w:w="720"/>
                              <w:gridCol w:w="829"/>
                              <w:gridCol w:w="990"/>
                            </w:tblGrid>
                            <w:tr>
                              <w:trPr>
                                <w:cantSplit w:val="true"/>
                              </w:trPr>
                              <w:tc>
                                <w:tcPr>
                                  <w:tcW w:w="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jc w:val="center"/>
                                    <w:rPr/>
                                  </w:pPr>
                                  <w:r>
                                    <w:rPr>
                                      <w:rFonts w:eastAsia="MS Mincho" w:ascii="Times New Roman" w:hAnsi="Times New Roman"/>
                                      <w:b/>
                                      <w:bCs/>
                                      <w:sz w:val="24"/>
                                      <w:lang w:val="ru-RU"/>
                                    </w:rPr>
                                    <w:t>N</w:t>
                                  </w:r>
                                </w:p>
                              </w:tc>
                              <w:tc>
                                <w:tcPr>
                                  <w:tcW w:w="3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jc w:val="center"/>
                                    <w:rPr/>
                                  </w:pPr>
                                  <w:r>
                                    <w:rPr>
                                      <w:rFonts w:eastAsia="MS Mincho" w:ascii="Times New Roman" w:hAnsi="Times New Roman"/>
                                      <w:b/>
                                      <w:bCs/>
                                      <w:sz w:val="24"/>
                                      <w:lang w:val="ru-RU"/>
                                    </w:rPr>
                                    <w:t>Наименование статей затрат</w:t>
                                  </w:r>
                                </w:p>
                              </w:tc>
                              <w:tc>
                                <w:tcPr>
                                  <w:tcW w:w="13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jc w:val="center"/>
                                    <w:rPr/>
                                  </w:pPr>
                                  <w:r>
                                    <w:rPr>
                                      <w:rFonts w:eastAsia="MS Mincho" w:ascii="Times New Roman" w:hAnsi="Times New Roman"/>
                                      <w:b/>
                                      <w:bCs/>
                                      <w:sz w:val="24"/>
                                      <w:lang w:val="ru-RU"/>
                                    </w:rPr>
                                    <w:t>Единица измерения</w:t>
                                  </w:r>
                                </w:p>
                              </w:tc>
                              <w:tc>
                                <w:tcPr>
                                  <w:tcW w:w="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jc w:val="center"/>
                                    <w:rPr/>
                                  </w:pPr>
                                  <w:r>
                                    <w:rPr>
                                      <w:rFonts w:eastAsia="MS Mincho" w:ascii="Times New Roman" w:hAnsi="Times New Roman"/>
                                      <w:b/>
                                      <w:bCs/>
                                      <w:sz w:val="24"/>
                                      <w:lang w:val="ru-RU"/>
                                    </w:rPr>
                                    <w:t>1-год</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jc w:val="center"/>
                                    <w:rPr/>
                                  </w:pPr>
                                  <w:r>
                                    <w:rPr>
                                      <w:rFonts w:eastAsia="MS Mincho" w:ascii="Times New Roman" w:hAnsi="Times New Roman"/>
                                      <w:b/>
                                      <w:bCs/>
                                      <w:sz w:val="24"/>
                                      <w:lang w:val="ru-RU"/>
                                    </w:rPr>
                                    <w:t>2-год</w:t>
                                  </w:r>
                                </w:p>
                              </w:tc>
                              <w:tc>
                                <w:tcPr>
                                  <w:tcW w:w="8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jc w:val="center"/>
                                    <w:rPr/>
                                  </w:pPr>
                                  <w:r>
                                    <w:rPr>
                                      <w:rFonts w:eastAsia="MS Mincho" w:ascii="Times New Roman" w:hAnsi="Times New Roman"/>
                                      <w:b/>
                                      <w:bCs/>
                                      <w:sz w:val="24"/>
                                      <w:lang w:val="ru-RU"/>
                                    </w:rPr>
                                    <w:t>3-  год</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jc w:val="center"/>
                                    <w:rPr/>
                                  </w:pPr>
                                  <w:r>
                                    <w:rPr>
                                      <w:rFonts w:eastAsia="MS Mincho" w:ascii="Times New Roman" w:hAnsi="Times New Roman"/>
                                      <w:b/>
                                      <w:bCs/>
                                      <w:sz w:val="24"/>
                                      <w:lang w:val="ru-RU"/>
                                    </w:rPr>
                                    <w:t>2016 – 2018 гг</w:t>
                                  </w:r>
                                </w:p>
                              </w:tc>
                            </w:tr>
                            <w:tr>
                              <w:trPr>
                                <w:cantSplit w:val="true"/>
                              </w:trPr>
                              <w:tc>
                                <w:tcPr>
                                  <w:tcW w:w="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rFonts w:ascii="Times New Roman" w:hAnsi="Times New Roman" w:eastAsia="MS Mincho"/>
                                      <w:sz w:val="24"/>
                                      <w:lang w:val="ru-RU"/>
                                    </w:rPr>
                                  </w:pPr>
                                  <w:r>
                                    <w:rPr>
                                      <w:rFonts w:eastAsia="MS Mincho" w:ascii="Times New Roman" w:hAnsi="Times New Roman"/>
                                      <w:sz w:val="24"/>
                                      <w:lang w:val="ru-RU"/>
                                    </w:rPr>
                                  </w:r>
                                </w:p>
                              </w:tc>
                              <w:tc>
                                <w:tcPr>
                                  <w:tcW w:w="3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pPr>
                                  <w:r>
                                    <w:rPr>
                                      <w:rFonts w:eastAsia="MS Mincho" w:ascii="Times New Roman" w:hAnsi="Times New Roman"/>
                                      <w:sz w:val="24"/>
                                      <w:lang w:val="ru-RU"/>
                                    </w:rPr>
                                    <w:t>Прямые расходы на проект</w:t>
                                  </w:r>
                                </w:p>
                              </w:tc>
                              <w:tc>
                                <w:tcPr>
                                  <w:tcW w:w="13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jc w:val="center"/>
                                    <w:rPr>
                                      <w:rFonts w:ascii="Times New Roman" w:hAnsi="Times New Roman" w:eastAsia="MS Mincho"/>
                                      <w:sz w:val="24"/>
                                      <w:lang w:val="ru-RU"/>
                                    </w:rPr>
                                  </w:pPr>
                                  <w:r>
                                    <w:rPr>
                                      <w:rFonts w:eastAsia="MS Mincho" w:ascii="Times New Roman" w:hAnsi="Times New Roman"/>
                                      <w:sz w:val="24"/>
                                      <w:lang w:val="ru-RU"/>
                                    </w:rPr>
                                  </w:r>
                                </w:p>
                              </w:tc>
                              <w:tc>
                                <w:tcPr>
                                  <w:tcW w:w="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right"/>
                                    <w:rPr/>
                                  </w:pPr>
                                  <w:r>
                                    <w:rP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right"/>
                                    <w:rPr/>
                                  </w:pPr>
                                  <w:r>
                                    <w:rPr/>
                                  </w:r>
                                </w:p>
                              </w:tc>
                              <w:tc>
                                <w:tcPr>
                                  <w:tcW w:w="8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right"/>
                                    <w:rPr/>
                                  </w:pPr>
                                  <w:r>
                                    <w:rP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right"/>
                                    <w:rPr/>
                                  </w:pPr>
                                  <w:r>
                                    <w:rPr/>
                                  </w:r>
                                </w:p>
                              </w:tc>
                            </w:tr>
                            <w:tr>
                              <w:trPr>
                                <w:cantSplit w:val="true"/>
                              </w:trPr>
                              <w:tc>
                                <w:tcPr>
                                  <w:tcW w:w="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pPr>
                                  <w:r>
                                    <w:rPr>
                                      <w:rFonts w:eastAsia="MS Mincho" w:ascii="Times New Roman" w:hAnsi="Times New Roman"/>
                                      <w:sz w:val="24"/>
                                      <w:lang w:val="ru-RU"/>
                                    </w:rPr>
                                    <w:t>0.</w:t>
                                  </w:r>
                                </w:p>
                              </w:tc>
                              <w:tc>
                                <w:tcPr>
                                  <w:tcW w:w="3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pPr>
                                  <w:r>
                                    <w:rPr>
                                      <w:rFonts w:eastAsia="MS Mincho" w:ascii="Times New Roman" w:hAnsi="Times New Roman"/>
                                      <w:sz w:val="24"/>
                                      <w:lang w:val="ru-RU"/>
                                    </w:rPr>
                                    <w:t>Эксплуатационные расходы</w:t>
                                  </w:r>
                                </w:p>
                              </w:tc>
                              <w:tc>
                                <w:tcPr>
                                  <w:tcW w:w="13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jc w:val="center"/>
                                    <w:rPr/>
                                  </w:pPr>
                                  <w:r>
                                    <w:rPr>
                                      <w:rFonts w:eastAsia="MS Mincho" w:ascii="Times New Roman" w:hAnsi="Times New Roman"/>
                                      <w:sz w:val="22"/>
                                      <w:lang w:val="ru-RU"/>
                                    </w:rPr>
                                    <w:t>тыс. US$</w:t>
                                  </w:r>
                                </w:p>
                              </w:tc>
                              <w:tc>
                                <w:tcPr>
                                  <w:tcW w:w="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t>35</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t>35</w:t>
                                  </w:r>
                                </w:p>
                              </w:tc>
                              <w:tc>
                                <w:tcPr>
                                  <w:tcW w:w="8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t>35</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t>105</w:t>
                                  </w:r>
                                </w:p>
                              </w:tc>
                            </w:tr>
                            <w:tr>
                              <w:trPr>
                                <w:cantSplit w:val="true"/>
                              </w:trPr>
                              <w:tc>
                                <w:tcPr>
                                  <w:tcW w:w="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pPr>
                                  <w:r>
                                    <w:rPr>
                                      <w:rFonts w:eastAsia="MS Mincho" w:ascii="Times New Roman" w:hAnsi="Times New Roman"/>
                                      <w:sz w:val="24"/>
                                      <w:lang w:val="ru-RU"/>
                                    </w:rPr>
                                    <w:t>1.</w:t>
                                  </w:r>
                                </w:p>
                              </w:tc>
                              <w:tc>
                                <w:tcPr>
                                  <w:tcW w:w="3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pPr>
                                  <w:r>
                                    <w:rPr>
                                      <w:rFonts w:eastAsia="MS Mincho" w:ascii="Times New Roman" w:hAnsi="Times New Roman"/>
                                      <w:sz w:val="24"/>
                                      <w:lang w:val="ru-RU"/>
                                    </w:rPr>
                                    <w:t>Ускоритель</w:t>
                                  </w:r>
                                </w:p>
                              </w:tc>
                              <w:tc>
                                <w:tcPr>
                                  <w:tcW w:w="13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jc w:val="center"/>
                                    <w:rPr>
                                      <w:rFonts w:ascii="Times New Roman" w:hAnsi="Times New Roman" w:eastAsia="MS Mincho"/>
                                      <w:sz w:val="24"/>
                                      <w:lang w:val="ru-RU"/>
                                    </w:rPr>
                                  </w:pPr>
                                  <w:r>
                                    <w:rPr>
                                      <w:rFonts w:eastAsia="MS Mincho" w:ascii="Times New Roman" w:hAnsi="Times New Roman"/>
                                      <w:sz w:val="24"/>
                                      <w:lang w:val="ru-RU"/>
                                    </w:rPr>
                                  </w:r>
                                </w:p>
                              </w:tc>
                              <w:tc>
                                <w:tcPr>
                                  <w:tcW w:w="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r>
                                </w:p>
                              </w:tc>
                              <w:tc>
                                <w:tcPr>
                                  <w:tcW w:w="8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r>
                                </w:p>
                              </w:tc>
                            </w:tr>
                            <w:tr>
                              <w:trPr>
                                <w:cantSplit w:val="true"/>
                              </w:trPr>
                              <w:tc>
                                <w:tcPr>
                                  <w:tcW w:w="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pPr>
                                  <w:r>
                                    <w:rPr>
                                      <w:rFonts w:eastAsia="MS Mincho" w:ascii="Times New Roman" w:hAnsi="Times New Roman"/>
                                      <w:sz w:val="24"/>
                                      <w:lang w:val="ru-RU"/>
                                    </w:rPr>
                                    <w:t>2.</w:t>
                                  </w:r>
                                </w:p>
                              </w:tc>
                              <w:tc>
                                <w:tcPr>
                                  <w:tcW w:w="3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pPr>
                                  <w:r>
                                    <w:rPr>
                                      <w:rFonts w:eastAsia="MS Mincho" w:ascii="Times New Roman" w:hAnsi="Times New Roman"/>
                                      <w:sz w:val="24"/>
                                      <w:lang w:val="ru-RU"/>
                                    </w:rPr>
                                    <w:t>КБ</w:t>
                                  </w:r>
                                </w:p>
                              </w:tc>
                              <w:tc>
                                <w:tcPr>
                                  <w:tcW w:w="13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jc w:val="center"/>
                                    <w:rPr>
                                      <w:rFonts w:ascii="Times New Roman" w:hAnsi="Times New Roman" w:eastAsia="MS Mincho"/>
                                      <w:sz w:val="24"/>
                                      <w:lang w:val="ru-RU"/>
                                    </w:rPr>
                                  </w:pPr>
                                  <w:r>
                                    <w:rPr>
                                      <w:rFonts w:eastAsia="MS Mincho" w:ascii="Times New Roman" w:hAnsi="Times New Roman"/>
                                      <w:sz w:val="24"/>
                                      <w:lang w:val="ru-RU"/>
                                    </w:rPr>
                                  </w:r>
                                </w:p>
                              </w:tc>
                              <w:tc>
                                <w:tcPr>
                                  <w:tcW w:w="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r>
                                </w:p>
                              </w:tc>
                              <w:tc>
                                <w:tcPr>
                                  <w:tcW w:w="8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r>
                                </w:p>
                              </w:tc>
                            </w:tr>
                            <w:tr>
                              <w:trPr>
                                <w:cantSplit w:val="true"/>
                              </w:trPr>
                              <w:tc>
                                <w:tcPr>
                                  <w:tcW w:w="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pPr>
                                  <w:r>
                                    <w:rPr>
                                      <w:rFonts w:eastAsia="MS Mincho" w:ascii="Times New Roman" w:hAnsi="Times New Roman"/>
                                      <w:sz w:val="24"/>
                                      <w:lang w:val="ru-RU"/>
                                    </w:rPr>
                                    <w:t>3.</w:t>
                                  </w:r>
                                </w:p>
                              </w:tc>
                              <w:tc>
                                <w:tcPr>
                                  <w:tcW w:w="3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pPr>
                                  <w:r>
                                    <w:rPr>
                                      <w:rFonts w:eastAsia="MS Mincho" w:ascii="Times New Roman" w:hAnsi="Times New Roman"/>
                                      <w:sz w:val="24"/>
                                      <w:lang w:val="ru-RU"/>
                                    </w:rPr>
                                    <w:t>ООЭП</w:t>
                                  </w:r>
                                </w:p>
                              </w:tc>
                              <w:tc>
                                <w:tcPr>
                                  <w:tcW w:w="13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jc w:val="center"/>
                                    <w:rPr>
                                      <w:rFonts w:ascii="Times New Roman" w:hAnsi="Times New Roman" w:eastAsia="MS Mincho"/>
                                      <w:sz w:val="24"/>
                                      <w:lang w:val="ru-RU"/>
                                    </w:rPr>
                                  </w:pPr>
                                  <w:r>
                                    <w:rPr>
                                      <w:rFonts w:eastAsia="MS Mincho" w:ascii="Times New Roman" w:hAnsi="Times New Roman"/>
                                      <w:sz w:val="24"/>
                                      <w:lang w:val="ru-RU"/>
                                    </w:rPr>
                                  </w:r>
                                </w:p>
                              </w:tc>
                              <w:tc>
                                <w:tcPr>
                                  <w:tcW w:w="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r>
                                </w:p>
                              </w:tc>
                              <w:tc>
                                <w:tcPr>
                                  <w:tcW w:w="8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r>
                                </w:p>
                              </w:tc>
                            </w:tr>
                            <w:tr>
                              <w:trPr>
                                <w:trHeight w:val="346" w:hRule="atLeast"/>
                                <w:cantSplit w:val="true"/>
                              </w:trPr>
                              <w:tc>
                                <w:tcPr>
                                  <w:tcW w:w="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pPr>
                                  <w:r>
                                    <w:rPr>
                                      <w:rFonts w:eastAsia="MS Mincho" w:ascii="Times New Roman" w:hAnsi="Times New Roman"/>
                                      <w:sz w:val="24"/>
                                      <w:lang w:val="ru-RU"/>
                                    </w:rPr>
                                    <w:t>4.</w:t>
                                  </w:r>
                                </w:p>
                              </w:tc>
                              <w:tc>
                                <w:tcPr>
                                  <w:tcW w:w="3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pPr>
                                  <w:r>
                                    <w:rPr>
                                      <w:rFonts w:eastAsia="MS Mincho" w:ascii="Times New Roman" w:hAnsi="Times New Roman"/>
                                      <w:sz w:val="24"/>
                                      <w:lang w:val="ru-RU"/>
                                    </w:rPr>
                                    <w:t>Материалы</w:t>
                                  </w:r>
                                </w:p>
                              </w:tc>
                              <w:tc>
                                <w:tcPr>
                                  <w:tcW w:w="13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jc w:val="center"/>
                                    <w:rPr/>
                                  </w:pPr>
                                  <w:r>
                                    <w:rPr>
                                      <w:rFonts w:eastAsia="MS Mincho" w:ascii="Times New Roman" w:hAnsi="Times New Roman"/>
                                      <w:sz w:val="22"/>
                                      <w:lang w:val="ru-RU"/>
                                    </w:rPr>
                                    <w:t>тыс. US$</w:t>
                                  </w:r>
                                </w:p>
                              </w:tc>
                              <w:tc>
                                <w:tcPr>
                                  <w:tcW w:w="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t>5</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t>5</w:t>
                                  </w:r>
                                </w:p>
                              </w:tc>
                              <w:tc>
                                <w:tcPr>
                                  <w:tcW w:w="8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t>10</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t>20</w:t>
                                  </w:r>
                                </w:p>
                              </w:tc>
                            </w:tr>
                            <w:tr>
                              <w:trPr>
                                <w:cantSplit w:val="true"/>
                              </w:trPr>
                              <w:tc>
                                <w:tcPr>
                                  <w:tcW w:w="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pPr>
                                  <w:r>
                                    <w:rPr>
                                      <w:rFonts w:eastAsia="MS Mincho" w:ascii="Times New Roman" w:hAnsi="Times New Roman"/>
                                      <w:sz w:val="24"/>
                                      <w:lang w:val="ru-RU"/>
                                    </w:rPr>
                                    <w:t>5.</w:t>
                                  </w:r>
                                </w:p>
                              </w:tc>
                              <w:tc>
                                <w:tcPr>
                                  <w:tcW w:w="3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pPr>
                                  <w:r>
                                    <w:rPr>
                                      <w:rFonts w:eastAsia="MS Mincho" w:ascii="Times New Roman" w:hAnsi="Times New Roman"/>
                                      <w:sz w:val="24"/>
                                      <w:lang w:val="ru-RU"/>
                                    </w:rPr>
                                    <w:t>Оборудование</w:t>
                                  </w:r>
                                </w:p>
                              </w:tc>
                              <w:tc>
                                <w:tcPr>
                                  <w:tcW w:w="13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jc w:val="center"/>
                                    <w:rPr/>
                                  </w:pPr>
                                  <w:r>
                                    <w:rPr>
                                      <w:rFonts w:eastAsia="MS Mincho" w:ascii="Times New Roman" w:hAnsi="Times New Roman"/>
                                      <w:sz w:val="22"/>
                                      <w:lang w:val="ru-RU"/>
                                    </w:rPr>
                                    <w:t>тыс. US$</w:t>
                                  </w:r>
                                </w:p>
                              </w:tc>
                              <w:tc>
                                <w:tcPr>
                                  <w:tcW w:w="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t>10</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t>10</w:t>
                                  </w:r>
                                </w:p>
                              </w:tc>
                              <w:tc>
                                <w:tcPr>
                                  <w:tcW w:w="8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t>15</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t>35</w:t>
                                  </w:r>
                                </w:p>
                              </w:tc>
                            </w:tr>
                            <w:tr>
                              <w:trPr>
                                <w:cantSplit w:val="true"/>
                              </w:trPr>
                              <w:tc>
                                <w:tcPr>
                                  <w:tcW w:w="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pPr>
                                  <w:r>
                                    <w:rPr>
                                      <w:rFonts w:eastAsia="MS Mincho" w:ascii="Times New Roman" w:hAnsi="Times New Roman"/>
                                      <w:sz w:val="24"/>
                                      <w:lang w:val="ru-RU"/>
                                    </w:rPr>
                                    <w:t>6.</w:t>
                                  </w:r>
                                </w:p>
                              </w:tc>
                              <w:tc>
                                <w:tcPr>
                                  <w:tcW w:w="3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pPr>
                                  <w:r>
                                    <w:rPr>
                                      <w:rFonts w:eastAsia="MS Mincho" w:ascii="Times New Roman" w:hAnsi="Times New Roman"/>
                                      <w:sz w:val="24"/>
                                      <w:lang w:val="ru-RU"/>
                                    </w:rPr>
                                    <w:t>Оплата НИР, выполняемых по договорам</w:t>
                                  </w:r>
                                </w:p>
                              </w:tc>
                              <w:tc>
                                <w:tcPr>
                                  <w:tcW w:w="13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jc w:val="center"/>
                                    <w:rPr>
                                      <w:rFonts w:ascii="Times New Roman" w:hAnsi="Times New Roman" w:eastAsia="MS Mincho"/>
                                      <w:sz w:val="24"/>
                                      <w:lang w:val="ru-RU"/>
                                    </w:rPr>
                                  </w:pPr>
                                  <w:r>
                                    <w:rPr>
                                      <w:rFonts w:eastAsia="MS Mincho" w:ascii="Times New Roman" w:hAnsi="Times New Roman"/>
                                      <w:sz w:val="24"/>
                                      <w:lang w:val="ru-RU"/>
                                    </w:rPr>
                                  </w:r>
                                </w:p>
                              </w:tc>
                              <w:tc>
                                <w:tcPr>
                                  <w:tcW w:w="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r>
                                </w:p>
                              </w:tc>
                              <w:tc>
                                <w:tcPr>
                                  <w:tcW w:w="8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r>
                                </w:p>
                              </w:tc>
                            </w:tr>
                            <w:tr>
                              <w:trPr>
                                <w:cantSplit w:val="true"/>
                              </w:trPr>
                              <w:tc>
                                <w:tcPr>
                                  <w:tcW w:w="46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pPr>
                                  <w:r>
                                    <w:rPr>
                                      <w:rFonts w:eastAsia="MS Mincho" w:ascii="Times New Roman" w:hAnsi="Times New Roman"/>
                                      <w:sz w:val="24"/>
                                      <w:lang w:val="ru-RU"/>
                                    </w:rPr>
                                    <w:t>7.</w:t>
                                  </w:r>
                                </w:p>
                              </w:tc>
                              <w:tc>
                                <w:tcPr>
                                  <w:tcW w:w="3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pPr>
                                  <w:r>
                                    <w:rPr>
                                      <w:rFonts w:eastAsia="MS Mincho" w:ascii="Times New Roman" w:hAnsi="Times New Roman"/>
                                      <w:sz w:val="24"/>
                                      <w:lang w:val="ru-RU"/>
                                    </w:rPr>
                                    <w:t>Командировочные расходы, в т.ч</w:t>
                                  </w:r>
                                </w:p>
                              </w:tc>
                              <w:tc>
                                <w:tcPr>
                                  <w:tcW w:w="13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jc w:val="center"/>
                                    <w:rPr/>
                                  </w:pPr>
                                  <w:r>
                                    <w:rPr>
                                      <w:rFonts w:eastAsia="MS Mincho" w:ascii="Times New Roman" w:hAnsi="Times New Roman"/>
                                      <w:sz w:val="22"/>
                                      <w:lang w:val="ru-RU"/>
                                    </w:rPr>
                                    <w:t>тыс. US$</w:t>
                                  </w:r>
                                </w:p>
                              </w:tc>
                              <w:tc>
                                <w:tcPr>
                                  <w:tcW w:w="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rFonts w:eastAsia="MS Mincho"/>
                                    </w:rPr>
                                    <w:t>53</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rFonts w:eastAsia="MS Mincho"/>
                                    </w:rPr>
                                    <w:t>53</w:t>
                                  </w:r>
                                </w:p>
                              </w:tc>
                              <w:tc>
                                <w:tcPr>
                                  <w:tcW w:w="8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rFonts w:eastAsia="MS Mincho"/>
                                    </w:rPr>
                                    <w:t>114</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rFonts w:eastAsia="MS Mincho"/>
                                    </w:rPr>
                                    <w:t>220</w:t>
                                  </w:r>
                                </w:p>
                              </w:tc>
                            </w:tr>
                            <w:tr>
                              <w:trPr>
                                <w:cantSplit w:val="true"/>
                              </w:trPr>
                              <w:tc>
                                <w:tcPr>
                                  <w:tcW w:w="46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rFonts w:ascii="Times New Roman" w:hAnsi="Times New Roman" w:eastAsia="MS Mincho"/>
                                      <w:sz w:val="24"/>
                                      <w:lang w:val="ru-RU"/>
                                    </w:rPr>
                                  </w:pPr>
                                  <w:r>
                                    <w:rPr>
                                      <w:rFonts w:eastAsia="MS Mincho" w:ascii="Times New Roman" w:hAnsi="Times New Roman"/>
                                      <w:sz w:val="24"/>
                                      <w:lang w:val="ru-RU"/>
                                    </w:rPr>
                                  </w:r>
                                </w:p>
                              </w:tc>
                              <w:tc>
                                <w:tcPr>
                                  <w:tcW w:w="3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pPr>
                                  <w:r>
                                    <w:rPr>
                                      <w:rFonts w:eastAsia="MS Mincho" w:ascii="Times New Roman" w:hAnsi="Times New Roman"/>
                                      <w:sz w:val="24"/>
                                      <w:lang w:val="ru-RU"/>
                                    </w:rPr>
                                    <w:t>а) в страны нерублевой зоны</w:t>
                                  </w:r>
                                </w:p>
                              </w:tc>
                              <w:tc>
                                <w:tcPr>
                                  <w:tcW w:w="13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jc w:val="center"/>
                                    <w:rPr/>
                                  </w:pPr>
                                  <w:r>
                                    <w:rPr>
                                      <w:rFonts w:eastAsia="MS Mincho" w:ascii="Times New Roman" w:hAnsi="Times New Roman"/>
                                      <w:sz w:val="22"/>
                                      <w:lang w:val="ru-RU"/>
                                    </w:rPr>
                                    <w:t>тыс. US$</w:t>
                                  </w:r>
                                </w:p>
                              </w:tc>
                              <w:tc>
                                <w:tcPr>
                                  <w:tcW w:w="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right"/>
                                    <w:rPr/>
                                  </w:pPr>
                                  <w:r>
                                    <w:rPr>
                                      <w:rFonts w:eastAsia="MS Mincho"/>
                                      <w:i/>
                                    </w:rPr>
                                    <w:t>50</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right"/>
                                    <w:rPr/>
                                  </w:pPr>
                                  <w:r>
                                    <w:rPr>
                                      <w:rFonts w:eastAsia="MS Mincho"/>
                                      <w:i/>
                                    </w:rPr>
                                    <w:t>50</w:t>
                                  </w:r>
                                </w:p>
                              </w:tc>
                              <w:tc>
                                <w:tcPr>
                                  <w:tcW w:w="8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right"/>
                                    <w:rPr/>
                                  </w:pPr>
                                  <w:r>
                                    <w:rPr>
                                      <w:rFonts w:eastAsia="MS Mincho"/>
                                      <w:i/>
                                    </w:rPr>
                                    <w:t>110</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right"/>
                                    <w:rPr/>
                                  </w:pPr>
                                  <w:r>
                                    <w:rPr>
                                      <w:rFonts w:eastAsia="MS Mincho"/>
                                      <w:i/>
                                    </w:rPr>
                                    <w:t>210</w:t>
                                  </w:r>
                                </w:p>
                              </w:tc>
                            </w:tr>
                            <w:tr>
                              <w:trPr>
                                <w:cantSplit w:val="true"/>
                              </w:trPr>
                              <w:tc>
                                <w:tcPr>
                                  <w:tcW w:w="46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rFonts w:ascii="Times New Roman" w:hAnsi="Times New Roman" w:eastAsia="MS Mincho"/>
                                      <w:sz w:val="24"/>
                                      <w:lang w:val="ru-RU"/>
                                    </w:rPr>
                                  </w:pPr>
                                  <w:r>
                                    <w:rPr>
                                      <w:rFonts w:eastAsia="MS Mincho" w:ascii="Times New Roman" w:hAnsi="Times New Roman"/>
                                      <w:sz w:val="24"/>
                                      <w:lang w:val="ru-RU"/>
                                    </w:rPr>
                                  </w:r>
                                </w:p>
                              </w:tc>
                              <w:tc>
                                <w:tcPr>
                                  <w:tcW w:w="3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pPr>
                                  <w:r>
                                    <w:rPr>
                                      <w:rFonts w:eastAsia="MS Mincho" w:ascii="Times New Roman" w:hAnsi="Times New Roman"/>
                                      <w:sz w:val="24"/>
                                      <w:lang w:val="ru-RU"/>
                                    </w:rPr>
                                    <w:t>б) в города стран рублевой зоны</w:t>
                                  </w:r>
                                </w:p>
                              </w:tc>
                              <w:tc>
                                <w:tcPr>
                                  <w:tcW w:w="13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jc w:val="center"/>
                                    <w:rPr/>
                                  </w:pPr>
                                  <w:r>
                                    <w:rPr>
                                      <w:rFonts w:eastAsia="MS Mincho" w:ascii="Times New Roman" w:hAnsi="Times New Roman"/>
                                      <w:sz w:val="22"/>
                                      <w:lang w:val="ru-RU"/>
                                    </w:rPr>
                                    <w:t>тыс. US$</w:t>
                                  </w:r>
                                </w:p>
                              </w:tc>
                              <w:tc>
                                <w:tcPr>
                                  <w:tcW w:w="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right"/>
                                    <w:rPr/>
                                  </w:pPr>
                                  <w:r>
                                    <w:rPr>
                                      <w:rFonts w:eastAsia="MS Mincho"/>
                                      <w:i/>
                                    </w:rPr>
                                    <w:t>3</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right"/>
                                    <w:rPr/>
                                  </w:pPr>
                                  <w:r>
                                    <w:rPr>
                                      <w:rFonts w:eastAsia="MS Mincho"/>
                                      <w:i/>
                                    </w:rPr>
                                    <w:t>3</w:t>
                                  </w:r>
                                </w:p>
                              </w:tc>
                              <w:tc>
                                <w:tcPr>
                                  <w:tcW w:w="8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right"/>
                                    <w:rPr/>
                                  </w:pPr>
                                  <w:r>
                                    <w:rPr>
                                      <w:rFonts w:eastAsia="MS Mincho"/>
                                      <w:i/>
                                    </w:rPr>
                                    <w:t>4</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right"/>
                                    <w:rPr/>
                                  </w:pPr>
                                  <w:r>
                                    <w:rPr>
                                      <w:rFonts w:eastAsia="MS Mincho"/>
                                      <w:i/>
                                    </w:rPr>
                                    <w:t>10</w:t>
                                  </w:r>
                                </w:p>
                              </w:tc>
                            </w:tr>
                            <w:tr>
                              <w:trPr>
                                <w:cantSplit w:val="true"/>
                              </w:trPr>
                              <w:tc>
                                <w:tcPr>
                                  <w:tcW w:w="46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rFonts w:ascii="Times New Roman" w:hAnsi="Times New Roman" w:eastAsia="MS Mincho"/>
                                      <w:sz w:val="24"/>
                                      <w:lang w:val="ru-RU"/>
                                    </w:rPr>
                                  </w:pPr>
                                  <w:r>
                                    <w:rPr>
                                      <w:rFonts w:eastAsia="MS Mincho" w:ascii="Times New Roman" w:hAnsi="Times New Roman"/>
                                      <w:sz w:val="24"/>
                                      <w:lang w:val="ru-RU"/>
                                    </w:rPr>
                                  </w:r>
                                </w:p>
                              </w:tc>
                              <w:tc>
                                <w:tcPr>
                                  <w:tcW w:w="3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pPr>
                                  <w:r>
                                    <w:rPr>
                                      <w:rFonts w:eastAsia="MS Mincho" w:ascii="Times New Roman" w:hAnsi="Times New Roman"/>
                                      <w:sz w:val="24"/>
                                      <w:lang w:val="ru-RU"/>
                                    </w:rPr>
                                    <w:t>в) по протоколам</w:t>
                                  </w:r>
                                </w:p>
                              </w:tc>
                              <w:tc>
                                <w:tcPr>
                                  <w:tcW w:w="13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jc w:val="center"/>
                                    <w:rPr>
                                      <w:rFonts w:ascii="Times New Roman" w:hAnsi="Times New Roman" w:eastAsia="MS Mincho"/>
                                      <w:sz w:val="24"/>
                                      <w:lang w:val="ru-RU"/>
                                    </w:rPr>
                                  </w:pPr>
                                  <w:r>
                                    <w:rPr>
                                      <w:rFonts w:eastAsia="MS Mincho" w:ascii="Times New Roman" w:hAnsi="Times New Roman"/>
                                      <w:sz w:val="24"/>
                                      <w:lang w:val="ru-RU"/>
                                    </w:rPr>
                                  </w:r>
                                </w:p>
                              </w:tc>
                              <w:tc>
                                <w:tcPr>
                                  <w:tcW w:w="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right"/>
                                    <w:rPr/>
                                  </w:pPr>
                                  <w:r>
                                    <w:rP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right"/>
                                    <w:rPr/>
                                  </w:pPr>
                                  <w:r>
                                    <w:rPr/>
                                  </w:r>
                                </w:p>
                              </w:tc>
                              <w:tc>
                                <w:tcPr>
                                  <w:tcW w:w="8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right"/>
                                    <w:rPr/>
                                  </w:pPr>
                                  <w:r>
                                    <w:rP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right"/>
                                    <w:rPr/>
                                  </w:pPr>
                                  <w:r>
                                    <w:rPr/>
                                  </w:r>
                                </w:p>
                              </w:tc>
                            </w:tr>
                            <w:tr>
                              <w:trPr>
                                <w:cantSplit w:val="true"/>
                              </w:trPr>
                              <w:tc>
                                <w:tcPr>
                                  <w:tcW w:w="46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rFonts w:ascii="Times New Roman" w:hAnsi="Times New Roman" w:eastAsia="MS Mincho"/>
                                      <w:sz w:val="24"/>
                                      <w:lang w:val="ru-RU"/>
                                    </w:rPr>
                                  </w:pPr>
                                  <w:r>
                                    <w:rPr>
                                      <w:rFonts w:eastAsia="MS Mincho" w:ascii="Times New Roman" w:hAnsi="Times New Roman"/>
                                      <w:sz w:val="24"/>
                                      <w:lang w:val="ru-RU"/>
                                    </w:rPr>
                                  </w:r>
                                </w:p>
                              </w:tc>
                              <w:tc>
                                <w:tcPr>
                                  <w:tcW w:w="3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pPr>
                                  <w:r>
                                    <w:rPr>
                                      <w:rFonts w:eastAsia="MS Mincho" w:ascii="Times New Roman" w:hAnsi="Times New Roman"/>
                                      <w:b/>
                                      <w:bCs/>
                                      <w:sz w:val="24"/>
                                      <w:lang w:val="ru-RU"/>
                                    </w:rPr>
                                    <w:t>Итого по прямым расходам:</w:t>
                                  </w:r>
                                </w:p>
                              </w:tc>
                              <w:tc>
                                <w:tcPr>
                                  <w:tcW w:w="13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jc w:val="center"/>
                                    <w:rPr/>
                                  </w:pPr>
                                  <w:r>
                                    <w:rPr>
                                      <w:rFonts w:eastAsia="MS Mincho" w:ascii="Times New Roman" w:hAnsi="Times New Roman"/>
                                      <w:b/>
                                      <w:bCs/>
                                      <w:sz w:val="22"/>
                                      <w:lang w:val="ru-RU"/>
                                    </w:rPr>
                                    <w:t>тыс. US$</w:t>
                                  </w:r>
                                </w:p>
                              </w:tc>
                              <w:tc>
                                <w:tcPr>
                                  <w:tcW w:w="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right"/>
                                    <w:rPr/>
                                  </w:pPr>
                                  <w:r>
                                    <w:rPr>
                                      <w:b/>
                                    </w:rPr>
                                    <w:t>103</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right"/>
                                    <w:rPr/>
                                  </w:pPr>
                                  <w:r>
                                    <w:rPr>
                                      <w:b/>
                                    </w:rPr>
                                    <w:t>103</w:t>
                                  </w:r>
                                </w:p>
                              </w:tc>
                              <w:tc>
                                <w:tcPr>
                                  <w:tcW w:w="8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right"/>
                                    <w:rPr/>
                                  </w:pPr>
                                  <w:r>
                                    <w:rPr>
                                      <w:b/>
                                    </w:rPr>
                                    <w:t>174</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right"/>
                                    <w:rPr/>
                                  </w:pPr>
                                  <w:r>
                                    <w:rPr>
                                      <w:b/>
                                    </w:rPr>
                                    <w:t>380</w:t>
                                  </w:r>
                                </w:p>
                              </w:tc>
                            </w:tr>
                          </w:tbl>
                          <w:p>
                            <w:pPr>
                              <w:pStyle w:val="Style24"/>
                              <w:rPr>
                                <w:color w:val="000000"/>
                              </w:rPr>
                            </w:pPr>
                            <w:r>
                              <w:rPr>
                                <w:color w:val="000000"/>
                              </w:rPr>
                            </w:r>
                          </w:p>
                        </w:txbxContent>
                      </wps:txbx>
                      <wps:bodyPr lIns="0" rIns="0" tIns="0" bIns="0">
                        <a:spAutoFit/>
                      </wps:bodyPr>
                    </wps:wsp>
                  </a:graphicData>
                </a:graphic>
              </wp:anchor>
            </w:drawing>
          </mc:Choice>
          <mc:Fallback>
            <w:pict>
              <v:rect id="shape_0" ID="Врезка1" stroked="f" style="position:absolute;margin-left:81pt;margin-top:1.1pt;width:431.05pt;height:242.7pt;mso-position-horizontal-relative:page" wp14:anchorId="03E86AED">
                <w10:wrap type="none"/>
                <v:fill o:detectmouseclick="t" on="false"/>
                <v:stroke color="#3465a4" joinstyle="round" endcap="flat"/>
                <v:textbox>
                  <w:txbxContent>
                    <w:tbl>
                      <w:tblPr>
                        <w:tblW w:w="8613" w:type="dxa"/>
                        <w:jc w:val="left"/>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53" w:type="dxa"/>
                          <w:bottom w:w="0" w:type="dxa"/>
                          <w:right w:w="108" w:type="dxa"/>
                        </w:tblCellMar>
                        <w:tblLook w:val="0000" w:noVBand="0" w:noHBand="0" w:lastColumn="0" w:firstColumn="0" w:lastRow="0" w:firstRow="0"/>
                      </w:tblPr>
                      <w:tblGrid>
                        <w:gridCol w:w="468"/>
                        <w:gridCol w:w="3637"/>
                        <w:gridCol w:w="1390"/>
                        <w:gridCol w:w="578"/>
                        <w:gridCol w:w="720"/>
                        <w:gridCol w:w="829"/>
                        <w:gridCol w:w="990"/>
                      </w:tblGrid>
                      <w:tr>
                        <w:trPr>
                          <w:cantSplit w:val="true"/>
                        </w:trPr>
                        <w:tc>
                          <w:tcPr>
                            <w:tcW w:w="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jc w:val="center"/>
                              <w:rPr/>
                            </w:pPr>
                            <w:r>
                              <w:rPr>
                                <w:rFonts w:eastAsia="MS Mincho" w:ascii="Times New Roman" w:hAnsi="Times New Roman"/>
                                <w:b/>
                                <w:bCs/>
                                <w:sz w:val="24"/>
                                <w:lang w:val="ru-RU"/>
                              </w:rPr>
                              <w:t>N</w:t>
                            </w:r>
                          </w:p>
                        </w:tc>
                        <w:tc>
                          <w:tcPr>
                            <w:tcW w:w="3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jc w:val="center"/>
                              <w:rPr/>
                            </w:pPr>
                            <w:r>
                              <w:rPr>
                                <w:rFonts w:eastAsia="MS Mincho" w:ascii="Times New Roman" w:hAnsi="Times New Roman"/>
                                <w:b/>
                                <w:bCs/>
                                <w:sz w:val="24"/>
                                <w:lang w:val="ru-RU"/>
                              </w:rPr>
                              <w:t>Наименование статей затрат</w:t>
                            </w:r>
                          </w:p>
                        </w:tc>
                        <w:tc>
                          <w:tcPr>
                            <w:tcW w:w="13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jc w:val="center"/>
                              <w:rPr/>
                            </w:pPr>
                            <w:r>
                              <w:rPr>
                                <w:rFonts w:eastAsia="MS Mincho" w:ascii="Times New Roman" w:hAnsi="Times New Roman"/>
                                <w:b/>
                                <w:bCs/>
                                <w:sz w:val="24"/>
                                <w:lang w:val="ru-RU"/>
                              </w:rPr>
                              <w:t>Единица измерения</w:t>
                            </w:r>
                          </w:p>
                        </w:tc>
                        <w:tc>
                          <w:tcPr>
                            <w:tcW w:w="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jc w:val="center"/>
                              <w:rPr/>
                            </w:pPr>
                            <w:r>
                              <w:rPr>
                                <w:rFonts w:eastAsia="MS Mincho" w:ascii="Times New Roman" w:hAnsi="Times New Roman"/>
                                <w:b/>
                                <w:bCs/>
                                <w:sz w:val="24"/>
                                <w:lang w:val="ru-RU"/>
                              </w:rPr>
                              <w:t>1-год</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jc w:val="center"/>
                              <w:rPr/>
                            </w:pPr>
                            <w:r>
                              <w:rPr>
                                <w:rFonts w:eastAsia="MS Mincho" w:ascii="Times New Roman" w:hAnsi="Times New Roman"/>
                                <w:b/>
                                <w:bCs/>
                                <w:sz w:val="24"/>
                                <w:lang w:val="ru-RU"/>
                              </w:rPr>
                              <w:t>2-год</w:t>
                            </w:r>
                          </w:p>
                        </w:tc>
                        <w:tc>
                          <w:tcPr>
                            <w:tcW w:w="8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jc w:val="center"/>
                              <w:rPr/>
                            </w:pPr>
                            <w:r>
                              <w:rPr>
                                <w:rFonts w:eastAsia="MS Mincho" w:ascii="Times New Roman" w:hAnsi="Times New Roman"/>
                                <w:b/>
                                <w:bCs/>
                                <w:sz w:val="24"/>
                                <w:lang w:val="ru-RU"/>
                              </w:rPr>
                              <w:t>3-  год</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jc w:val="center"/>
                              <w:rPr/>
                            </w:pPr>
                            <w:r>
                              <w:rPr>
                                <w:rFonts w:eastAsia="MS Mincho" w:ascii="Times New Roman" w:hAnsi="Times New Roman"/>
                                <w:b/>
                                <w:bCs/>
                                <w:sz w:val="24"/>
                                <w:lang w:val="ru-RU"/>
                              </w:rPr>
                              <w:t>2016 – 2018 гг</w:t>
                            </w:r>
                          </w:p>
                        </w:tc>
                      </w:tr>
                      <w:tr>
                        <w:trPr>
                          <w:cantSplit w:val="true"/>
                        </w:trPr>
                        <w:tc>
                          <w:tcPr>
                            <w:tcW w:w="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rFonts w:ascii="Times New Roman" w:hAnsi="Times New Roman" w:eastAsia="MS Mincho"/>
                                <w:sz w:val="24"/>
                                <w:lang w:val="ru-RU"/>
                              </w:rPr>
                            </w:pPr>
                            <w:r>
                              <w:rPr>
                                <w:rFonts w:eastAsia="MS Mincho" w:ascii="Times New Roman" w:hAnsi="Times New Roman"/>
                                <w:sz w:val="24"/>
                                <w:lang w:val="ru-RU"/>
                              </w:rPr>
                            </w:r>
                          </w:p>
                        </w:tc>
                        <w:tc>
                          <w:tcPr>
                            <w:tcW w:w="3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pPr>
                            <w:r>
                              <w:rPr>
                                <w:rFonts w:eastAsia="MS Mincho" w:ascii="Times New Roman" w:hAnsi="Times New Roman"/>
                                <w:sz w:val="24"/>
                                <w:lang w:val="ru-RU"/>
                              </w:rPr>
                              <w:t>Прямые расходы на проект</w:t>
                            </w:r>
                          </w:p>
                        </w:tc>
                        <w:tc>
                          <w:tcPr>
                            <w:tcW w:w="13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jc w:val="center"/>
                              <w:rPr>
                                <w:rFonts w:ascii="Times New Roman" w:hAnsi="Times New Roman" w:eastAsia="MS Mincho"/>
                                <w:sz w:val="24"/>
                                <w:lang w:val="ru-RU"/>
                              </w:rPr>
                            </w:pPr>
                            <w:r>
                              <w:rPr>
                                <w:rFonts w:eastAsia="MS Mincho" w:ascii="Times New Roman" w:hAnsi="Times New Roman"/>
                                <w:sz w:val="24"/>
                                <w:lang w:val="ru-RU"/>
                              </w:rPr>
                            </w:r>
                          </w:p>
                        </w:tc>
                        <w:tc>
                          <w:tcPr>
                            <w:tcW w:w="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right"/>
                              <w:rPr/>
                            </w:pPr>
                            <w:r>
                              <w:rP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right"/>
                              <w:rPr/>
                            </w:pPr>
                            <w:r>
                              <w:rPr/>
                            </w:r>
                          </w:p>
                        </w:tc>
                        <w:tc>
                          <w:tcPr>
                            <w:tcW w:w="8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right"/>
                              <w:rPr/>
                            </w:pPr>
                            <w:r>
                              <w:rP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right"/>
                              <w:rPr/>
                            </w:pPr>
                            <w:r>
                              <w:rPr/>
                            </w:r>
                          </w:p>
                        </w:tc>
                      </w:tr>
                      <w:tr>
                        <w:trPr>
                          <w:cantSplit w:val="true"/>
                        </w:trPr>
                        <w:tc>
                          <w:tcPr>
                            <w:tcW w:w="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pPr>
                            <w:r>
                              <w:rPr>
                                <w:rFonts w:eastAsia="MS Mincho" w:ascii="Times New Roman" w:hAnsi="Times New Roman"/>
                                <w:sz w:val="24"/>
                                <w:lang w:val="ru-RU"/>
                              </w:rPr>
                              <w:t>0.</w:t>
                            </w:r>
                          </w:p>
                        </w:tc>
                        <w:tc>
                          <w:tcPr>
                            <w:tcW w:w="3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pPr>
                            <w:r>
                              <w:rPr>
                                <w:rFonts w:eastAsia="MS Mincho" w:ascii="Times New Roman" w:hAnsi="Times New Roman"/>
                                <w:sz w:val="24"/>
                                <w:lang w:val="ru-RU"/>
                              </w:rPr>
                              <w:t>Эксплуатационные расходы</w:t>
                            </w:r>
                          </w:p>
                        </w:tc>
                        <w:tc>
                          <w:tcPr>
                            <w:tcW w:w="13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jc w:val="center"/>
                              <w:rPr/>
                            </w:pPr>
                            <w:r>
                              <w:rPr>
                                <w:rFonts w:eastAsia="MS Mincho" w:ascii="Times New Roman" w:hAnsi="Times New Roman"/>
                                <w:sz w:val="22"/>
                                <w:lang w:val="ru-RU"/>
                              </w:rPr>
                              <w:t>тыс. US$</w:t>
                            </w:r>
                          </w:p>
                        </w:tc>
                        <w:tc>
                          <w:tcPr>
                            <w:tcW w:w="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t>35</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t>35</w:t>
                            </w:r>
                          </w:p>
                        </w:tc>
                        <w:tc>
                          <w:tcPr>
                            <w:tcW w:w="8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t>35</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t>105</w:t>
                            </w:r>
                          </w:p>
                        </w:tc>
                      </w:tr>
                      <w:tr>
                        <w:trPr>
                          <w:cantSplit w:val="true"/>
                        </w:trPr>
                        <w:tc>
                          <w:tcPr>
                            <w:tcW w:w="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pPr>
                            <w:r>
                              <w:rPr>
                                <w:rFonts w:eastAsia="MS Mincho" w:ascii="Times New Roman" w:hAnsi="Times New Roman"/>
                                <w:sz w:val="24"/>
                                <w:lang w:val="ru-RU"/>
                              </w:rPr>
                              <w:t>1.</w:t>
                            </w:r>
                          </w:p>
                        </w:tc>
                        <w:tc>
                          <w:tcPr>
                            <w:tcW w:w="3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pPr>
                            <w:r>
                              <w:rPr>
                                <w:rFonts w:eastAsia="MS Mincho" w:ascii="Times New Roman" w:hAnsi="Times New Roman"/>
                                <w:sz w:val="24"/>
                                <w:lang w:val="ru-RU"/>
                              </w:rPr>
                              <w:t>Ускоритель</w:t>
                            </w:r>
                          </w:p>
                        </w:tc>
                        <w:tc>
                          <w:tcPr>
                            <w:tcW w:w="13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jc w:val="center"/>
                              <w:rPr>
                                <w:rFonts w:ascii="Times New Roman" w:hAnsi="Times New Roman" w:eastAsia="MS Mincho"/>
                                <w:sz w:val="24"/>
                                <w:lang w:val="ru-RU"/>
                              </w:rPr>
                            </w:pPr>
                            <w:r>
                              <w:rPr>
                                <w:rFonts w:eastAsia="MS Mincho" w:ascii="Times New Roman" w:hAnsi="Times New Roman"/>
                                <w:sz w:val="24"/>
                                <w:lang w:val="ru-RU"/>
                              </w:rPr>
                            </w:r>
                          </w:p>
                        </w:tc>
                        <w:tc>
                          <w:tcPr>
                            <w:tcW w:w="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r>
                          </w:p>
                        </w:tc>
                        <w:tc>
                          <w:tcPr>
                            <w:tcW w:w="8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r>
                          </w:p>
                        </w:tc>
                      </w:tr>
                      <w:tr>
                        <w:trPr>
                          <w:cantSplit w:val="true"/>
                        </w:trPr>
                        <w:tc>
                          <w:tcPr>
                            <w:tcW w:w="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pPr>
                            <w:r>
                              <w:rPr>
                                <w:rFonts w:eastAsia="MS Mincho" w:ascii="Times New Roman" w:hAnsi="Times New Roman"/>
                                <w:sz w:val="24"/>
                                <w:lang w:val="ru-RU"/>
                              </w:rPr>
                              <w:t>2.</w:t>
                            </w:r>
                          </w:p>
                        </w:tc>
                        <w:tc>
                          <w:tcPr>
                            <w:tcW w:w="3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pPr>
                            <w:r>
                              <w:rPr>
                                <w:rFonts w:eastAsia="MS Mincho" w:ascii="Times New Roman" w:hAnsi="Times New Roman"/>
                                <w:sz w:val="24"/>
                                <w:lang w:val="ru-RU"/>
                              </w:rPr>
                              <w:t>КБ</w:t>
                            </w:r>
                          </w:p>
                        </w:tc>
                        <w:tc>
                          <w:tcPr>
                            <w:tcW w:w="13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jc w:val="center"/>
                              <w:rPr>
                                <w:rFonts w:ascii="Times New Roman" w:hAnsi="Times New Roman" w:eastAsia="MS Mincho"/>
                                <w:sz w:val="24"/>
                                <w:lang w:val="ru-RU"/>
                              </w:rPr>
                            </w:pPr>
                            <w:r>
                              <w:rPr>
                                <w:rFonts w:eastAsia="MS Mincho" w:ascii="Times New Roman" w:hAnsi="Times New Roman"/>
                                <w:sz w:val="24"/>
                                <w:lang w:val="ru-RU"/>
                              </w:rPr>
                            </w:r>
                          </w:p>
                        </w:tc>
                        <w:tc>
                          <w:tcPr>
                            <w:tcW w:w="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r>
                          </w:p>
                        </w:tc>
                        <w:tc>
                          <w:tcPr>
                            <w:tcW w:w="8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r>
                          </w:p>
                        </w:tc>
                      </w:tr>
                      <w:tr>
                        <w:trPr>
                          <w:cantSplit w:val="true"/>
                        </w:trPr>
                        <w:tc>
                          <w:tcPr>
                            <w:tcW w:w="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pPr>
                            <w:r>
                              <w:rPr>
                                <w:rFonts w:eastAsia="MS Mincho" w:ascii="Times New Roman" w:hAnsi="Times New Roman"/>
                                <w:sz w:val="24"/>
                                <w:lang w:val="ru-RU"/>
                              </w:rPr>
                              <w:t>3.</w:t>
                            </w:r>
                          </w:p>
                        </w:tc>
                        <w:tc>
                          <w:tcPr>
                            <w:tcW w:w="3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pPr>
                            <w:r>
                              <w:rPr>
                                <w:rFonts w:eastAsia="MS Mincho" w:ascii="Times New Roman" w:hAnsi="Times New Roman"/>
                                <w:sz w:val="24"/>
                                <w:lang w:val="ru-RU"/>
                              </w:rPr>
                              <w:t>ООЭП</w:t>
                            </w:r>
                          </w:p>
                        </w:tc>
                        <w:tc>
                          <w:tcPr>
                            <w:tcW w:w="13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jc w:val="center"/>
                              <w:rPr>
                                <w:rFonts w:ascii="Times New Roman" w:hAnsi="Times New Roman" w:eastAsia="MS Mincho"/>
                                <w:sz w:val="24"/>
                                <w:lang w:val="ru-RU"/>
                              </w:rPr>
                            </w:pPr>
                            <w:r>
                              <w:rPr>
                                <w:rFonts w:eastAsia="MS Mincho" w:ascii="Times New Roman" w:hAnsi="Times New Roman"/>
                                <w:sz w:val="24"/>
                                <w:lang w:val="ru-RU"/>
                              </w:rPr>
                            </w:r>
                          </w:p>
                        </w:tc>
                        <w:tc>
                          <w:tcPr>
                            <w:tcW w:w="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r>
                          </w:p>
                        </w:tc>
                        <w:tc>
                          <w:tcPr>
                            <w:tcW w:w="8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r>
                          </w:p>
                        </w:tc>
                      </w:tr>
                      <w:tr>
                        <w:trPr>
                          <w:trHeight w:val="346" w:hRule="atLeast"/>
                          <w:cantSplit w:val="true"/>
                        </w:trPr>
                        <w:tc>
                          <w:tcPr>
                            <w:tcW w:w="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pPr>
                            <w:r>
                              <w:rPr>
                                <w:rFonts w:eastAsia="MS Mincho" w:ascii="Times New Roman" w:hAnsi="Times New Roman"/>
                                <w:sz w:val="24"/>
                                <w:lang w:val="ru-RU"/>
                              </w:rPr>
                              <w:t>4.</w:t>
                            </w:r>
                          </w:p>
                        </w:tc>
                        <w:tc>
                          <w:tcPr>
                            <w:tcW w:w="3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pPr>
                            <w:r>
                              <w:rPr>
                                <w:rFonts w:eastAsia="MS Mincho" w:ascii="Times New Roman" w:hAnsi="Times New Roman"/>
                                <w:sz w:val="24"/>
                                <w:lang w:val="ru-RU"/>
                              </w:rPr>
                              <w:t>Материалы</w:t>
                            </w:r>
                          </w:p>
                        </w:tc>
                        <w:tc>
                          <w:tcPr>
                            <w:tcW w:w="13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jc w:val="center"/>
                              <w:rPr/>
                            </w:pPr>
                            <w:r>
                              <w:rPr>
                                <w:rFonts w:eastAsia="MS Mincho" w:ascii="Times New Roman" w:hAnsi="Times New Roman"/>
                                <w:sz w:val="22"/>
                                <w:lang w:val="ru-RU"/>
                              </w:rPr>
                              <w:t>тыс. US$</w:t>
                            </w:r>
                          </w:p>
                        </w:tc>
                        <w:tc>
                          <w:tcPr>
                            <w:tcW w:w="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t>5</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t>5</w:t>
                            </w:r>
                          </w:p>
                        </w:tc>
                        <w:tc>
                          <w:tcPr>
                            <w:tcW w:w="8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t>10</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t>20</w:t>
                            </w:r>
                          </w:p>
                        </w:tc>
                      </w:tr>
                      <w:tr>
                        <w:trPr>
                          <w:cantSplit w:val="true"/>
                        </w:trPr>
                        <w:tc>
                          <w:tcPr>
                            <w:tcW w:w="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pPr>
                            <w:r>
                              <w:rPr>
                                <w:rFonts w:eastAsia="MS Mincho" w:ascii="Times New Roman" w:hAnsi="Times New Roman"/>
                                <w:sz w:val="24"/>
                                <w:lang w:val="ru-RU"/>
                              </w:rPr>
                              <w:t>5.</w:t>
                            </w:r>
                          </w:p>
                        </w:tc>
                        <w:tc>
                          <w:tcPr>
                            <w:tcW w:w="3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pPr>
                            <w:r>
                              <w:rPr>
                                <w:rFonts w:eastAsia="MS Mincho" w:ascii="Times New Roman" w:hAnsi="Times New Roman"/>
                                <w:sz w:val="24"/>
                                <w:lang w:val="ru-RU"/>
                              </w:rPr>
                              <w:t>Оборудование</w:t>
                            </w:r>
                          </w:p>
                        </w:tc>
                        <w:tc>
                          <w:tcPr>
                            <w:tcW w:w="13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jc w:val="center"/>
                              <w:rPr/>
                            </w:pPr>
                            <w:r>
                              <w:rPr>
                                <w:rFonts w:eastAsia="MS Mincho" w:ascii="Times New Roman" w:hAnsi="Times New Roman"/>
                                <w:sz w:val="22"/>
                                <w:lang w:val="ru-RU"/>
                              </w:rPr>
                              <w:t>тыс. US$</w:t>
                            </w:r>
                          </w:p>
                        </w:tc>
                        <w:tc>
                          <w:tcPr>
                            <w:tcW w:w="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t>10</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t>10</w:t>
                            </w:r>
                          </w:p>
                        </w:tc>
                        <w:tc>
                          <w:tcPr>
                            <w:tcW w:w="8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t>15</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t>35</w:t>
                            </w:r>
                          </w:p>
                        </w:tc>
                      </w:tr>
                      <w:tr>
                        <w:trPr>
                          <w:cantSplit w:val="true"/>
                        </w:trPr>
                        <w:tc>
                          <w:tcPr>
                            <w:tcW w:w="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pPr>
                            <w:r>
                              <w:rPr>
                                <w:rFonts w:eastAsia="MS Mincho" w:ascii="Times New Roman" w:hAnsi="Times New Roman"/>
                                <w:sz w:val="24"/>
                                <w:lang w:val="ru-RU"/>
                              </w:rPr>
                              <w:t>6.</w:t>
                            </w:r>
                          </w:p>
                        </w:tc>
                        <w:tc>
                          <w:tcPr>
                            <w:tcW w:w="3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pPr>
                            <w:r>
                              <w:rPr>
                                <w:rFonts w:eastAsia="MS Mincho" w:ascii="Times New Roman" w:hAnsi="Times New Roman"/>
                                <w:sz w:val="24"/>
                                <w:lang w:val="ru-RU"/>
                              </w:rPr>
                              <w:t>Оплата НИР, выполняемых по договорам</w:t>
                            </w:r>
                          </w:p>
                        </w:tc>
                        <w:tc>
                          <w:tcPr>
                            <w:tcW w:w="13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jc w:val="center"/>
                              <w:rPr>
                                <w:rFonts w:ascii="Times New Roman" w:hAnsi="Times New Roman" w:eastAsia="MS Mincho"/>
                                <w:sz w:val="24"/>
                                <w:lang w:val="ru-RU"/>
                              </w:rPr>
                            </w:pPr>
                            <w:r>
                              <w:rPr>
                                <w:rFonts w:eastAsia="MS Mincho" w:ascii="Times New Roman" w:hAnsi="Times New Roman"/>
                                <w:sz w:val="24"/>
                                <w:lang w:val="ru-RU"/>
                              </w:rPr>
                            </w:r>
                          </w:p>
                        </w:tc>
                        <w:tc>
                          <w:tcPr>
                            <w:tcW w:w="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r>
                          </w:p>
                        </w:tc>
                        <w:tc>
                          <w:tcPr>
                            <w:tcW w:w="8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r>
                          </w:p>
                        </w:tc>
                      </w:tr>
                      <w:tr>
                        <w:trPr>
                          <w:cantSplit w:val="true"/>
                        </w:trPr>
                        <w:tc>
                          <w:tcPr>
                            <w:tcW w:w="46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pPr>
                            <w:r>
                              <w:rPr>
                                <w:rFonts w:eastAsia="MS Mincho" w:ascii="Times New Roman" w:hAnsi="Times New Roman"/>
                                <w:sz w:val="24"/>
                                <w:lang w:val="ru-RU"/>
                              </w:rPr>
                              <w:t>7.</w:t>
                            </w:r>
                          </w:p>
                        </w:tc>
                        <w:tc>
                          <w:tcPr>
                            <w:tcW w:w="3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pPr>
                            <w:r>
                              <w:rPr>
                                <w:rFonts w:eastAsia="MS Mincho" w:ascii="Times New Roman" w:hAnsi="Times New Roman"/>
                                <w:sz w:val="24"/>
                                <w:lang w:val="ru-RU"/>
                              </w:rPr>
                              <w:t>Командировочные расходы, в т.ч</w:t>
                            </w:r>
                          </w:p>
                        </w:tc>
                        <w:tc>
                          <w:tcPr>
                            <w:tcW w:w="13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jc w:val="center"/>
                              <w:rPr/>
                            </w:pPr>
                            <w:r>
                              <w:rPr>
                                <w:rFonts w:eastAsia="MS Mincho" w:ascii="Times New Roman" w:hAnsi="Times New Roman"/>
                                <w:sz w:val="22"/>
                                <w:lang w:val="ru-RU"/>
                              </w:rPr>
                              <w:t>тыс. US$</w:t>
                            </w:r>
                          </w:p>
                        </w:tc>
                        <w:tc>
                          <w:tcPr>
                            <w:tcW w:w="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rFonts w:eastAsia="MS Mincho"/>
                              </w:rPr>
                              <w:t>53</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rFonts w:eastAsia="MS Mincho"/>
                              </w:rPr>
                              <w:t>53</w:t>
                            </w:r>
                          </w:p>
                        </w:tc>
                        <w:tc>
                          <w:tcPr>
                            <w:tcW w:w="8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rFonts w:eastAsia="MS Mincho"/>
                              </w:rPr>
                              <w:t>114</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center"/>
                              <w:rPr/>
                            </w:pPr>
                            <w:r>
                              <w:rPr>
                                <w:rFonts w:eastAsia="MS Mincho"/>
                              </w:rPr>
                              <w:t>220</w:t>
                            </w:r>
                          </w:p>
                        </w:tc>
                      </w:tr>
                      <w:tr>
                        <w:trPr>
                          <w:cantSplit w:val="true"/>
                        </w:trPr>
                        <w:tc>
                          <w:tcPr>
                            <w:tcW w:w="46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rFonts w:ascii="Times New Roman" w:hAnsi="Times New Roman" w:eastAsia="MS Mincho"/>
                                <w:sz w:val="24"/>
                                <w:lang w:val="ru-RU"/>
                              </w:rPr>
                            </w:pPr>
                            <w:r>
                              <w:rPr>
                                <w:rFonts w:eastAsia="MS Mincho" w:ascii="Times New Roman" w:hAnsi="Times New Roman"/>
                                <w:sz w:val="24"/>
                                <w:lang w:val="ru-RU"/>
                              </w:rPr>
                            </w:r>
                          </w:p>
                        </w:tc>
                        <w:tc>
                          <w:tcPr>
                            <w:tcW w:w="3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pPr>
                            <w:r>
                              <w:rPr>
                                <w:rFonts w:eastAsia="MS Mincho" w:ascii="Times New Roman" w:hAnsi="Times New Roman"/>
                                <w:sz w:val="24"/>
                                <w:lang w:val="ru-RU"/>
                              </w:rPr>
                              <w:t>а) в страны нерублевой зоны</w:t>
                            </w:r>
                          </w:p>
                        </w:tc>
                        <w:tc>
                          <w:tcPr>
                            <w:tcW w:w="13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jc w:val="center"/>
                              <w:rPr/>
                            </w:pPr>
                            <w:r>
                              <w:rPr>
                                <w:rFonts w:eastAsia="MS Mincho" w:ascii="Times New Roman" w:hAnsi="Times New Roman"/>
                                <w:sz w:val="22"/>
                                <w:lang w:val="ru-RU"/>
                              </w:rPr>
                              <w:t>тыс. US$</w:t>
                            </w:r>
                          </w:p>
                        </w:tc>
                        <w:tc>
                          <w:tcPr>
                            <w:tcW w:w="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right"/>
                              <w:rPr/>
                            </w:pPr>
                            <w:r>
                              <w:rPr>
                                <w:rFonts w:eastAsia="MS Mincho"/>
                                <w:i/>
                              </w:rPr>
                              <w:t>50</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right"/>
                              <w:rPr/>
                            </w:pPr>
                            <w:r>
                              <w:rPr>
                                <w:rFonts w:eastAsia="MS Mincho"/>
                                <w:i/>
                              </w:rPr>
                              <w:t>50</w:t>
                            </w:r>
                          </w:p>
                        </w:tc>
                        <w:tc>
                          <w:tcPr>
                            <w:tcW w:w="8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right"/>
                              <w:rPr/>
                            </w:pPr>
                            <w:r>
                              <w:rPr>
                                <w:rFonts w:eastAsia="MS Mincho"/>
                                <w:i/>
                              </w:rPr>
                              <w:t>110</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right"/>
                              <w:rPr/>
                            </w:pPr>
                            <w:r>
                              <w:rPr>
                                <w:rFonts w:eastAsia="MS Mincho"/>
                                <w:i/>
                              </w:rPr>
                              <w:t>210</w:t>
                            </w:r>
                          </w:p>
                        </w:tc>
                      </w:tr>
                      <w:tr>
                        <w:trPr>
                          <w:cantSplit w:val="true"/>
                        </w:trPr>
                        <w:tc>
                          <w:tcPr>
                            <w:tcW w:w="46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rFonts w:ascii="Times New Roman" w:hAnsi="Times New Roman" w:eastAsia="MS Mincho"/>
                                <w:sz w:val="24"/>
                                <w:lang w:val="ru-RU"/>
                              </w:rPr>
                            </w:pPr>
                            <w:r>
                              <w:rPr>
                                <w:rFonts w:eastAsia="MS Mincho" w:ascii="Times New Roman" w:hAnsi="Times New Roman"/>
                                <w:sz w:val="24"/>
                                <w:lang w:val="ru-RU"/>
                              </w:rPr>
                            </w:r>
                          </w:p>
                        </w:tc>
                        <w:tc>
                          <w:tcPr>
                            <w:tcW w:w="3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pPr>
                            <w:r>
                              <w:rPr>
                                <w:rFonts w:eastAsia="MS Mincho" w:ascii="Times New Roman" w:hAnsi="Times New Roman"/>
                                <w:sz w:val="24"/>
                                <w:lang w:val="ru-RU"/>
                              </w:rPr>
                              <w:t>б) в города стран рублевой зоны</w:t>
                            </w:r>
                          </w:p>
                        </w:tc>
                        <w:tc>
                          <w:tcPr>
                            <w:tcW w:w="13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jc w:val="center"/>
                              <w:rPr/>
                            </w:pPr>
                            <w:r>
                              <w:rPr>
                                <w:rFonts w:eastAsia="MS Mincho" w:ascii="Times New Roman" w:hAnsi="Times New Roman"/>
                                <w:sz w:val="22"/>
                                <w:lang w:val="ru-RU"/>
                              </w:rPr>
                              <w:t>тыс. US$</w:t>
                            </w:r>
                          </w:p>
                        </w:tc>
                        <w:tc>
                          <w:tcPr>
                            <w:tcW w:w="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right"/>
                              <w:rPr/>
                            </w:pPr>
                            <w:r>
                              <w:rPr>
                                <w:rFonts w:eastAsia="MS Mincho"/>
                                <w:i/>
                              </w:rPr>
                              <w:t>3</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right"/>
                              <w:rPr/>
                            </w:pPr>
                            <w:r>
                              <w:rPr>
                                <w:rFonts w:eastAsia="MS Mincho"/>
                                <w:i/>
                              </w:rPr>
                              <w:t>3</w:t>
                            </w:r>
                          </w:p>
                        </w:tc>
                        <w:tc>
                          <w:tcPr>
                            <w:tcW w:w="8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right"/>
                              <w:rPr/>
                            </w:pPr>
                            <w:r>
                              <w:rPr>
                                <w:rFonts w:eastAsia="MS Mincho"/>
                                <w:i/>
                              </w:rPr>
                              <w:t>4</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right"/>
                              <w:rPr/>
                            </w:pPr>
                            <w:r>
                              <w:rPr>
                                <w:rFonts w:eastAsia="MS Mincho"/>
                                <w:i/>
                              </w:rPr>
                              <w:t>10</w:t>
                            </w:r>
                          </w:p>
                        </w:tc>
                      </w:tr>
                      <w:tr>
                        <w:trPr>
                          <w:cantSplit w:val="true"/>
                        </w:trPr>
                        <w:tc>
                          <w:tcPr>
                            <w:tcW w:w="46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rFonts w:ascii="Times New Roman" w:hAnsi="Times New Roman" w:eastAsia="MS Mincho"/>
                                <w:sz w:val="24"/>
                                <w:lang w:val="ru-RU"/>
                              </w:rPr>
                            </w:pPr>
                            <w:r>
                              <w:rPr>
                                <w:rFonts w:eastAsia="MS Mincho" w:ascii="Times New Roman" w:hAnsi="Times New Roman"/>
                                <w:sz w:val="24"/>
                                <w:lang w:val="ru-RU"/>
                              </w:rPr>
                            </w:r>
                          </w:p>
                        </w:tc>
                        <w:tc>
                          <w:tcPr>
                            <w:tcW w:w="3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pPr>
                            <w:r>
                              <w:rPr>
                                <w:rFonts w:eastAsia="MS Mincho" w:ascii="Times New Roman" w:hAnsi="Times New Roman"/>
                                <w:sz w:val="24"/>
                                <w:lang w:val="ru-RU"/>
                              </w:rPr>
                              <w:t>в) по протоколам</w:t>
                            </w:r>
                          </w:p>
                        </w:tc>
                        <w:tc>
                          <w:tcPr>
                            <w:tcW w:w="13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jc w:val="center"/>
                              <w:rPr>
                                <w:rFonts w:ascii="Times New Roman" w:hAnsi="Times New Roman" w:eastAsia="MS Mincho"/>
                                <w:sz w:val="24"/>
                                <w:lang w:val="ru-RU"/>
                              </w:rPr>
                            </w:pPr>
                            <w:r>
                              <w:rPr>
                                <w:rFonts w:eastAsia="MS Mincho" w:ascii="Times New Roman" w:hAnsi="Times New Roman"/>
                                <w:sz w:val="24"/>
                                <w:lang w:val="ru-RU"/>
                              </w:rPr>
                            </w:r>
                          </w:p>
                        </w:tc>
                        <w:tc>
                          <w:tcPr>
                            <w:tcW w:w="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right"/>
                              <w:rPr/>
                            </w:pPr>
                            <w:r>
                              <w:rP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right"/>
                              <w:rPr/>
                            </w:pPr>
                            <w:r>
                              <w:rPr/>
                            </w:r>
                          </w:p>
                        </w:tc>
                        <w:tc>
                          <w:tcPr>
                            <w:tcW w:w="8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right"/>
                              <w:rPr/>
                            </w:pPr>
                            <w:r>
                              <w:rPr/>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right"/>
                              <w:rPr/>
                            </w:pPr>
                            <w:r>
                              <w:rPr/>
                            </w:r>
                          </w:p>
                        </w:tc>
                      </w:tr>
                      <w:tr>
                        <w:trPr>
                          <w:cantSplit w:val="true"/>
                        </w:trPr>
                        <w:tc>
                          <w:tcPr>
                            <w:tcW w:w="46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rFonts w:ascii="Times New Roman" w:hAnsi="Times New Roman" w:eastAsia="MS Mincho"/>
                                <w:sz w:val="24"/>
                                <w:lang w:val="ru-RU"/>
                              </w:rPr>
                            </w:pPr>
                            <w:r>
                              <w:rPr>
                                <w:rFonts w:eastAsia="MS Mincho" w:ascii="Times New Roman" w:hAnsi="Times New Roman"/>
                                <w:sz w:val="24"/>
                                <w:lang w:val="ru-RU"/>
                              </w:rPr>
                            </w:r>
                          </w:p>
                        </w:tc>
                        <w:tc>
                          <w:tcPr>
                            <w:tcW w:w="3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rPr/>
                            </w:pPr>
                            <w:r>
                              <w:rPr>
                                <w:rFonts w:eastAsia="MS Mincho" w:ascii="Times New Roman" w:hAnsi="Times New Roman"/>
                                <w:b/>
                                <w:bCs/>
                                <w:sz w:val="24"/>
                                <w:lang w:val="ru-RU"/>
                              </w:rPr>
                              <w:t>Итого по прямым расходам:</w:t>
                            </w:r>
                          </w:p>
                        </w:tc>
                        <w:tc>
                          <w:tcPr>
                            <w:tcW w:w="13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PlainText"/>
                              <w:jc w:val="center"/>
                              <w:rPr/>
                            </w:pPr>
                            <w:r>
                              <w:rPr>
                                <w:rFonts w:eastAsia="MS Mincho" w:ascii="Times New Roman" w:hAnsi="Times New Roman"/>
                                <w:b/>
                                <w:bCs/>
                                <w:sz w:val="22"/>
                                <w:lang w:val="ru-RU"/>
                              </w:rPr>
                              <w:t>тыс. US$</w:t>
                            </w:r>
                          </w:p>
                        </w:tc>
                        <w:tc>
                          <w:tcPr>
                            <w:tcW w:w="5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right"/>
                              <w:rPr/>
                            </w:pPr>
                            <w:r>
                              <w:rPr>
                                <w:b/>
                              </w:rPr>
                              <w:t>103</w:t>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right"/>
                              <w:rPr/>
                            </w:pPr>
                            <w:r>
                              <w:rPr>
                                <w:b/>
                              </w:rPr>
                              <w:t>103</w:t>
                            </w:r>
                          </w:p>
                        </w:tc>
                        <w:tc>
                          <w:tcPr>
                            <w:tcW w:w="8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right"/>
                              <w:rPr/>
                            </w:pPr>
                            <w:r>
                              <w:rPr>
                                <w:b/>
                              </w:rPr>
                              <w:t>174</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3" w:type="dxa"/>
                            </w:tcMar>
                          </w:tcPr>
                          <w:p>
                            <w:pPr>
                              <w:pStyle w:val="FrameContents"/>
                              <w:jc w:val="right"/>
                              <w:rPr/>
                            </w:pPr>
                            <w:r>
                              <w:rPr>
                                <w:b/>
                              </w:rPr>
                              <w:t>380</w:t>
                            </w:r>
                          </w:p>
                        </w:tc>
                      </w:tr>
                    </w:tbl>
                    <w:p>
                      <w:pPr>
                        <w:pStyle w:val="Style24"/>
                        <w:rPr>
                          <w:color w:val="000000"/>
                        </w:rPr>
                      </w:pPr>
                      <w:r>
                        <w:rPr>
                          <w:color w:val="000000"/>
                        </w:rPr>
                      </w:r>
                    </w:p>
                  </w:txbxContent>
                </v:textbox>
              </v:rect>
            </w:pict>
          </mc:Fallback>
        </mc:AlternateContent>
      </w:r>
    </w:p>
    <w:p>
      <w:pPr>
        <w:pStyle w:val="WWPlainText"/>
        <w:rPr>
          <w:b/>
          <w:b/>
          <w:u w:val="single"/>
        </w:rPr>
      </w:pPr>
      <w:r>
        <w:rPr>
          <w:b/>
          <w:u w:val="single"/>
        </w:rPr>
      </w:r>
    </w:p>
    <w:p>
      <w:pPr>
        <w:pStyle w:val="WWPlainText"/>
        <w:rPr>
          <w:b/>
          <w:b/>
          <w:u w:val="single"/>
        </w:rPr>
      </w:pPr>
      <w:r>
        <w:rPr>
          <w:b/>
          <w:u w:val="single"/>
        </w:rPr>
      </w:r>
    </w:p>
    <w:p>
      <w:pPr>
        <w:pStyle w:val="WWPlainText"/>
        <w:rPr>
          <w:b/>
          <w:b/>
          <w:u w:val="single"/>
        </w:rPr>
      </w:pPr>
      <w:r>
        <w:rPr>
          <w:b/>
          <w:u w:val="single"/>
        </w:rPr>
      </w:r>
    </w:p>
    <w:p>
      <w:pPr>
        <w:pStyle w:val="WWPlainText"/>
        <w:rPr>
          <w:b/>
          <w:b/>
          <w:u w:val="single"/>
        </w:rPr>
      </w:pPr>
      <w:r>
        <w:rPr>
          <w:b/>
          <w:u w:val="single"/>
        </w:rPr>
      </w:r>
    </w:p>
    <w:p>
      <w:pPr>
        <w:pStyle w:val="WWPlainText"/>
        <w:rPr>
          <w:b/>
          <w:b/>
          <w:u w:val="single"/>
        </w:rPr>
      </w:pPr>
      <w:r>
        <w:rPr>
          <w:b/>
          <w:u w:val="single"/>
        </w:rPr>
      </w:r>
    </w:p>
    <w:p>
      <w:pPr>
        <w:pStyle w:val="WWPlainText"/>
        <w:rPr>
          <w:b/>
          <w:b/>
          <w:u w:val="single"/>
        </w:rPr>
      </w:pPr>
      <w:r>
        <w:rPr>
          <w:b/>
          <w:u w:val="single"/>
        </w:rPr>
      </w:r>
    </w:p>
    <w:p>
      <w:pPr>
        <w:pStyle w:val="WWPlainText"/>
        <w:rPr>
          <w:b/>
          <w:b/>
          <w:u w:val="single"/>
        </w:rPr>
      </w:pPr>
      <w:r>
        <w:rPr>
          <w:b/>
          <w:u w:val="single"/>
        </w:rPr>
      </w:r>
    </w:p>
    <w:p>
      <w:pPr>
        <w:pStyle w:val="WWPlainText"/>
        <w:rPr>
          <w:b/>
          <w:b/>
          <w:u w:val="single"/>
        </w:rPr>
      </w:pPr>
      <w:r>
        <w:rPr>
          <w:b/>
          <w:u w:val="single"/>
        </w:rPr>
      </w:r>
    </w:p>
    <w:p>
      <w:pPr>
        <w:pStyle w:val="WWPlainText"/>
        <w:rPr>
          <w:b/>
          <w:b/>
          <w:u w:val="single"/>
        </w:rPr>
      </w:pPr>
      <w:r>
        <w:rPr>
          <w:b/>
          <w:u w:val="single"/>
        </w:rPr>
      </w:r>
    </w:p>
    <w:p>
      <w:pPr>
        <w:pStyle w:val="WWPlainText"/>
        <w:rPr>
          <w:b/>
          <w:b/>
          <w:u w:val="single"/>
        </w:rPr>
      </w:pPr>
      <w:r>
        <w:rPr>
          <w:b/>
          <w:u w:val="single"/>
        </w:rPr>
      </w:r>
    </w:p>
    <w:p>
      <w:pPr>
        <w:pStyle w:val="WWPlainText"/>
        <w:rPr>
          <w:b/>
          <w:b/>
          <w:u w:val="single"/>
        </w:rPr>
      </w:pPr>
      <w:r>
        <w:rPr>
          <w:b/>
          <w:u w:val="single"/>
        </w:rPr>
      </w:r>
    </w:p>
    <w:p>
      <w:pPr>
        <w:pStyle w:val="WWPlainText"/>
        <w:rPr>
          <w:b/>
          <w:b/>
          <w:u w:val="single"/>
        </w:rPr>
      </w:pPr>
      <w:r>
        <w:rPr>
          <w:b/>
          <w:u w:val="single"/>
        </w:rPr>
      </w:r>
    </w:p>
    <w:p>
      <w:pPr>
        <w:pStyle w:val="WWPlainText"/>
        <w:rPr>
          <w:b/>
          <w:b/>
          <w:u w:val="single"/>
        </w:rPr>
      </w:pPr>
      <w:r>
        <w:rPr>
          <w:b/>
          <w:u w:val="single"/>
        </w:rPr>
      </w:r>
    </w:p>
    <w:p>
      <w:pPr>
        <w:pStyle w:val="WWPlainText"/>
        <w:rPr>
          <w:b/>
          <w:b/>
          <w:u w:val="single"/>
        </w:rPr>
      </w:pPr>
      <w:r>
        <w:rPr>
          <w:b/>
          <w:u w:val="single"/>
        </w:rPr>
      </w:r>
    </w:p>
    <w:p>
      <w:pPr>
        <w:pStyle w:val="WWPlainText"/>
        <w:rPr>
          <w:b/>
          <w:b/>
          <w:u w:val="single"/>
        </w:rPr>
      </w:pPr>
      <w:r>
        <w:rPr>
          <w:b/>
          <w:u w:val="single"/>
        </w:rPr>
      </w:r>
    </w:p>
    <w:p>
      <w:pPr>
        <w:pStyle w:val="WWPlainText"/>
        <w:rPr>
          <w:b/>
          <w:b/>
          <w:u w:val="single"/>
        </w:rPr>
      </w:pPr>
      <w:r>
        <w:rPr>
          <w:b/>
          <w:u w:val="single"/>
        </w:rPr>
      </w:r>
    </w:p>
    <w:p>
      <w:pPr>
        <w:pStyle w:val="14"/>
        <w:jc w:val="both"/>
        <w:rPr/>
      </w:pPr>
      <w:r>
        <w:rPr/>
      </w:r>
    </w:p>
    <w:p>
      <w:pPr>
        <w:pStyle w:val="14"/>
        <w:jc w:val="both"/>
        <w:rPr/>
      </w:pPr>
      <w:r>
        <w:rPr/>
      </w:r>
    </w:p>
    <w:p>
      <w:pPr>
        <w:pStyle w:val="14"/>
        <w:jc w:val="both"/>
        <w:rPr/>
      </w:pPr>
      <w:r>
        <w:rPr/>
      </w:r>
    </w:p>
    <w:p>
      <w:pPr>
        <w:pStyle w:val="14"/>
        <w:jc w:val="both"/>
        <w:rPr/>
      </w:pPr>
      <w:r>
        <w:rPr/>
      </w:r>
    </w:p>
    <w:p>
      <w:pPr>
        <w:pStyle w:val="14"/>
        <w:jc w:val="both"/>
        <w:rPr/>
      </w:pPr>
      <w:r>
        <w:rPr/>
      </w:r>
    </w:p>
    <w:p>
      <w:pPr>
        <w:pStyle w:val="PlainText"/>
        <w:ind w:firstLine="720"/>
        <w:rPr>
          <w:rFonts w:ascii="Times New Roman" w:hAnsi="Times New Roman" w:eastAsia="MS Mincho"/>
          <w:sz w:val="24"/>
          <w:lang w:val="ru-RU"/>
        </w:rPr>
      </w:pPr>
      <w:r>
        <w:rPr>
          <w:rFonts w:eastAsia="MS Mincho" w:ascii="Times New Roman" w:hAnsi="Times New Roman"/>
          <w:sz w:val="24"/>
          <w:lang w:val="ru-RU"/>
        </w:rPr>
        <w:t xml:space="preserve">Руководители проекта </w:t>
        <w:tab/>
        <w:tab/>
        <w:tab/>
        <w:tab/>
        <w:tab/>
        <w:tab/>
        <w:t>В.Д.Кекелидзе</w:t>
      </w:r>
    </w:p>
    <w:p>
      <w:pPr>
        <w:pStyle w:val="PlainText"/>
        <w:rPr>
          <w:rFonts w:ascii="Times New Roman" w:hAnsi="Times New Roman" w:eastAsia="MS Mincho"/>
          <w:sz w:val="24"/>
          <w:lang w:val="ru-RU"/>
        </w:rPr>
      </w:pPr>
      <w:r>
        <w:rPr>
          <w:rFonts w:eastAsia="MS Mincho" w:ascii="Times New Roman" w:hAnsi="Times New Roman"/>
          <w:sz w:val="24"/>
          <w:lang w:val="ru-RU"/>
        </w:rPr>
      </w:r>
    </w:p>
    <w:p>
      <w:pPr>
        <w:pStyle w:val="PlainText"/>
        <w:ind w:firstLine="720"/>
        <w:rPr>
          <w:rFonts w:ascii="Times New Roman" w:hAnsi="Times New Roman" w:eastAsia="MS Mincho"/>
          <w:sz w:val="24"/>
          <w:lang w:val="ru-RU"/>
        </w:rPr>
      </w:pPr>
      <w:r>
        <w:rPr>
          <w:rFonts w:eastAsia="MS Mincho" w:ascii="Times New Roman" w:hAnsi="Times New Roman"/>
          <w:sz w:val="24"/>
          <w:lang w:val="ru-RU"/>
        </w:rPr>
        <w:tab/>
        <w:tab/>
        <w:tab/>
        <w:tab/>
        <w:tab/>
        <w:tab/>
        <w:tab/>
        <w:tab/>
        <w:tab/>
        <w:t>Ю.К.Потребеников</w:t>
      </w:r>
    </w:p>
    <w:p>
      <w:pPr>
        <w:pStyle w:val="PlainText"/>
        <w:rPr>
          <w:rFonts w:ascii="Times New Roman" w:hAnsi="Times New Roman" w:eastAsia="MS Mincho"/>
          <w:sz w:val="24"/>
          <w:lang w:val="ru-RU"/>
        </w:rPr>
      </w:pPr>
      <w:r>
        <w:rPr>
          <w:rFonts w:eastAsia="MS Mincho" w:ascii="Times New Roman" w:hAnsi="Times New Roman"/>
          <w:sz w:val="24"/>
          <w:lang w:val="ru-RU"/>
        </w:rPr>
      </w:r>
    </w:p>
    <w:p>
      <w:pPr>
        <w:pStyle w:val="14"/>
        <w:jc w:val="both"/>
        <w:rPr/>
      </w:pPr>
      <w:r>
        <w:rPr/>
      </w:r>
      <w:r>
        <w:br w:type="page"/>
      </w:r>
    </w:p>
    <w:p>
      <w:pPr>
        <w:pStyle w:val="14"/>
        <w:jc w:val="both"/>
        <w:rPr/>
      </w:pPr>
      <w:r>
        <w:rPr/>
      </w:r>
    </w:p>
    <w:p>
      <w:pPr>
        <w:pStyle w:val="14"/>
        <w:jc w:val="both"/>
        <w:rPr/>
      </w:pPr>
      <w:r>
        <w:rPr/>
      </w:r>
    </w:p>
    <w:p>
      <w:pPr>
        <w:pStyle w:val="WWPlainText"/>
        <w:ind w:firstLine="720"/>
        <w:jc w:val="center"/>
        <w:rPr>
          <w:rFonts w:eastAsia="MS Mincho"/>
          <w:b/>
          <w:b/>
          <w:u w:val="single"/>
        </w:rPr>
      </w:pPr>
      <w:r>
        <w:rPr>
          <w:b/>
          <w:u w:val="single"/>
        </w:rPr>
        <w:t>Расписание</w:t>
      </w:r>
    </w:p>
    <w:p>
      <w:pPr>
        <w:pStyle w:val="14"/>
        <w:ind w:firstLine="720"/>
        <w:rPr>
          <w:rFonts w:eastAsia="MS Mincho"/>
          <w:b/>
          <w:b/>
          <w:u w:val="single"/>
          <w:lang w:val="en-US"/>
        </w:rPr>
      </w:pPr>
      <w:r>
        <w:rPr>
          <w:rFonts w:eastAsia="MS Mincho"/>
          <w:b/>
          <w:u w:val="single"/>
          <w:lang w:val="en-US"/>
        </w:rPr>
      </w:r>
    </w:p>
    <w:p>
      <w:pPr>
        <w:pStyle w:val="14"/>
        <w:jc w:val="center"/>
        <w:rPr>
          <w:rFonts w:eastAsia="MS Mincho"/>
          <w:b/>
          <w:b/>
          <w:bCs/>
          <w:u w:val="single"/>
          <w:lang w:val="en-US"/>
        </w:rPr>
      </w:pPr>
      <w:r>
        <w:rPr>
          <w:rFonts w:eastAsia="MS Mincho"/>
          <w:b/>
          <w:bCs/>
          <w:u w:val="single"/>
          <w:lang w:val="en-US"/>
        </w:rPr>
      </w:r>
    </w:p>
    <w:tbl>
      <w:tblPr>
        <w:tblW w:w="9477" w:type="dxa"/>
        <w:jc w:val="left"/>
        <w:tblInd w:w="71" w:type="dxa"/>
        <w:tblBorders>
          <w:top w:val="single" w:sz="6" w:space="0" w:color="000001"/>
          <w:left w:val="single" w:sz="6" w:space="0" w:color="000001"/>
          <w:bottom w:val="single" w:sz="6" w:space="0" w:color="000001"/>
          <w:insideH w:val="single" w:sz="6" w:space="0" w:color="000001"/>
        </w:tblBorders>
        <w:tblCellMar>
          <w:top w:w="0" w:type="dxa"/>
          <w:left w:w="-7" w:type="dxa"/>
          <w:bottom w:w="0" w:type="dxa"/>
          <w:right w:w="30" w:type="dxa"/>
        </w:tblCellMar>
        <w:tblLook w:val="0000" w:noVBand="0" w:noHBand="0" w:lastColumn="0" w:firstColumn="0" w:lastRow="0" w:firstRow="0"/>
      </w:tblPr>
      <w:tblGrid>
        <w:gridCol w:w="425"/>
        <w:gridCol w:w="3831"/>
        <w:gridCol w:w="425"/>
        <w:gridCol w:w="426"/>
        <w:gridCol w:w="425"/>
        <w:gridCol w:w="426"/>
        <w:gridCol w:w="6"/>
        <w:gridCol w:w="426"/>
        <w:gridCol w:w="425"/>
        <w:gridCol w:w="426"/>
        <w:gridCol w:w="418"/>
        <w:gridCol w:w="10"/>
        <w:gridCol w:w="426"/>
        <w:gridCol w:w="425"/>
        <w:gridCol w:w="426"/>
        <w:gridCol w:w="530"/>
      </w:tblGrid>
      <w:tr>
        <w:trPr>
          <w:trHeight w:val="240" w:hRule="atLeast"/>
        </w:trPr>
        <w:tc>
          <w:tcPr>
            <w:tcW w:w="425"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right"/>
              <w:rPr>
                <w:rFonts w:ascii="Arial" w:hAnsi="Arial" w:cs="Arial"/>
                <w:color w:val="000000"/>
              </w:rPr>
            </w:pPr>
            <w:r>
              <w:rPr>
                <w:rFonts w:cs="Arial" w:ascii="Arial" w:hAnsi="Arial"/>
                <w:color w:val="000000"/>
              </w:rPr>
            </w:r>
          </w:p>
        </w:tc>
        <w:tc>
          <w:tcPr>
            <w:tcW w:w="3831"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right"/>
              <w:rPr>
                <w:rFonts w:ascii="Arial" w:hAnsi="Arial" w:cs="Arial"/>
                <w:color w:val="000000"/>
              </w:rPr>
            </w:pPr>
            <w:r>
              <w:rPr>
                <w:rFonts w:cs="Arial" w:ascii="Arial" w:hAnsi="Arial"/>
                <w:color w:val="000000"/>
              </w:rPr>
            </w:r>
          </w:p>
        </w:tc>
        <w:tc>
          <w:tcPr>
            <w:tcW w:w="5220" w:type="dxa"/>
            <w:gridSpan w:val="14"/>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7" w:type="dxa"/>
            </w:tcMar>
          </w:tcPr>
          <w:p>
            <w:pPr>
              <w:pStyle w:val="Normal"/>
              <w:widowControl w:val="false"/>
              <w:jc w:val="center"/>
              <w:rPr/>
            </w:pPr>
            <w:r>
              <w:rPr>
                <w:rFonts w:ascii="Arial" w:hAnsi="Arial"/>
                <w:color w:val="000000"/>
              </w:rPr>
              <w:t>Год, квартал</w:t>
            </w:r>
          </w:p>
        </w:tc>
      </w:tr>
      <w:tr>
        <w:trPr>
          <w:trHeight w:val="240" w:hRule="atLeast"/>
        </w:trPr>
        <w:tc>
          <w:tcPr>
            <w:tcW w:w="425" w:type="dxa"/>
            <w:tcBorders>
              <w:top w:val="single" w:sz="6" w:space="0" w:color="000001"/>
              <w:left w:val="single" w:sz="6" w:space="0" w:color="000001"/>
              <w:bottom w:val="single" w:sz="2" w:space="0" w:color="000001"/>
              <w:insideH w:val="single" w:sz="2" w:space="0" w:color="000001"/>
            </w:tcBorders>
            <w:shd w:color="auto" w:fill="auto" w:val="clear"/>
            <w:tcMar>
              <w:left w:w="-7" w:type="dxa"/>
            </w:tcMar>
          </w:tcPr>
          <w:p>
            <w:pPr>
              <w:pStyle w:val="Normal"/>
              <w:widowControl w:val="false"/>
              <w:jc w:val="center"/>
              <w:rPr/>
            </w:pPr>
            <w:r>
              <w:rPr>
                <w:rFonts w:cs="Arial" w:ascii="Arial" w:hAnsi="Arial"/>
                <w:b/>
                <w:color w:val="000000"/>
              </w:rPr>
              <w:t>№</w:t>
            </w:r>
          </w:p>
        </w:tc>
        <w:tc>
          <w:tcPr>
            <w:tcW w:w="3831" w:type="dxa"/>
            <w:tcBorders>
              <w:top w:val="single" w:sz="6" w:space="0" w:color="000001"/>
              <w:left w:val="single" w:sz="6" w:space="0" w:color="000001"/>
              <w:bottom w:val="single" w:sz="2" w:space="0" w:color="000001"/>
              <w:insideH w:val="single" w:sz="2" w:space="0" w:color="000001"/>
            </w:tcBorders>
            <w:shd w:color="auto" w:fill="auto" w:val="clear"/>
            <w:tcMar>
              <w:left w:w="-7" w:type="dxa"/>
            </w:tcMar>
          </w:tcPr>
          <w:p>
            <w:pPr>
              <w:pStyle w:val="Normal"/>
              <w:widowControl w:val="false"/>
              <w:jc w:val="center"/>
              <w:rPr>
                <w:rFonts w:ascii="Arial" w:hAnsi="Arial"/>
                <w:b/>
                <w:b/>
                <w:color w:val="000000"/>
              </w:rPr>
            </w:pPr>
            <w:r>
              <w:rPr>
                <w:rFonts w:ascii="Arial" w:hAnsi="Arial"/>
                <w:b/>
                <w:color w:val="000000"/>
              </w:rPr>
              <w:t>Пункт плана</w:t>
            </w:r>
          </w:p>
        </w:tc>
        <w:tc>
          <w:tcPr>
            <w:tcW w:w="1702" w:type="dxa"/>
            <w:gridSpan w:val="4"/>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ind w:left="0" w:firstLine="319"/>
              <w:jc w:val="center"/>
              <w:rPr/>
            </w:pPr>
            <w:r>
              <w:rPr>
                <w:rFonts w:cs="Arial" w:ascii="Arial" w:hAnsi="Arial"/>
                <w:b/>
                <w:color w:val="000000"/>
              </w:rPr>
              <w:t>2019</w:t>
            </w:r>
          </w:p>
        </w:tc>
        <w:tc>
          <w:tcPr>
            <w:tcW w:w="1701" w:type="dxa"/>
            <w:gridSpan w:val="5"/>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jc w:val="center"/>
              <w:rPr/>
            </w:pPr>
            <w:r>
              <w:rPr>
                <w:rFonts w:cs="Arial" w:ascii="Arial" w:hAnsi="Arial"/>
                <w:b/>
                <w:color w:val="000000"/>
              </w:rPr>
              <w:t>2020</w:t>
            </w:r>
          </w:p>
        </w:tc>
        <w:tc>
          <w:tcPr>
            <w:tcW w:w="1817" w:type="dxa"/>
            <w:gridSpan w:val="5"/>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7" w:type="dxa"/>
            </w:tcMar>
          </w:tcPr>
          <w:p>
            <w:pPr>
              <w:pStyle w:val="Normal"/>
              <w:widowControl w:val="false"/>
              <w:jc w:val="center"/>
              <w:rPr/>
            </w:pPr>
            <w:r>
              <w:rPr>
                <w:rFonts w:cs="Arial" w:ascii="Arial" w:hAnsi="Arial"/>
                <w:b/>
                <w:color w:val="000000"/>
              </w:rPr>
              <w:t>2021</w:t>
            </w:r>
          </w:p>
        </w:tc>
      </w:tr>
      <w:tr>
        <w:trPr>
          <w:trHeight w:val="240" w:hRule="atLeast"/>
        </w:trPr>
        <w:tc>
          <w:tcPr>
            <w:tcW w:w="425" w:type="dxa"/>
            <w:tcBorders>
              <w:top w:val="single" w:sz="2"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right"/>
              <w:rPr>
                <w:rFonts w:ascii="Arial" w:hAnsi="Arial" w:cs="Arial"/>
                <w:b/>
                <w:b/>
                <w:color w:val="000000"/>
              </w:rPr>
            </w:pPr>
            <w:r>
              <w:rPr>
                <w:rFonts w:cs="Arial" w:ascii="Arial" w:hAnsi="Arial"/>
                <w:b/>
                <w:color w:val="000000"/>
              </w:rPr>
            </w:r>
          </w:p>
        </w:tc>
        <w:tc>
          <w:tcPr>
            <w:tcW w:w="3831" w:type="dxa"/>
            <w:tcBorders>
              <w:top w:val="single" w:sz="2"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jc w:val="right"/>
              <w:rPr>
                <w:rFonts w:ascii="Arial" w:hAnsi="Arial"/>
                <w:color w:val="000000"/>
              </w:rPr>
            </w:pPr>
            <w:r>
              <w:rPr>
                <w:rFonts w:ascii="Arial" w:hAnsi="Arial"/>
                <w:color w:val="000000"/>
              </w:rPr>
            </w:r>
          </w:p>
        </w:tc>
        <w:tc>
          <w:tcPr>
            <w:tcW w:w="425"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jc w:val="center"/>
              <w:rPr/>
            </w:pPr>
            <w:r>
              <w:rPr>
                <w:rFonts w:cs="Arial" w:ascii="Arial" w:hAnsi="Arial"/>
                <w:b/>
                <w:color w:val="000000"/>
              </w:rPr>
              <w:t>I</w:t>
            </w:r>
          </w:p>
        </w:tc>
        <w:tc>
          <w:tcPr>
            <w:tcW w:w="426"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jc w:val="center"/>
              <w:rPr/>
            </w:pPr>
            <w:r>
              <w:rPr>
                <w:rFonts w:cs="Arial" w:ascii="Arial" w:hAnsi="Arial"/>
                <w:b/>
                <w:color w:val="000000"/>
              </w:rPr>
              <w:t>II</w:t>
            </w:r>
          </w:p>
        </w:tc>
        <w:tc>
          <w:tcPr>
            <w:tcW w:w="425"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jc w:val="center"/>
              <w:rPr/>
            </w:pPr>
            <w:r>
              <w:rPr>
                <w:rFonts w:cs="Arial" w:ascii="Arial" w:hAnsi="Arial"/>
                <w:b/>
                <w:color w:val="000000"/>
              </w:rPr>
              <w:t>III</w:t>
            </w:r>
          </w:p>
        </w:tc>
        <w:tc>
          <w:tcPr>
            <w:tcW w:w="432" w:type="dxa"/>
            <w:gridSpan w:val="2"/>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jc w:val="center"/>
              <w:rPr/>
            </w:pPr>
            <w:r>
              <w:rPr>
                <w:rFonts w:cs="Arial" w:ascii="Arial" w:hAnsi="Arial"/>
                <w:b/>
                <w:color w:val="000000"/>
              </w:rPr>
              <w:t>IV</w:t>
            </w:r>
          </w:p>
        </w:tc>
        <w:tc>
          <w:tcPr>
            <w:tcW w:w="426"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jc w:val="center"/>
              <w:rPr/>
            </w:pPr>
            <w:r>
              <w:rPr>
                <w:rFonts w:cs="Arial" w:ascii="Arial" w:hAnsi="Arial"/>
                <w:b/>
                <w:color w:val="000000"/>
              </w:rPr>
              <w:t>I</w:t>
            </w:r>
          </w:p>
        </w:tc>
        <w:tc>
          <w:tcPr>
            <w:tcW w:w="425"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jc w:val="center"/>
              <w:rPr/>
            </w:pPr>
            <w:r>
              <w:rPr>
                <w:rFonts w:cs="Arial" w:ascii="Arial" w:hAnsi="Arial"/>
                <w:b/>
                <w:color w:val="000000"/>
              </w:rPr>
              <w:t>II</w:t>
            </w:r>
          </w:p>
        </w:tc>
        <w:tc>
          <w:tcPr>
            <w:tcW w:w="426"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jc w:val="center"/>
              <w:rPr/>
            </w:pPr>
            <w:r>
              <w:rPr>
                <w:rFonts w:cs="Arial" w:ascii="Arial" w:hAnsi="Arial"/>
                <w:b/>
                <w:color w:val="000000"/>
              </w:rPr>
              <w:t>III</w:t>
            </w:r>
          </w:p>
        </w:tc>
        <w:tc>
          <w:tcPr>
            <w:tcW w:w="428" w:type="dxa"/>
            <w:gridSpan w:val="2"/>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jc w:val="center"/>
              <w:rPr/>
            </w:pPr>
            <w:r>
              <w:rPr>
                <w:rFonts w:cs="Arial" w:ascii="Arial" w:hAnsi="Arial"/>
                <w:b/>
                <w:color w:val="000000"/>
              </w:rPr>
              <w:t>IV</w:t>
            </w:r>
          </w:p>
        </w:tc>
        <w:tc>
          <w:tcPr>
            <w:tcW w:w="426"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jc w:val="center"/>
              <w:rPr/>
            </w:pPr>
            <w:r>
              <w:rPr>
                <w:rFonts w:cs="Arial" w:ascii="Arial" w:hAnsi="Arial"/>
                <w:b/>
                <w:color w:val="000000"/>
              </w:rPr>
              <w:t>I</w:t>
            </w:r>
          </w:p>
        </w:tc>
        <w:tc>
          <w:tcPr>
            <w:tcW w:w="425"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jc w:val="center"/>
              <w:rPr/>
            </w:pPr>
            <w:r>
              <w:rPr>
                <w:rFonts w:cs="Arial" w:ascii="Arial" w:hAnsi="Arial"/>
                <w:b/>
                <w:color w:val="000000"/>
              </w:rPr>
              <w:t>II</w:t>
            </w:r>
          </w:p>
        </w:tc>
        <w:tc>
          <w:tcPr>
            <w:tcW w:w="426"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jc w:val="center"/>
              <w:rPr/>
            </w:pPr>
            <w:r>
              <w:rPr>
                <w:rFonts w:cs="Arial" w:ascii="Arial" w:hAnsi="Arial"/>
                <w:b/>
                <w:color w:val="000000"/>
              </w:rPr>
              <w:t>III</w:t>
            </w:r>
          </w:p>
        </w:tc>
        <w:tc>
          <w:tcPr>
            <w:tcW w:w="53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7" w:type="dxa"/>
            </w:tcMar>
          </w:tcPr>
          <w:p>
            <w:pPr>
              <w:pStyle w:val="Normal"/>
              <w:widowControl w:val="false"/>
              <w:jc w:val="center"/>
              <w:rPr/>
            </w:pPr>
            <w:r>
              <w:rPr>
                <w:rFonts w:cs="Arial" w:ascii="Arial" w:hAnsi="Arial"/>
                <w:b/>
                <w:color w:val="000000"/>
              </w:rPr>
              <w:t>IV</w:t>
            </w:r>
          </w:p>
        </w:tc>
      </w:tr>
      <w:tr>
        <w:trPr>
          <w:trHeight w:val="240" w:hRule="atLeast"/>
        </w:trPr>
        <w:tc>
          <w:tcPr>
            <w:tcW w:w="425" w:type="dxa"/>
            <w:tcBorders>
              <w:top w:val="single" w:sz="2"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jc w:val="center"/>
              <w:rPr/>
            </w:pPr>
            <w:r>
              <w:rPr>
                <w:rFonts w:cs="Arial" w:ascii="Arial" w:hAnsi="Arial"/>
                <w:color w:val="000000"/>
              </w:rPr>
              <w:t>1</w:t>
            </w:r>
          </w:p>
        </w:tc>
        <w:tc>
          <w:tcPr>
            <w:tcW w:w="3831" w:type="dxa"/>
            <w:tcBorders>
              <w:top w:val="single" w:sz="2"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rPr>
                <w:rFonts w:ascii="Arial" w:hAnsi="Arial"/>
                <w:color w:val="000000"/>
              </w:rPr>
            </w:pPr>
            <w:r>
              <w:rPr>
                <w:rFonts w:ascii="Arial" w:hAnsi="Arial"/>
                <w:color w:val="000000"/>
              </w:rPr>
              <w:t>Калибровка строу-детектора</w:t>
            </w:r>
          </w:p>
        </w:tc>
        <w:tc>
          <w:tcPr>
            <w:tcW w:w="425"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center"/>
              <w:rPr>
                <w:rFonts w:ascii="Arial" w:hAnsi="Arial" w:cs="Arial"/>
                <w:b/>
                <w:b/>
                <w:color w:val="000000"/>
                <w:lang w:val="en-US"/>
              </w:rPr>
            </w:pPr>
            <w:r>
              <w:rPr>
                <w:rFonts w:cs="Arial" w:ascii="Arial" w:hAnsi="Arial"/>
                <w:b/>
                <w:color w:val="000000"/>
                <w:lang w:val="en-US"/>
              </w:rPr>
            </w:r>
          </w:p>
        </w:tc>
        <w:tc>
          <w:tcPr>
            <w:tcW w:w="426"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center"/>
              <w:rPr>
                <w:rFonts w:ascii="Arial" w:hAnsi="Arial" w:cs="Arial"/>
                <w:b/>
                <w:b/>
                <w:color w:val="000000"/>
                <w:lang w:val="en-US"/>
              </w:rPr>
            </w:pPr>
            <w:r>
              <w:rPr>
                <w:rFonts w:cs="Arial" w:ascii="Arial" w:hAnsi="Arial"/>
                <w:b/>
                <w:color w:val="000000"/>
                <w:lang w:val="en-US"/>
              </w:rPr>
            </w:r>
          </w:p>
        </w:tc>
        <w:tc>
          <w:tcPr>
            <w:tcW w:w="425"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center"/>
              <w:rPr>
                <w:rFonts w:ascii="Arial" w:hAnsi="Arial" w:cs="Arial"/>
                <w:b/>
                <w:b/>
                <w:color w:val="000000"/>
                <w:lang w:val="en-US"/>
              </w:rPr>
            </w:pPr>
            <w:r>
              <w:rPr>
                <w:rFonts w:cs="Arial" w:ascii="Arial" w:hAnsi="Arial"/>
                <w:b/>
                <w:color w:val="000000"/>
                <w:lang w:val="en-US"/>
              </w:rPr>
            </w:r>
          </w:p>
        </w:tc>
        <w:tc>
          <w:tcPr>
            <w:tcW w:w="432" w:type="dxa"/>
            <w:gridSpan w:val="2"/>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center"/>
              <w:rPr>
                <w:rFonts w:ascii="Arial" w:hAnsi="Arial" w:cs="Arial"/>
                <w:b/>
                <w:b/>
                <w:color w:val="000000"/>
                <w:lang w:val="en-US"/>
              </w:rPr>
            </w:pPr>
            <w:r>
              <w:rPr>
                <w:rFonts w:cs="Arial" w:ascii="Arial" w:hAnsi="Arial"/>
                <w:b/>
                <w:color w:val="000000"/>
                <w:lang w:val="en-US"/>
              </w:rPr>
            </w:r>
          </w:p>
        </w:tc>
        <w:tc>
          <w:tcPr>
            <w:tcW w:w="426"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center"/>
              <w:rPr>
                <w:rFonts w:ascii="Arial" w:hAnsi="Arial" w:cs="Arial"/>
                <w:b/>
                <w:b/>
                <w:color w:val="000000"/>
                <w:lang w:val="en-US"/>
              </w:rPr>
            </w:pPr>
            <w:r>
              <w:rPr>
                <w:rFonts w:cs="Arial" w:ascii="Arial" w:hAnsi="Arial"/>
                <w:b/>
                <w:color w:val="000000"/>
                <w:lang w:val="en-US"/>
              </w:rPr>
            </w:r>
          </w:p>
        </w:tc>
        <w:tc>
          <w:tcPr>
            <w:tcW w:w="425"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center"/>
              <w:rPr>
                <w:rFonts w:ascii="Arial" w:hAnsi="Arial" w:cs="Arial"/>
                <w:b/>
                <w:b/>
                <w:color w:val="000000"/>
                <w:lang w:val="en-US"/>
              </w:rPr>
            </w:pPr>
            <w:r>
              <w:rPr>
                <w:rFonts w:cs="Arial" w:ascii="Arial" w:hAnsi="Arial"/>
                <w:b/>
                <w:color w:val="000000"/>
                <w:lang w:val="en-US"/>
              </w:rPr>
            </w:r>
          </w:p>
        </w:tc>
        <w:tc>
          <w:tcPr>
            <w:tcW w:w="426"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center"/>
              <w:rPr>
                <w:rFonts w:ascii="Arial" w:hAnsi="Arial" w:cs="Arial"/>
                <w:b/>
                <w:b/>
                <w:color w:val="000000"/>
                <w:lang w:val="en-US"/>
              </w:rPr>
            </w:pPr>
            <w:r>
              <w:rPr>
                <w:rFonts w:cs="Arial" w:ascii="Arial" w:hAnsi="Arial"/>
                <w:b/>
                <w:color w:val="000000"/>
                <w:lang w:val="en-US"/>
              </w:rPr>
            </w:r>
          </w:p>
        </w:tc>
        <w:tc>
          <w:tcPr>
            <w:tcW w:w="428" w:type="dxa"/>
            <w:gridSpan w:val="2"/>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center"/>
              <w:rPr>
                <w:rFonts w:ascii="Arial" w:hAnsi="Arial" w:cs="Arial"/>
                <w:b/>
                <w:b/>
                <w:color w:val="000000"/>
                <w:lang w:val="en-US"/>
              </w:rPr>
            </w:pPr>
            <w:r>
              <w:rPr>
                <w:rFonts w:cs="Arial" w:ascii="Arial" w:hAnsi="Arial"/>
                <w:b/>
                <w:color w:val="000000"/>
                <w:lang w:val="en-US"/>
              </w:rPr>
            </w:r>
          </w:p>
        </w:tc>
        <w:tc>
          <w:tcPr>
            <w:tcW w:w="426"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center"/>
              <w:rPr>
                <w:rFonts w:ascii="Arial" w:hAnsi="Arial" w:cs="Arial"/>
                <w:b/>
                <w:b/>
                <w:color w:val="000000"/>
                <w:lang w:val="en-US"/>
              </w:rPr>
            </w:pPr>
            <w:r>
              <w:rPr>
                <w:rFonts w:cs="Arial" w:ascii="Arial" w:hAnsi="Arial"/>
                <w:b/>
                <w:color w:val="000000"/>
                <w:lang w:val="en-US"/>
              </w:rPr>
            </w:r>
          </w:p>
        </w:tc>
        <w:tc>
          <w:tcPr>
            <w:tcW w:w="425"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center"/>
              <w:rPr>
                <w:rFonts w:ascii="Arial" w:hAnsi="Arial" w:cs="Arial"/>
                <w:b/>
                <w:b/>
                <w:color w:val="000000"/>
                <w:lang w:val="en-US"/>
              </w:rPr>
            </w:pPr>
            <w:r>
              <w:rPr>
                <w:rFonts w:cs="Arial" w:ascii="Arial" w:hAnsi="Arial"/>
                <w:b/>
                <w:color w:val="000000"/>
                <w:lang w:val="en-US"/>
              </w:rPr>
            </w:r>
          </w:p>
        </w:tc>
        <w:tc>
          <w:tcPr>
            <w:tcW w:w="426"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center"/>
              <w:rPr>
                <w:rFonts w:ascii="Arial" w:hAnsi="Arial" w:cs="Arial"/>
                <w:b/>
                <w:b/>
                <w:color w:val="000000"/>
                <w:lang w:val="en-US"/>
              </w:rPr>
            </w:pPr>
            <w:r>
              <w:rPr>
                <w:rFonts w:cs="Arial" w:ascii="Arial" w:hAnsi="Arial"/>
                <w:b/>
                <w:color w:val="000000"/>
                <w:lang w:val="en-US"/>
              </w:rPr>
            </w:r>
          </w:p>
        </w:tc>
        <w:tc>
          <w:tcPr>
            <w:tcW w:w="53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auto" w:val="clear"/>
            <w:tcMar>
              <w:left w:w="-7" w:type="dxa"/>
            </w:tcMar>
          </w:tcPr>
          <w:p>
            <w:pPr>
              <w:pStyle w:val="Normal"/>
              <w:widowControl w:val="false"/>
              <w:snapToGrid w:val="false"/>
              <w:jc w:val="center"/>
              <w:rPr>
                <w:rFonts w:ascii="Arial" w:hAnsi="Arial" w:cs="Arial"/>
                <w:b/>
                <w:b/>
                <w:color w:val="000000"/>
                <w:lang w:val="en-US"/>
              </w:rPr>
            </w:pPr>
            <w:r>
              <w:rPr>
                <w:rFonts w:cs="Arial" w:ascii="Arial" w:hAnsi="Arial"/>
                <w:b/>
                <w:color w:val="000000"/>
                <w:lang w:val="en-US"/>
              </w:rPr>
            </w:r>
          </w:p>
        </w:tc>
      </w:tr>
      <w:tr>
        <w:trPr>
          <w:trHeight w:val="240" w:hRule="atLeast"/>
        </w:trPr>
        <w:tc>
          <w:tcPr>
            <w:tcW w:w="425"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jc w:val="center"/>
              <w:rPr/>
            </w:pPr>
            <w:r>
              <w:rPr>
                <w:rFonts w:cs="Arial" w:ascii="Arial" w:hAnsi="Arial"/>
                <w:color w:val="000000"/>
              </w:rPr>
              <w:t>2</w:t>
            </w:r>
          </w:p>
        </w:tc>
        <w:tc>
          <w:tcPr>
            <w:tcW w:w="3831"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rPr>
                <w:rFonts w:ascii="Arial" w:hAnsi="Arial"/>
                <w:color w:val="000000"/>
              </w:rPr>
            </w:pPr>
            <w:r>
              <w:rPr>
                <w:rFonts w:ascii="Arial" w:hAnsi="Arial"/>
                <w:color w:val="000000"/>
              </w:rPr>
              <w:t>Набор данных</w:t>
            </w:r>
          </w:p>
        </w:tc>
        <w:tc>
          <w:tcPr>
            <w:tcW w:w="425"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26"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25"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32" w:type="dxa"/>
            <w:gridSpan w:val="2"/>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26"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25"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26"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28" w:type="dxa"/>
            <w:gridSpan w:val="2"/>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26"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rPr>
            </w:pPr>
            <w:r>
              <w:rPr>
                <w:rFonts w:cs="Arial" w:ascii="Arial" w:hAnsi="Arial"/>
                <w:color w:val="000000"/>
              </w:rPr>
            </w:r>
          </w:p>
        </w:tc>
        <w:tc>
          <w:tcPr>
            <w:tcW w:w="425"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426"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c>
          <w:tcPr>
            <w:tcW w:w="53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CCCCCC" w:val="clear"/>
            <w:tcMar>
              <w:left w:w="-7" w:type="dxa"/>
            </w:tcMar>
          </w:tcPr>
          <w:p>
            <w:pPr>
              <w:pStyle w:val="Normal"/>
              <w:widowControl w:val="false"/>
              <w:snapToGrid w:val="false"/>
              <w:jc w:val="right"/>
              <w:rPr>
                <w:rFonts w:ascii="Arial" w:hAnsi="Arial" w:cs="Arial"/>
                <w:color w:val="000000"/>
                <w:lang w:val="en-US"/>
              </w:rPr>
            </w:pPr>
            <w:r>
              <w:rPr>
                <w:rFonts w:cs="Arial" w:ascii="Arial" w:hAnsi="Arial"/>
                <w:color w:val="000000"/>
                <w:lang w:val="en-US"/>
              </w:rPr>
            </w:r>
          </w:p>
        </w:tc>
      </w:tr>
      <w:tr>
        <w:trPr>
          <w:trHeight w:val="240" w:hRule="atLeast"/>
        </w:trPr>
        <w:tc>
          <w:tcPr>
            <w:tcW w:w="425"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jc w:val="center"/>
              <w:rPr/>
            </w:pPr>
            <w:r>
              <w:rPr>
                <w:rFonts w:cs="Arial" w:ascii="Arial" w:hAnsi="Arial"/>
                <w:color w:val="000000"/>
              </w:rPr>
              <w:t>3</w:t>
            </w:r>
          </w:p>
        </w:tc>
        <w:tc>
          <w:tcPr>
            <w:tcW w:w="3831"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rPr>
                <w:rFonts w:ascii="Arial" w:hAnsi="Arial"/>
                <w:color w:val="000000"/>
              </w:rPr>
            </w:pPr>
            <w:r>
              <w:rPr>
                <w:rFonts w:ascii="Arial" w:hAnsi="Arial"/>
                <w:color w:val="000000"/>
              </w:rPr>
              <w:t>Обработка и анализ накопленных данных</w:t>
            </w:r>
          </w:p>
        </w:tc>
        <w:tc>
          <w:tcPr>
            <w:tcW w:w="425"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rPr>
            </w:pPr>
            <w:r>
              <w:rPr>
                <w:rFonts w:cs="Arial" w:ascii="Arial" w:hAnsi="Arial"/>
                <w:color w:val="000000"/>
              </w:rPr>
            </w:r>
          </w:p>
        </w:tc>
        <w:tc>
          <w:tcPr>
            <w:tcW w:w="426"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rPr>
            </w:pPr>
            <w:r>
              <w:rPr>
                <w:rFonts w:cs="Arial" w:ascii="Arial" w:hAnsi="Arial"/>
                <w:color w:val="000000"/>
              </w:rPr>
            </w:r>
          </w:p>
        </w:tc>
        <w:tc>
          <w:tcPr>
            <w:tcW w:w="425"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rPr>
            </w:pPr>
            <w:r>
              <w:rPr>
                <w:rFonts w:cs="Arial" w:ascii="Arial" w:hAnsi="Arial"/>
                <w:color w:val="000000"/>
              </w:rPr>
            </w:r>
          </w:p>
        </w:tc>
        <w:tc>
          <w:tcPr>
            <w:tcW w:w="432" w:type="dxa"/>
            <w:gridSpan w:val="2"/>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rPr>
            </w:pPr>
            <w:r>
              <w:rPr>
                <w:rFonts w:cs="Arial" w:ascii="Arial" w:hAnsi="Arial"/>
                <w:color w:val="000000"/>
              </w:rPr>
            </w:r>
          </w:p>
        </w:tc>
        <w:tc>
          <w:tcPr>
            <w:tcW w:w="426"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rPr>
            </w:pPr>
            <w:r>
              <w:rPr>
                <w:rFonts w:cs="Arial" w:ascii="Arial" w:hAnsi="Arial"/>
                <w:color w:val="000000"/>
              </w:rPr>
            </w:r>
          </w:p>
        </w:tc>
        <w:tc>
          <w:tcPr>
            <w:tcW w:w="425"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rPr>
            </w:pPr>
            <w:r>
              <w:rPr>
                <w:rFonts w:cs="Arial" w:ascii="Arial" w:hAnsi="Arial"/>
                <w:color w:val="000000"/>
              </w:rPr>
            </w:r>
          </w:p>
        </w:tc>
        <w:tc>
          <w:tcPr>
            <w:tcW w:w="426"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rPr>
            </w:pPr>
            <w:r>
              <w:rPr>
                <w:rFonts w:cs="Arial" w:ascii="Arial" w:hAnsi="Arial"/>
                <w:color w:val="000000"/>
              </w:rPr>
            </w:r>
          </w:p>
        </w:tc>
        <w:tc>
          <w:tcPr>
            <w:tcW w:w="428" w:type="dxa"/>
            <w:gridSpan w:val="2"/>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rPr>
            </w:pPr>
            <w:r>
              <w:rPr>
                <w:rFonts w:cs="Arial" w:ascii="Arial" w:hAnsi="Arial"/>
                <w:color w:val="000000"/>
              </w:rPr>
            </w:r>
          </w:p>
        </w:tc>
        <w:tc>
          <w:tcPr>
            <w:tcW w:w="426"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rPr>
            </w:pPr>
            <w:r>
              <w:rPr>
                <w:rFonts w:cs="Arial" w:ascii="Arial" w:hAnsi="Arial"/>
                <w:color w:val="000000"/>
              </w:rPr>
            </w:r>
          </w:p>
        </w:tc>
        <w:tc>
          <w:tcPr>
            <w:tcW w:w="425"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rPr>
            </w:pPr>
            <w:r>
              <w:rPr>
                <w:rFonts w:cs="Arial" w:ascii="Arial" w:hAnsi="Arial"/>
                <w:color w:val="000000"/>
              </w:rPr>
            </w:r>
          </w:p>
        </w:tc>
        <w:tc>
          <w:tcPr>
            <w:tcW w:w="426"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rPr>
            </w:pPr>
            <w:r>
              <w:rPr>
                <w:rFonts w:cs="Arial" w:ascii="Arial" w:hAnsi="Arial"/>
                <w:color w:val="000000"/>
              </w:rPr>
            </w:r>
          </w:p>
        </w:tc>
        <w:tc>
          <w:tcPr>
            <w:tcW w:w="53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CCCCCC" w:val="clear"/>
            <w:tcMar>
              <w:left w:w="-7" w:type="dxa"/>
            </w:tcMar>
          </w:tcPr>
          <w:p>
            <w:pPr>
              <w:pStyle w:val="Normal"/>
              <w:widowControl w:val="false"/>
              <w:snapToGrid w:val="false"/>
              <w:jc w:val="right"/>
              <w:rPr>
                <w:rFonts w:ascii="Arial" w:hAnsi="Arial" w:cs="Arial"/>
                <w:color w:val="000000"/>
              </w:rPr>
            </w:pPr>
            <w:r>
              <w:rPr>
                <w:rFonts w:cs="Arial" w:ascii="Arial" w:hAnsi="Arial"/>
                <w:color w:val="000000"/>
              </w:rPr>
            </w:r>
          </w:p>
        </w:tc>
      </w:tr>
      <w:tr>
        <w:trPr>
          <w:trHeight w:val="240" w:hRule="atLeast"/>
        </w:trPr>
        <w:tc>
          <w:tcPr>
            <w:tcW w:w="425"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jc w:val="center"/>
              <w:rPr/>
            </w:pPr>
            <w:r>
              <w:rPr>
                <w:rFonts w:cs="Arial" w:ascii="Arial" w:hAnsi="Arial"/>
                <w:color w:val="000000"/>
              </w:rPr>
              <w:t>4</w:t>
            </w:r>
          </w:p>
        </w:tc>
        <w:tc>
          <w:tcPr>
            <w:tcW w:w="3831"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rPr>
                <w:rFonts w:ascii="Arial" w:hAnsi="Arial"/>
                <w:color w:val="000000"/>
              </w:rPr>
            </w:pPr>
            <w:r>
              <w:rPr>
                <w:rFonts w:ascii="Arial" w:hAnsi="Arial"/>
                <w:color w:val="000000"/>
              </w:rPr>
              <w:t>Участие в массовом моделировании эксперимента</w:t>
            </w:r>
          </w:p>
        </w:tc>
        <w:tc>
          <w:tcPr>
            <w:tcW w:w="425"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rPr>
            </w:pPr>
            <w:r>
              <w:rPr>
                <w:rFonts w:cs="Arial" w:ascii="Arial" w:hAnsi="Arial"/>
                <w:color w:val="000000"/>
              </w:rPr>
            </w:r>
          </w:p>
        </w:tc>
        <w:tc>
          <w:tcPr>
            <w:tcW w:w="426"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rPr>
            </w:pPr>
            <w:r>
              <w:rPr>
                <w:rFonts w:cs="Arial" w:ascii="Arial" w:hAnsi="Arial"/>
                <w:color w:val="000000"/>
              </w:rPr>
            </w:r>
          </w:p>
        </w:tc>
        <w:tc>
          <w:tcPr>
            <w:tcW w:w="425"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rPr>
            </w:pPr>
            <w:r>
              <w:rPr>
                <w:rFonts w:cs="Arial" w:ascii="Arial" w:hAnsi="Arial"/>
                <w:color w:val="000000"/>
              </w:rPr>
            </w:r>
          </w:p>
        </w:tc>
        <w:tc>
          <w:tcPr>
            <w:tcW w:w="432" w:type="dxa"/>
            <w:gridSpan w:val="2"/>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rPr>
            </w:pPr>
            <w:r>
              <w:rPr>
                <w:rFonts w:cs="Arial" w:ascii="Arial" w:hAnsi="Arial"/>
                <w:color w:val="000000"/>
              </w:rPr>
            </w:r>
          </w:p>
        </w:tc>
        <w:tc>
          <w:tcPr>
            <w:tcW w:w="426"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rPr>
            </w:pPr>
            <w:r>
              <w:rPr>
                <w:rFonts w:cs="Arial" w:ascii="Arial" w:hAnsi="Arial"/>
                <w:color w:val="000000"/>
              </w:rPr>
            </w:r>
          </w:p>
        </w:tc>
        <w:tc>
          <w:tcPr>
            <w:tcW w:w="425"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rPr>
            </w:pPr>
            <w:r>
              <w:rPr>
                <w:rFonts w:cs="Arial" w:ascii="Arial" w:hAnsi="Arial"/>
                <w:color w:val="000000"/>
              </w:rPr>
            </w:r>
          </w:p>
        </w:tc>
        <w:tc>
          <w:tcPr>
            <w:tcW w:w="426"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rPr>
            </w:pPr>
            <w:r>
              <w:rPr>
                <w:rFonts w:cs="Arial" w:ascii="Arial" w:hAnsi="Arial"/>
                <w:color w:val="000000"/>
              </w:rPr>
            </w:r>
          </w:p>
        </w:tc>
        <w:tc>
          <w:tcPr>
            <w:tcW w:w="428" w:type="dxa"/>
            <w:gridSpan w:val="2"/>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rPr>
            </w:pPr>
            <w:r>
              <w:rPr>
                <w:rFonts w:cs="Arial" w:ascii="Arial" w:hAnsi="Arial"/>
                <w:color w:val="000000"/>
              </w:rPr>
            </w:r>
          </w:p>
        </w:tc>
        <w:tc>
          <w:tcPr>
            <w:tcW w:w="426"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rPr>
            </w:pPr>
            <w:r>
              <w:rPr>
                <w:rFonts w:cs="Arial" w:ascii="Arial" w:hAnsi="Arial"/>
                <w:color w:val="000000"/>
              </w:rPr>
            </w:r>
          </w:p>
        </w:tc>
        <w:tc>
          <w:tcPr>
            <w:tcW w:w="425"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rPr>
            </w:pPr>
            <w:r>
              <w:rPr>
                <w:rFonts w:cs="Arial" w:ascii="Arial" w:hAnsi="Arial"/>
                <w:color w:val="000000"/>
              </w:rPr>
            </w:r>
          </w:p>
        </w:tc>
        <w:tc>
          <w:tcPr>
            <w:tcW w:w="426"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rPr>
            </w:pPr>
            <w:r>
              <w:rPr>
                <w:rFonts w:cs="Arial" w:ascii="Arial" w:hAnsi="Arial"/>
                <w:color w:val="000000"/>
              </w:rPr>
            </w:r>
          </w:p>
        </w:tc>
        <w:tc>
          <w:tcPr>
            <w:tcW w:w="53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CCCCCC" w:val="clear"/>
            <w:tcMar>
              <w:left w:w="-7" w:type="dxa"/>
            </w:tcMar>
          </w:tcPr>
          <w:p>
            <w:pPr>
              <w:pStyle w:val="Normal"/>
              <w:widowControl w:val="false"/>
              <w:snapToGrid w:val="false"/>
              <w:jc w:val="right"/>
              <w:rPr>
                <w:rFonts w:ascii="Arial" w:hAnsi="Arial" w:cs="Arial"/>
                <w:color w:val="000000"/>
              </w:rPr>
            </w:pPr>
            <w:r>
              <w:rPr>
                <w:rFonts w:cs="Arial" w:ascii="Arial" w:hAnsi="Arial"/>
                <w:color w:val="000000"/>
              </w:rPr>
            </w:r>
          </w:p>
        </w:tc>
      </w:tr>
      <w:tr>
        <w:trPr>
          <w:trHeight w:val="240" w:hRule="atLeast"/>
        </w:trPr>
        <w:tc>
          <w:tcPr>
            <w:tcW w:w="425"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jc w:val="center"/>
              <w:rPr/>
            </w:pPr>
            <w:r>
              <w:rPr>
                <w:rFonts w:cs="Arial" w:ascii="Arial" w:hAnsi="Arial"/>
                <w:color w:val="000000"/>
              </w:rPr>
              <w:t>5</w:t>
            </w:r>
          </w:p>
        </w:tc>
        <w:tc>
          <w:tcPr>
            <w:tcW w:w="3831"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rPr>
                <w:rFonts w:ascii="Arial" w:hAnsi="Arial"/>
                <w:color w:val="000000"/>
              </w:rPr>
            </w:pPr>
            <w:r>
              <w:rPr>
                <w:rFonts w:ascii="Arial" w:hAnsi="Arial"/>
                <w:color w:val="000000"/>
              </w:rPr>
              <w:t>Сопровождение строу-детекторов в эксперименте</w:t>
            </w:r>
          </w:p>
        </w:tc>
        <w:tc>
          <w:tcPr>
            <w:tcW w:w="425"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right"/>
              <w:rPr>
                <w:rFonts w:ascii="Arial" w:hAnsi="Arial" w:cs="Arial"/>
                <w:color w:val="000000"/>
              </w:rPr>
            </w:pPr>
            <w:r>
              <w:rPr>
                <w:rFonts w:cs="Arial" w:ascii="Arial" w:hAnsi="Arial"/>
                <w:color w:val="000000"/>
              </w:rPr>
            </w:r>
          </w:p>
        </w:tc>
        <w:tc>
          <w:tcPr>
            <w:tcW w:w="426"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right"/>
              <w:rPr>
                <w:rFonts w:ascii="Arial" w:hAnsi="Arial" w:cs="Arial"/>
                <w:color w:val="000000"/>
              </w:rPr>
            </w:pPr>
            <w:r>
              <w:rPr>
                <w:rFonts w:cs="Arial" w:ascii="Arial" w:hAnsi="Arial"/>
                <w:color w:val="000000"/>
              </w:rPr>
            </w:r>
          </w:p>
        </w:tc>
        <w:tc>
          <w:tcPr>
            <w:tcW w:w="425"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right"/>
              <w:rPr>
                <w:rFonts w:ascii="Arial" w:hAnsi="Arial" w:cs="Arial"/>
                <w:color w:val="000000"/>
              </w:rPr>
            </w:pPr>
            <w:r>
              <w:rPr>
                <w:rFonts w:cs="Arial" w:ascii="Arial" w:hAnsi="Arial"/>
                <w:color w:val="000000"/>
              </w:rPr>
            </w:r>
          </w:p>
        </w:tc>
        <w:tc>
          <w:tcPr>
            <w:tcW w:w="432" w:type="dxa"/>
            <w:gridSpan w:val="2"/>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right"/>
              <w:rPr>
                <w:rFonts w:ascii="Arial" w:hAnsi="Arial" w:cs="Arial"/>
                <w:color w:val="000000"/>
              </w:rPr>
            </w:pPr>
            <w:r>
              <w:rPr>
                <w:rFonts w:cs="Arial" w:ascii="Arial" w:hAnsi="Arial"/>
                <w:color w:val="000000"/>
              </w:rPr>
            </w:r>
          </w:p>
        </w:tc>
        <w:tc>
          <w:tcPr>
            <w:tcW w:w="426"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right"/>
              <w:rPr>
                <w:rFonts w:ascii="Arial" w:hAnsi="Arial" w:cs="Arial"/>
                <w:color w:val="000000"/>
              </w:rPr>
            </w:pPr>
            <w:r>
              <w:rPr>
                <w:rFonts w:cs="Arial" w:ascii="Arial" w:hAnsi="Arial"/>
                <w:color w:val="000000"/>
              </w:rPr>
            </w:r>
          </w:p>
        </w:tc>
        <w:tc>
          <w:tcPr>
            <w:tcW w:w="425"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right"/>
              <w:rPr>
                <w:rFonts w:ascii="Arial" w:hAnsi="Arial" w:cs="Arial"/>
                <w:color w:val="000000"/>
              </w:rPr>
            </w:pPr>
            <w:r>
              <w:rPr>
                <w:rFonts w:cs="Arial" w:ascii="Arial" w:hAnsi="Arial"/>
                <w:color w:val="000000"/>
              </w:rPr>
            </w:r>
          </w:p>
        </w:tc>
        <w:tc>
          <w:tcPr>
            <w:tcW w:w="426" w:type="dxa"/>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right"/>
              <w:rPr>
                <w:rFonts w:ascii="Arial" w:hAnsi="Arial" w:cs="Arial"/>
                <w:color w:val="000000"/>
              </w:rPr>
            </w:pPr>
            <w:r>
              <w:rPr>
                <w:rFonts w:cs="Arial" w:ascii="Arial" w:hAnsi="Arial"/>
                <w:color w:val="000000"/>
              </w:rPr>
            </w:r>
          </w:p>
        </w:tc>
        <w:tc>
          <w:tcPr>
            <w:tcW w:w="428" w:type="dxa"/>
            <w:gridSpan w:val="2"/>
            <w:tcBorders>
              <w:top w:val="single" w:sz="6" w:space="0" w:color="000001"/>
              <w:left w:val="single" w:sz="6" w:space="0" w:color="000001"/>
              <w:bottom w:val="single" w:sz="6" w:space="0" w:color="000001"/>
              <w:insideH w:val="single" w:sz="6" w:space="0" w:color="000001"/>
            </w:tcBorders>
            <w:shd w:color="auto" w:fill="auto" w:val="clear"/>
            <w:tcMar>
              <w:left w:w="-7" w:type="dxa"/>
            </w:tcMar>
          </w:tcPr>
          <w:p>
            <w:pPr>
              <w:pStyle w:val="Normal"/>
              <w:widowControl w:val="false"/>
              <w:snapToGrid w:val="false"/>
              <w:jc w:val="right"/>
              <w:rPr>
                <w:rFonts w:ascii="Arial" w:hAnsi="Arial" w:cs="Arial"/>
                <w:color w:val="000000"/>
              </w:rPr>
            </w:pPr>
            <w:r>
              <w:rPr>
                <w:rFonts w:cs="Arial" w:ascii="Arial" w:hAnsi="Arial"/>
                <w:color w:val="000000"/>
              </w:rPr>
            </w:r>
          </w:p>
        </w:tc>
        <w:tc>
          <w:tcPr>
            <w:tcW w:w="426"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rPr>
            </w:pPr>
            <w:r>
              <w:rPr>
                <w:rFonts w:cs="Arial" w:ascii="Arial" w:hAnsi="Arial"/>
                <w:color w:val="000000"/>
              </w:rPr>
            </w:r>
          </w:p>
        </w:tc>
        <w:tc>
          <w:tcPr>
            <w:tcW w:w="425"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rPr>
            </w:pPr>
            <w:r>
              <w:rPr>
                <w:rFonts w:cs="Arial" w:ascii="Arial" w:hAnsi="Arial"/>
                <w:color w:val="000000"/>
              </w:rPr>
            </w:r>
          </w:p>
        </w:tc>
        <w:tc>
          <w:tcPr>
            <w:tcW w:w="426" w:type="dxa"/>
            <w:tcBorders>
              <w:top w:val="single" w:sz="6" w:space="0" w:color="000001"/>
              <w:left w:val="single" w:sz="6" w:space="0" w:color="000001"/>
              <w:bottom w:val="single" w:sz="6" w:space="0" w:color="000001"/>
              <w:insideH w:val="single" w:sz="6" w:space="0" w:color="000001"/>
            </w:tcBorders>
            <w:shd w:color="auto" w:fill="CCCCCC" w:val="clear"/>
            <w:tcMar>
              <w:left w:w="-7" w:type="dxa"/>
            </w:tcMar>
          </w:tcPr>
          <w:p>
            <w:pPr>
              <w:pStyle w:val="Normal"/>
              <w:widowControl w:val="false"/>
              <w:snapToGrid w:val="false"/>
              <w:jc w:val="right"/>
              <w:rPr>
                <w:rFonts w:ascii="Arial" w:hAnsi="Arial" w:cs="Arial"/>
                <w:color w:val="000000"/>
              </w:rPr>
            </w:pPr>
            <w:r>
              <w:rPr>
                <w:rFonts w:cs="Arial" w:ascii="Arial" w:hAnsi="Arial"/>
                <w:color w:val="000000"/>
              </w:rPr>
            </w:r>
          </w:p>
        </w:tc>
        <w:tc>
          <w:tcPr>
            <w:tcW w:w="53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CCCCCC" w:val="clear"/>
            <w:tcMar>
              <w:left w:w="-7" w:type="dxa"/>
            </w:tcMar>
          </w:tcPr>
          <w:p>
            <w:pPr>
              <w:pStyle w:val="Normal"/>
              <w:widowControl w:val="false"/>
              <w:snapToGrid w:val="false"/>
              <w:jc w:val="right"/>
              <w:rPr>
                <w:rFonts w:ascii="Arial" w:hAnsi="Arial" w:cs="Arial"/>
                <w:color w:val="000000"/>
              </w:rPr>
            </w:pPr>
            <w:r>
              <w:rPr>
                <w:rFonts w:cs="Arial" w:ascii="Arial" w:hAnsi="Arial"/>
                <w:color w:val="000000"/>
              </w:rPr>
            </w:r>
          </w:p>
        </w:tc>
      </w:tr>
    </w:tbl>
    <w:p>
      <w:pPr>
        <w:pStyle w:val="14"/>
        <w:rPr/>
      </w:pPr>
      <w:r>
        <w:rPr/>
      </w:r>
    </w:p>
    <w:sectPr>
      <w:footerReference w:type="even" r:id="rId19"/>
      <w:footerReference w:type="default" r:id="rId20"/>
      <w:type w:val="nextPage"/>
      <w:pgSz w:w="11906" w:h="16838"/>
      <w:pgMar w:left="1440" w:right="746" w:header="0" w:top="1077" w:footer="720" w:bottom="777" w:gutter="0"/>
      <w:pgNumType w:fmt="decimal"/>
      <w:formProt w:val="false"/>
      <w:textDirection w:val="lrTb"/>
      <w:docGrid w:type="default" w:linePitch="440"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Symbol">
    <w:charset w:val="01"/>
    <w:family w:val="roman"/>
    <w:pitch w:val="variable"/>
  </w:font>
  <w:font w:name="OpenSymbol">
    <w:altName w:val="Arial Unicode MS"/>
    <w:charset w:val="01"/>
    <w:family w:val="roman"/>
    <w:pitch w:val="variable"/>
  </w:font>
  <w:font w:name="Wingdings 2">
    <w:charset w:val="01"/>
    <w:family w:val="roman"/>
    <w:pitch w:val="variable"/>
  </w:font>
  <w:font w:name="Courier New">
    <w:charset w:val="01"/>
    <w:family w:val="roman"/>
    <w:pitch w:val="variable"/>
  </w:font>
  <w:font w:name="Wingdings">
    <w:charset w:val="01"/>
    <w:family w:val="roman"/>
    <w:pitch w:val="variable"/>
  </w:font>
  <w:font w:name="PMingLiU">
    <w:charset w:val="01"/>
    <w:family w:val="roman"/>
    <w:pitch w:val="variable"/>
  </w:font>
  <w:font w:name="Tahoma">
    <w:charset w:val="01"/>
    <w:family w:val="roman"/>
    <w:pitch w:val="variable"/>
  </w:font>
  <w:font w:name="Liberation Sans">
    <w:altName w:val="Arial"/>
    <w:charset w:val="01"/>
    <w:family w:val="swiss"/>
    <w:pitch w:val="variable"/>
  </w:font>
  <w:font w:name="Times">
    <w:altName w:val="Times New Roman"/>
    <w:charset w:val="01"/>
    <w:family w:val="roman"/>
    <w:pitch w:val="variable"/>
  </w:font>
  <w:font w:name="DejaVu Sans Mono">
    <w:charset w:val="01"/>
    <w:family w:val="roman"/>
    <w:pitch w:val="variable"/>
  </w:font>
  <w:font w:name="Arial">
    <w:charset w:val="01"/>
    <w:family w:val="roman"/>
    <w:pitch w:val="variable"/>
  </w:font>
  <w:font w:name="Calibri">
    <w:charset w:val="01"/>
    <w:family w:val="roman"/>
    <w:pitch w:val="variable"/>
  </w:font>
  <w:font w:name="Symbol">
    <w:charset w:val="02"/>
    <w:family w:val="auto"/>
    <w:pitch w:val="default"/>
  </w:font>
  <w:font w:name="OpenSymbol">
    <w:altName w:val="Arial Unicode MS"/>
    <w:charset w:val="01"/>
    <w:family w:val="auto"/>
    <w:pitch w:val="variable"/>
  </w:font>
  <w:font w:name="Wingdings 2">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hanging="0"/>
      <w:rPr/>
    </w:pPr>
    <w:r>
      <w:rPr/>
      <mc:AlternateContent>
        <mc:Choice Requires="wps">
          <w:drawing>
            <wp:anchor behindDoc="1" distT="0" distB="0" distL="0" distR="0" simplePos="0" locked="0" layoutInCell="1" allowOverlap="1" relativeHeight="22" wp14:anchorId="163C453F">
              <wp:simplePos x="0" y="0"/>
              <wp:positionH relativeFrom="page">
                <wp:posOffset>6933565</wp:posOffset>
              </wp:positionH>
              <wp:positionV relativeFrom="paragraph">
                <wp:posOffset>635</wp:posOffset>
              </wp:positionV>
              <wp:extent cx="154305" cy="176530"/>
              <wp:effectExtent l="0" t="0" r="0" b="0"/>
              <wp:wrapSquare wrapText="bothSides"/>
              <wp:docPr id="21" name="Изображение1"/>
              <a:graphic xmlns:a="http://schemas.openxmlformats.org/drawingml/2006/main">
                <a:graphicData uri="http://schemas.microsoft.com/office/word/2010/wordprocessingShape">
                  <wps:wsp>
                    <wps:cNvSpPr/>
                    <wps:spPr>
                      <a:xfrm>
                        <a:off x="0" y="0"/>
                        <a:ext cx="153720" cy="176040"/>
                      </a:xfrm>
                      <a:prstGeom prst="rect">
                        <a:avLst/>
                      </a:prstGeom>
                      <a:solidFill>
                        <a:srgbClr val="ffffff"/>
                      </a:solidFill>
                      <a:ln>
                        <a:noFill/>
                      </a:ln>
                    </wps:spPr>
                    <wps:style>
                      <a:lnRef idx="0"/>
                      <a:fillRef idx="0"/>
                      <a:effectRef idx="0"/>
                      <a:fontRef idx="minor"/>
                    </wps:style>
                    <wps:txbx>
                      <w:txbxContent>
                        <w:p>
                          <w:pPr>
                            <w:pStyle w:val="Footer"/>
                            <w:rPr>
                              <w:color w:val="000000"/>
                            </w:rPr>
                          </w:pPr>
                          <w:r>
                            <w:rPr>
                              <w:color w:val="000000"/>
                            </w:rPr>
                            <w:fldChar w:fldCharType="begin"/>
                          </w:r>
                          <w:r>
                            <w:instrText> PAGE </w:instrText>
                          </w:r>
                          <w:r>
                            <w:fldChar w:fldCharType="separate"/>
                          </w:r>
                          <w:r>
                            <w:t>18</w:t>
                          </w:r>
                          <w:r>
                            <w:fldChar w:fldCharType="end"/>
                          </w:r>
                        </w:p>
                      </w:txbxContent>
                    </wps:txbx>
                    <wps:bodyPr lIns="0" rIns="0" tIns="0" bIns="0">
                      <a:noAutofit/>
                    </wps:bodyPr>
                  </wps:wsp>
                </a:graphicData>
              </a:graphic>
            </wp:anchor>
          </w:drawing>
        </mc:Choice>
        <mc:Fallback>
          <w:pict>
            <v:rect id="shape_0" ID="Изображение1" fillcolor="white" stroked="f" style="position:absolute;margin-left:545.95pt;margin-top:0.05pt;width:12.05pt;height:13.8pt;mso-position-horizontal-relative:page" wp14:anchorId="163C453F">
              <w10:wrap type="square"/>
              <v:fill o:detectmouseclick="t" type="solid" color2="black"/>
              <v:stroke color="#3465a4" joinstyle="round" endcap="flat"/>
              <v:textbox>
                <w:txbxContent>
                  <w:p>
                    <w:pPr>
                      <w:pStyle w:val="Footer"/>
                      <w:rPr>
                        <w:color w:val="000000"/>
                      </w:rPr>
                    </w:pPr>
                    <w:r>
                      <w:rPr>
                        <w:color w:val="000000"/>
                      </w:rPr>
                      <w:fldChar w:fldCharType="begin"/>
                    </w:r>
                    <w:r>
                      <w:instrText> PAGE </w:instrText>
                    </w:r>
                    <w:r>
                      <w:fldChar w:fldCharType="separate"/>
                    </w:r>
                    <w:r>
                      <w:t>18</w:t>
                    </w:r>
                    <w:r>
                      <w:fldChar w:fldCharType="end"/>
                    </w:r>
                  </w:p>
                </w:txbxContent>
              </v:textbox>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hanging="0"/>
      <w:rPr>
        <w:vanish/>
      </w:rPr>
    </w:pPr>
    <w:r>
      <w:rPr>
        <w:vanish/>
      </w:rPr>
      <mc:AlternateContent>
        <mc:Choice Requires="wps">
          <w:drawing>
            <wp:anchor behindDoc="1" distT="0" distB="0" distL="0" distR="0" simplePos="0" locked="0" layoutInCell="1" allowOverlap="1" relativeHeight="12" wp14:anchorId="2E9DD5F8">
              <wp:simplePos x="0" y="0"/>
              <wp:positionH relativeFrom="page">
                <wp:posOffset>0</wp:posOffset>
              </wp:positionH>
              <wp:positionV relativeFrom="paragraph">
                <wp:posOffset>635</wp:posOffset>
              </wp:positionV>
              <wp:extent cx="90170" cy="22225"/>
              <wp:effectExtent l="0" t="0" r="0" b="0"/>
              <wp:wrapSquare wrapText="bothSides"/>
              <wp:docPr id="23" name="Изображение2"/>
              <a:graphic xmlns:a="http://schemas.openxmlformats.org/drawingml/2006/main">
                <a:graphicData uri="http://schemas.microsoft.com/office/word/2010/wordprocessingShape">
                  <wps:wsp>
                    <wps:cNvSpPr/>
                    <wps:spPr>
                      <a:xfrm>
                        <a:off x="0" y="0"/>
                        <a:ext cx="89640" cy="21600"/>
                      </a:xfrm>
                      <a:prstGeom prst="rect">
                        <a:avLst/>
                      </a:prstGeom>
                      <a:solidFill>
                        <a:srgbClr val="ffffff"/>
                      </a:solidFill>
                      <a:ln>
                        <a:noFill/>
                      </a:ln>
                    </wps:spPr>
                    <wps:style>
                      <a:lnRef idx="0"/>
                      <a:fillRef idx="0"/>
                      <a:effectRef idx="0"/>
                      <a:fontRef idx="minor"/>
                    </wps:style>
                    <wps:txbx>
                      <w:txbxContent>
                        <w:p>
                          <w:pPr>
                            <w:pStyle w:val="Footer"/>
                            <w:rPr>
                              <w:color w:val="000000"/>
                            </w:rPr>
                          </w:pPr>
                          <w:r>
                            <w:rPr>
                              <w:color w:val="000000"/>
                            </w:rPr>
                            <w:fldChar w:fldCharType="begin"/>
                          </w:r>
                          <w:r>
                            <w:instrText> PAGE </w:instrText>
                          </w:r>
                          <w:r>
                            <w:fldChar w:fldCharType="separate"/>
                          </w:r>
                          <w:r>
                            <w:t>0</w:t>
                          </w:r>
                          <w:r>
                            <w:fldChar w:fldCharType="end"/>
                          </w:r>
                        </w:p>
                      </w:txbxContent>
                    </wps:txbx>
                    <wps:bodyPr lIns="0" rIns="0" tIns="0" bIns="0">
                      <a:noAutofit/>
                    </wps:bodyPr>
                  </wps:wsp>
                </a:graphicData>
              </a:graphic>
            </wp:anchor>
          </w:drawing>
        </mc:Choice>
        <mc:Fallback>
          <w:pict>
            <v:rect id="shape_0" ID="Изображение2" fillcolor="white" stroked="f" style="position:absolute;margin-left:0pt;margin-top:0.05pt;width:7pt;height:1.65pt;mso-position-horizontal-relative:page" wp14:anchorId="2E9DD5F8">
              <w10:wrap type="square"/>
              <v:fill o:detectmouseclick="t" type="solid" color2="black"/>
              <v:stroke color="#3465a4" joinstyle="round" endcap="flat"/>
              <v:textbox>
                <w:txbxContent>
                  <w:p>
                    <w:pPr>
                      <w:pStyle w:val="Footer"/>
                      <w:rPr>
                        <w:color w:val="000000"/>
                      </w:rPr>
                    </w:pPr>
                    <w:r>
                      <w:rPr>
                        <w:color w:val="000000"/>
                      </w:rPr>
                      <w:fldChar w:fldCharType="begin"/>
                    </w:r>
                    <w:r>
                      <w:instrText> PAGE </w:instrText>
                    </w:r>
                    <w:r>
                      <w:fldChar w:fldCharType="separate"/>
                    </w:r>
                    <w:r>
                      <w:t>0</w:t>
                    </w:r>
                    <w:r>
                      <w:fldChar w:fldCharType="end"/>
                    </w:r>
                  </w:p>
                </w:txbxContent>
              </v:textbox>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rFonts w:cs="Symbol"/>
        <w:color w:val="000000"/>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bullet"/>
      <w:lvlText w:val=""/>
      <w:lvlJc w:val="left"/>
      <w:pPr>
        <w:tabs>
          <w:tab w:val="num" w:pos="720"/>
        </w:tabs>
        <w:ind w:left="720" w:hanging="360"/>
      </w:pPr>
      <w:rPr>
        <w:rFonts w:ascii="Symbol" w:hAnsi="Symbol" w:cs="Symbol" w:hint="default"/>
        <w:b/>
        <w:rFonts w:cs="Symbol"/>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decimal"/>
      <w:lvlText w:val="%1"/>
      <w:lvlJc w:val="left"/>
      <w:pPr>
        <w:ind w:left="720" w:hanging="360"/>
      </w:pPr>
    </w:lvl>
    <w:lvl w:ilvl="1">
      <w:start w:val="1"/>
      <w:numFmt w:val="bullet"/>
      <w:lvlText w:val=""/>
      <w:lvlJc w:val="left"/>
      <w:pPr>
        <w:ind w:left="360" w:hanging="360"/>
      </w:pPr>
      <w:rPr>
        <w:rFonts w:ascii="Symbol" w:hAnsi="Symbol" w:cs="Symbol" w:hint="default"/>
        <w:rFonts w:cs="Symbol"/>
        <w:color w:val="000000"/>
        <w:lang w:val="en-US"/>
      </w:r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4">
    <w:lvl w:ilvl="0">
      <w:start w:val="1"/>
      <w:numFmt w:val="bullet"/>
      <w:lvlText w:val=""/>
      <w:lvlJc w:val="left"/>
      <w:pPr>
        <w:tabs>
          <w:tab w:val="num" w:pos="720"/>
        </w:tabs>
        <w:ind w:left="720" w:hanging="360"/>
      </w:pPr>
      <w:rPr>
        <w:rFonts w:ascii="Symbol" w:hAnsi="Symbol" w:cs="Symbol" w:hint="default"/>
        <w:sz w:val="18"/>
        <w:szCs w:val="18"/>
        <w:rFonts w:cs="Symbol"/>
        <w:color w:val="00000A"/>
        <w:lang w:val="en-US"/>
      </w:rPr>
    </w:lvl>
    <w:lvl w:ilvl="1">
      <w:start w:val="1"/>
      <w:numFmt w:val="bullet"/>
      <w:lvlText w:val="◦"/>
      <w:lvlJc w:val="left"/>
      <w:pPr>
        <w:tabs>
          <w:tab w:val="num" w:pos="1080"/>
        </w:tabs>
        <w:ind w:left="1080" w:hanging="360"/>
      </w:pPr>
      <w:rPr>
        <w:rFonts w:ascii="OpenSymbol" w:hAnsi="OpenSymbol" w:cs="OpenSymbol" w:hint="default"/>
        <w:sz w:val="18"/>
        <w:szCs w:val="18"/>
        <w:rFonts w:cs="StarSymbol"/>
      </w:rPr>
    </w:lvl>
    <w:lvl w:ilvl="2">
      <w:start w:val="1"/>
      <w:numFmt w:val="bullet"/>
      <w:lvlText w:val="▪"/>
      <w:lvlJc w:val="left"/>
      <w:pPr>
        <w:tabs>
          <w:tab w:val="num" w:pos="1440"/>
        </w:tabs>
        <w:ind w:left="1440" w:hanging="360"/>
      </w:pPr>
      <w:rPr>
        <w:rFonts w:ascii="OpenSymbol" w:hAnsi="OpenSymbol" w:cs="OpenSymbol" w:hint="default"/>
        <w:sz w:val="18"/>
        <w:szCs w:val="18"/>
        <w:rFonts w:cs="StarSymbol"/>
      </w:rPr>
    </w:lvl>
    <w:lvl w:ilvl="3">
      <w:start w:val="1"/>
      <w:numFmt w:val="bullet"/>
      <w:lvlText w:val=""/>
      <w:lvlJc w:val="left"/>
      <w:pPr>
        <w:tabs>
          <w:tab w:val="num" w:pos="1800"/>
        </w:tabs>
        <w:ind w:left="1800" w:hanging="360"/>
      </w:pPr>
      <w:rPr>
        <w:rFonts w:ascii="Wingdings 2" w:hAnsi="Wingdings 2" w:cs="Wingdings 2" w:hint="default"/>
        <w:sz w:val="18"/>
        <w:szCs w:val="18"/>
        <w:rFonts w:cs="StarSymbol"/>
      </w:rPr>
    </w:lvl>
    <w:lvl w:ilvl="4">
      <w:start w:val="1"/>
      <w:numFmt w:val="bullet"/>
      <w:lvlText w:val="◦"/>
      <w:lvlJc w:val="left"/>
      <w:pPr>
        <w:tabs>
          <w:tab w:val="num" w:pos="2160"/>
        </w:tabs>
        <w:ind w:left="2160" w:hanging="360"/>
      </w:pPr>
      <w:rPr>
        <w:rFonts w:ascii="OpenSymbol" w:hAnsi="OpenSymbol" w:cs="OpenSymbol" w:hint="default"/>
        <w:sz w:val="18"/>
        <w:szCs w:val="18"/>
        <w:rFonts w:cs="StarSymbol"/>
      </w:rPr>
    </w:lvl>
    <w:lvl w:ilvl="5">
      <w:start w:val="1"/>
      <w:numFmt w:val="bullet"/>
      <w:lvlText w:val="▪"/>
      <w:lvlJc w:val="left"/>
      <w:pPr>
        <w:tabs>
          <w:tab w:val="num" w:pos="2520"/>
        </w:tabs>
        <w:ind w:left="2520" w:hanging="360"/>
      </w:pPr>
      <w:rPr>
        <w:rFonts w:ascii="OpenSymbol" w:hAnsi="OpenSymbol" w:cs="OpenSymbol" w:hint="default"/>
        <w:sz w:val="18"/>
        <w:szCs w:val="18"/>
        <w:rFonts w:cs="StarSymbol"/>
      </w:rPr>
    </w:lvl>
    <w:lvl w:ilvl="6">
      <w:start w:val="1"/>
      <w:numFmt w:val="bullet"/>
      <w:lvlText w:val=""/>
      <w:lvlJc w:val="left"/>
      <w:pPr>
        <w:tabs>
          <w:tab w:val="num" w:pos="2880"/>
        </w:tabs>
        <w:ind w:left="2880" w:hanging="360"/>
      </w:pPr>
      <w:rPr>
        <w:rFonts w:ascii="Wingdings 2" w:hAnsi="Wingdings 2" w:cs="Wingdings 2" w:hint="default"/>
        <w:sz w:val="18"/>
        <w:szCs w:val="18"/>
        <w:rFonts w:cs="StarSymbol"/>
      </w:rPr>
    </w:lvl>
    <w:lvl w:ilvl="7">
      <w:start w:val="1"/>
      <w:numFmt w:val="bullet"/>
      <w:lvlText w:val="◦"/>
      <w:lvlJc w:val="left"/>
      <w:pPr>
        <w:tabs>
          <w:tab w:val="num" w:pos="3240"/>
        </w:tabs>
        <w:ind w:left="3240" w:hanging="360"/>
      </w:pPr>
      <w:rPr>
        <w:rFonts w:ascii="OpenSymbol" w:hAnsi="OpenSymbol" w:cs="OpenSymbol" w:hint="default"/>
        <w:sz w:val="18"/>
        <w:szCs w:val="18"/>
        <w:rFonts w:cs="StarSymbol"/>
      </w:rPr>
    </w:lvl>
    <w:lvl w:ilvl="8">
      <w:start w:val="1"/>
      <w:numFmt w:val="bullet"/>
      <w:lvlText w:val="▪"/>
      <w:lvlJc w:val="left"/>
      <w:pPr>
        <w:tabs>
          <w:tab w:val="num" w:pos="3600"/>
        </w:tabs>
        <w:ind w:left="3600" w:hanging="360"/>
      </w:pPr>
      <w:rPr>
        <w:rFonts w:ascii="OpenSymbol" w:hAnsi="OpenSymbol" w:cs="OpenSymbol" w:hint="default"/>
        <w:sz w:val="18"/>
        <w:szCs w:val="18"/>
        <w:rFonts w:cs="StarSymbol"/>
      </w:rPr>
    </w:lvl>
  </w:abstractNum>
  <w:abstractNum w:abstractNumId="5">
    <w:lvl w:ilvl="0">
      <w:start w:val="1"/>
      <w:numFmt w:val="bullet"/>
      <w:lvlText w:val=""/>
      <w:lvlJc w:val="left"/>
      <w:pPr>
        <w:ind w:left="720" w:hanging="360"/>
      </w:pPr>
      <w:rPr>
        <w:rFonts w:ascii="Symbol" w:hAnsi="Symbol" w:cs="Symbol" w:hint="default"/>
        <w:szCs w:val="24"/>
        <w:rFonts w:cs="Symbol"/>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bullet"/>
      <w:lvlText w:val=""/>
      <w:lvlJc w:val="left"/>
      <w:pPr>
        <w:ind w:left="720" w:hanging="360"/>
      </w:pPr>
      <w:rPr>
        <w:rFonts w:ascii="Symbol" w:hAnsi="Symbol" w:cs="Symbol" w:hint="default"/>
        <w:b/>
        <w:rFonts w:cs="Symbol"/>
        <w:color w:val="000000"/>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decimal"/>
      <w:lvlText w:val="%1."/>
      <w:lvlJc w:val="left"/>
      <w:pPr>
        <w:tabs>
          <w:tab w:val="num" w:pos="720"/>
        </w:tabs>
        <w:ind w:left="720" w:hanging="360"/>
      </w:pPr>
      <w:rPr>
        <w:spacing w:val="0"/>
        <w:b/>
        <w:iCs/>
        <w:bCs/>
        <w:rFonts w:ascii="Times New Roman" w:hAnsi="Times New Roman" w:eastAsia="MS Mincho" w:cs="Times New Roman"/>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20"/>
  <w:displayBackgroundShape/>
  <w:embedSystemFonts/>
  <w:defaultTabStop w:val="720"/>
  <w:autoHyphenation w:val="false"/>
  <w:evenAndOddHeader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ru-RU" w:eastAsia="ru-RU" w:bidi="ar-SA"/>
      </w:rPr>
    </w:rPrDefault>
    <w:pPrDefault>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semiHidden="0" w:unhideWhenUsed="0" w:qFormat="1"/>
    <w:lsdException w:name="heading 3" w:uiPriority="9" w:qFormat="1"/>
    <w:lsdException w:name="heading 4" w:uiPriority="9" w:semiHidden="0" w:unhideWhenUsed="0" w:qFormat="1"/>
    <w:lsdException w:name="heading 5" w:uiPriority="9" w:qFormat="1"/>
    <w:lsdException w:name="heading 6" w:uiPriority="9" w:qFormat="1"/>
    <w:lsdException w:name="heading 7" w:uiPriority="9" w:semiHidden="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semiHidden="0" w:unhideWhenUsed="0" w:qFormat="1"/>
    <w:lsdException w:name="Title" w:uiPriority="10" w:semiHidden="0" w:unhideWhenUsed="0" w:qFormat="1"/>
    <w:lsdException w:name="Default Paragraph Font" w:uiPriority="1"/>
    <w:lsdException w:name="Subtitle" w:uiPriority="11" w:semiHidden="0" w:unhideWhenUsed="0" w:qFormat="1"/>
    <w:lsdException w:name="Strong" w:uiPriority="0" w:semiHidden="0" w:unhideWhenUsed="0" w:qFormat="1"/>
    <w:lsdException w:name="Emphasis" w:uiPriority="0" w:semiHidden="0" w:unhideWhenUsed="0" w:qFormat="1"/>
    <w:lsdException w:name="Plain Text" w:uiPriority="0"/>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1b0ef8"/>
    <w:pPr>
      <w:widowControl/>
      <w:suppressAutoHyphens w:val="true"/>
      <w:bidi w:val="0"/>
      <w:jc w:val="left"/>
    </w:pPr>
    <w:rPr>
      <w:rFonts w:ascii="Times New Roman" w:hAnsi="Times New Roman" w:eastAsia="Times New Roman" w:cs="Times New Roman"/>
      <w:color w:val="00000A"/>
      <w:sz w:val="20"/>
      <w:szCs w:val="20"/>
      <w:lang w:eastAsia="zh-CN" w:val="ru-RU" w:bidi="ar-SA"/>
    </w:rPr>
  </w:style>
  <w:style w:type="paragraph" w:styleId="Heading1">
    <w:name w:val="Heading 1"/>
    <w:basedOn w:val="Normal"/>
    <w:qFormat/>
    <w:rsid w:val="001b0ef8"/>
    <w:pPr>
      <w:spacing w:before="28" w:after="28"/>
      <w:outlineLvl w:val="0"/>
    </w:pPr>
    <w:rPr/>
  </w:style>
  <w:style w:type="paragraph" w:styleId="Heading2">
    <w:name w:val="Heading 2"/>
    <w:basedOn w:val="Normal"/>
    <w:qFormat/>
    <w:rsid w:val="001b0ef8"/>
    <w:pPr>
      <w:keepNext/>
      <w:tabs>
        <w:tab w:val="left" w:pos="0" w:leader="none"/>
      </w:tabs>
      <w:ind w:left="576" w:hanging="576"/>
      <w:outlineLvl w:val="1"/>
    </w:pPr>
    <w:rPr/>
  </w:style>
  <w:style w:type="paragraph" w:styleId="Heading4">
    <w:name w:val="Heading 4"/>
    <w:basedOn w:val="Normal"/>
    <w:qFormat/>
    <w:rsid w:val="001b0ef8"/>
    <w:pPr>
      <w:keepNext/>
      <w:tabs>
        <w:tab w:val="left" w:pos="0" w:leader="none"/>
      </w:tabs>
      <w:spacing w:before="240" w:after="60"/>
      <w:ind w:left="864" w:hanging="864"/>
      <w:outlineLvl w:val="3"/>
    </w:pPr>
    <w:rPr/>
  </w:style>
  <w:style w:type="paragraph" w:styleId="Heading7">
    <w:name w:val="Heading 7"/>
    <w:basedOn w:val="Normal"/>
    <w:qFormat/>
    <w:rsid w:val="001b0ef8"/>
    <w:pPr>
      <w:keepNext/>
      <w:tabs>
        <w:tab w:val="left" w:pos="0" w:leader="none"/>
      </w:tabs>
      <w:ind w:left="720" w:firstLine="720"/>
      <w:jc w:val="both"/>
      <w:outlineLvl w:val="6"/>
    </w:pPr>
    <w:rPr/>
  </w:style>
  <w:style w:type="character" w:styleId="DefaultParagraphFont" w:default="1">
    <w:name w:val="Default Paragraph Font"/>
    <w:uiPriority w:val="1"/>
    <w:semiHidden/>
    <w:unhideWhenUsed/>
    <w:qFormat/>
    <w:rPr/>
  </w:style>
  <w:style w:type="character" w:styleId="WW8Num1z0" w:customStyle="1">
    <w:name w:val="WW8Num1z0"/>
    <w:qFormat/>
    <w:rsid w:val="001b0ef8"/>
    <w:rPr/>
  </w:style>
  <w:style w:type="character" w:styleId="WW8Num1z1" w:customStyle="1">
    <w:name w:val="WW8Num1z1"/>
    <w:qFormat/>
    <w:rsid w:val="001b0ef8"/>
    <w:rPr/>
  </w:style>
  <w:style w:type="character" w:styleId="WW8Num1z2" w:customStyle="1">
    <w:name w:val="WW8Num1z2"/>
    <w:qFormat/>
    <w:rsid w:val="001b0ef8"/>
    <w:rPr/>
  </w:style>
  <w:style w:type="character" w:styleId="WW8Num1z3" w:customStyle="1">
    <w:name w:val="WW8Num1z3"/>
    <w:qFormat/>
    <w:rsid w:val="001b0ef8"/>
    <w:rPr/>
  </w:style>
  <w:style w:type="character" w:styleId="WW8Num1z4" w:customStyle="1">
    <w:name w:val="WW8Num1z4"/>
    <w:qFormat/>
    <w:rsid w:val="001b0ef8"/>
    <w:rPr/>
  </w:style>
  <w:style w:type="character" w:styleId="WW8Num1z5" w:customStyle="1">
    <w:name w:val="WW8Num1z5"/>
    <w:qFormat/>
    <w:rsid w:val="001b0ef8"/>
    <w:rPr/>
  </w:style>
  <w:style w:type="character" w:styleId="WW8Num1z6" w:customStyle="1">
    <w:name w:val="WW8Num1z6"/>
    <w:qFormat/>
    <w:rsid w:val="001b0ef8"/>
    <w:rPr/>
  </w:style>
  <w:style w:type="character" w:styleId="WW8Num1z7" w:customStyle="1">
    <w:name w:val="WW8Num1z7"/>
    <w:qFormat/>
    <w:rsid w:val="001b0ef8"/>
    <w:rPr/>
  </w:style>
  <w:style w:type="character" w:styleId="WW8Num1z8" w:customStyle="1">
    <w:name w:val="WW8Num1z8"/>
    <w:qFormat/>
    <w:rsid w:val="001b0ef8"/>
    <w:rPr/>
  </w:style>
  <w:style w:type="character" w:styleId="WW8Num2z0" w:customStyle="1">
    <w:name w:val="WW8Num2z0"/>
    <w:qFormat/>
    <w:rsid w:val="001b0ef8"/>
    <w:rPr>
      <w:rFonts w:ascii="Symbol" w:hAnsi="Symbol" w:eastAsia="Wingdings" w:cs="Symbol"/>
      <w:color w:val="000000"/>
      <w:lang w:val="en-US"/>
    </w:rPr>
  </w:style>
  <w:style w:type="character" w:styleId="WW8Num2z1" w:customStyle="1">
    <w:name w:val="WW8Num2z1"/>
    <w:qFormat/>
    <w:rsid w:val="001b0ef8"/>
    <w:rPr/>
  </w:style>
  <w:style w:type="character" w:styleId="WW8Num2z2" w:customStyle="1">
    <w:name w:val="WW8Num2z2"/>
    <w:qFormat/>
    <w:rsid w:val="001b0ef8"/>
    <w:rPr/>
  </w:style>
  <w:style w:type="character" w:styleId="WW8Num2z3" w:customStyle="1">
    <w:name w:val="WW8Num2z3"/>
    <w:qFormat/>
    <w:rsid w:val="001b0ef8"/>
    <w:rPr/>
  </w:style>
  <w:style w:type="character" w:styleId="WW8Num2z4" w:customStyle="1">
    <w:name w:val="WW8Num2z4"/>
    <w:qFormat/>
    <w:rsid w:val="001b0ef8"/>
    <w:rPr/>
  </w:style>
  <w:style w:type="character" w:styleId="WW8Num2z5" w:customStyle="1">
    <w:name w:val="WW8Num2z5"/>
    <w:qFormat/>
    <w:rsid w:val="001b0ef8"/>
    <w:rPr/>
  </w:style>
  <w:style w:type="character" w:styleId="WW8Num2z6" w:customStyle="1">
    <w:name w:val="WW8Num2z6"/>
    <w:qFormat/>
    <w:rsid w:val="001b0ef8"/>
    <w:rPr/>
  </w:style>
  <w:style w:type="character" w:styleId="WW8Num2z7" w:customStyle="1">
    <w:name w:val="WW8Num2z7"/>
    <w:qFormat/>
    <w:rsid w:val="001b0ef8"/>
    <w:rPr/>
  </w:style>
  <w:style w:type="character" w:styleId="WW8Num2z8" w:customStyle="1">
    <w:name w:val="WW8Num2z8"/>
    <w:qFormat/>
    <w:rsid w:val="001b0ef8"/>
    <w:rPr/>
  </w:style>
  <w:style w:type="character" w:styleId="WW8Num3z0" w:customStyle="1">
    <w:name w:val="WW8Num3z0"/>
    <w:qFormat/>
    <w:rsid w:val="001b0ef8"/>
    <w:rPr/>
  </w:style>
  <w:style w:type="character" w:styleId="WW8Num3z1" w:customStyle="1">
    <w:name w:val="WW8Num3z1"/>
    <w:qFormat/>
    <w:rsid w:val="001b0ef8"/>
    <w:rPr>
      <w:rFonts w:eastAsia="Wingdings" w:cs="Calibri"/>
      <w:lang w:val="en-US"/>
    </w:rPr>
  </w:style>
  <w:style w:type="character" w:styleId="WW8Num3z2" w:customStyle="1">
    <w:name w:val="WW8Num3z2"/>
    <w:qFormat/>
    <w:rsid w:val="001b0ef8"/>
    <w:rPr/>
  </w:style>
  <w:style w:type="character" w:styleId="WW8Num3z3" w:customStyle="1">
    <w:name w:val="WW8Num3z3"/>
    <w:qFormat/>
    <w:rsid w:val="001b0ef8"/>
    <w:rPr/>
  </w:style>
  <w:style w:type="character" w:styleId="WW8Num3z4" w:customStyle="1">
    <w:name w:val="WW8Num3z4"/>
    <w:qFormat/>
    <w:rsid w:val="001b0ef8"/>
    <w:rPr/>
  </w:style>
  <w:style w:type="character" w:styleId="WW8Num3z5" w:customStyle="1">
    <w:name w:val="WW8Num3z5"/>
    <w:qFormat/>
    <w:rsid w:val="001b0ef8"/>
    <w:rPr/>
  </w:style>
  <w:style w:type="character" w:styleId="WW8Num3z6" w:customStyle="1">
    <w:name w:val="WW8Num3z6"/>
    <w:qFormat/>
    <w:rsid w:val="001b0ef8"/>
    <w:rPr/>
  </w:style>
  <w:style w:type="character" w:styleId="WW8Num3z7" w:customStyle="1">
    <w:name w:val="WW8Num3z7"/>
    <w:qFormat/>
    <w:rsid w:val="001b0ef8"/>
    <w:rPr/>
  </w:style>
  <w:style w:type="character" w:styleId="WW8Num3z8" w:customStyle="1">
    <w:name w:val="WW8Num3z8"/>
    <w:qFormat/>
    <w:rsid w:val="001b0ef8"/>
    <w:rPr/>
  </w:style>
  <w:style w:type="character" w:styleId="WW8Num4z0" w:customStyle="1">
    <w:name w:val="WW8Num4z0"/>
    <w:qFormat/>
    <w:rsid w:val="001b0ef8"/>
    <w:rPr>
      <w:rFonts w:ascii="Symbol" w:hAnsi="Symbol" w:eastAsia="Wingdings" w:cs="Symbol"/>
      <w:lang w:val="en-US"/>
    </w:rPr>
  </w:style>
  <w:style w:type="character" w:styleId="WW8Num4z1" w:customStyle="1">
    <w:name w:val="WW8Num4z1"/>
    <w:qFormat/>
    <w:rsid w:val="001b0ef8"/>
    <w:rPr/>
  </w:style>
  <w:style w:type="character" w:styleId="WW8Num4z2" w:customStyle="1">
    <w:name w:val="WW8Num4z2"/>
    <w:qFormat/>
    <w:rsid w:val="001b0ef8"/>
    <w:rPr/>
  </w:style>
  <w:style w:type="character" w:styleId="WW8Num4z3" w:customStyle="1">
    <w:name w:val="WW8Num4z3"/>
    <w:qFormat/>
    <w:rsid w:val="001b0ef8"/>
    <w:rPr/>
  </w:style>
  <w:style w:type="character" w:styleId="WW8Num4z4" w:customStyle="1">
    <w:name w:val="WW8Num4z4"/>
    <w:qFormat/>
    <w:rsid w:val="001b0ef8"/>
    <w:rPr/>
  </w:style>
  <w:style w:type="character" w:styleId="WW8Num4z5" w:customStyle="1">
    <w:name w:val="WW8Num4z5"/>
    <w:qFormat/>
    <w:rsid w:val="001b0ef8"/>
    <w:rPr/>
  </w:style>
  <w:style w:type="character" w:styleId="WW8Num4z6" w:customStyle="1">
    <w:name w:val="WW8Num4z6"/>
    <w:qFormat/>
    <w:rsid w:val="001b0ef8"/>
    <w:rPr/>
  </w:style>
  <w:style w:type="character" w:styleId="WW8Num4z7" w:customStyle="1">
    <w:name w:val="WW8Num4z7"/>
    <w:qFormat/>
    <w:rsid w:val="001b0ef8"/>
    <w:rPr/>
  </w:style>
  <w:style w:type="character" w:styleId="WW8Num4z8" w:customStyle="1">
    <w:name w:val="WW8Num4z8"/>
    <w:qFormat/>
    <w:rsid w:val="001b0ef8"/>
    <w:rPr/>
  </w:style>
  <w:style w:type="character" w:styleId="WW8Num5z0" w:customStyle="1">
    <w:name w:val="WW8Num5z0"/>
    <w:qFormat/>
    <w:rsid w:val="001b0ef8"/>
    <w:rPr/>
  </w:style>
  <w:style w:type="character" w:styleId="WW8Num5z1" w:customStyle="1">
    <w:name w:val="WW8Num5z1"/>
    <w:qFormat/>
    <w:rsid w:val="001b0ef8"/>
    <w:rPr>
      <w:rFonts w:ascii="Symbol" w:hAnsi="Symbol" w:cs="Symbol"/>
      <w:color w:val="000000"/>
      <w:lang w:val="en-US"/>
    </w:rPr>
  </w:style>
  <w:style w:type="character" w:styleId="WW8Num5z2" w:customStyle="1">
    <w:name w:val="WW8Num5z2"/>
    <w:qFormat/>
    <w:rsid w:val="001b0ef8"/>
    <w:rPr/>
  </w:style>
  <w:style w:type="character" w:styleId="WW8Num5z3" w:customStyle="1">
    <w:name w:val="WW8Num5z3"/>
    <w:qFormat/>
    <w:rsid w:val="001b0ef8"/>
    <w:rPr/>
  </w:style>
  <w:style w:type="character" w:styleId="WW8Num5z4" w:customStyle="1">
    <w:name w:val="WW8Num5z4"/>
    <w:qFormat/>
    <w:rsid w:val="001b0ef8"/>
    <w:rPr/>
  </w:style>
  <w:style w:type="character" w:styleId="WW8Num5z5" w:customStyle="1">
    <w:name w:val="WW8Num5z5"/>
    <w:qFormat/>
    <w:rsid w:val="001b0ef8"/>
    <w:rPr/>
  </w:style>
  <w:style w:type="character" w:styleId="WW8Num5z6" w:customStyle="1">
    <w:name w:val="WW8Num5z6"/>
    <w:qFormat/>
    <w:rsid w:val="001b0ef8"/>
    <w:rPr/>
  </w:style>
  <w:style w:type="character" w:styleId="WW8Num5z7" w:customStyle="1">
    <w:name w:val="WW8Num5z7"/>
    <w:qFormat/>
    <w:rsid w:val="001b0ef8"/>
    <w:rPr/>
  </w:style>
  <w:style w:type="character" w:styleId="WW8Num5z8" w:customStyle="1">
    <w:name w:val="WW8Num5z8"/>
    <w:qFormat/>
    <w:rsid w:val="001b0ef8"/>
    <w:rPr/>
  </w:style>
  <w:style w:type="character" w:styleId="WW8Num6z0" w:customStyle="1">
    <w:name w:val="WW8Num6z0"/>
    <w:qFormat/>
    <w:rsid w:val="001b0ef8"/>
    <w:rPr>
      <w:rFonts w:ascii="Symbol" w:hAnsi="Symbol" w:eastAsia="Tahoma" w:cs="Symbol"/>
      <w:color w:val="00000A"/>
      <w:sz w:val="18"/>
      <w:szCs w:val="18"/>
      <w:lang w:val="en-US"/>
    </w:rPr>
  </w:style>
  <w:style w:type="character" w:styleId="WW8Num6z1" w:customStyle="1">
    <w:name w:val="WW8Num6z1"/>
    <w:qFormat/>
    <w:rsid w:val="001b0ef8"/>
    <w:rPr>
      <w:rFonts w:ascii="OpenSymbol" w:hAnsi="OpenSymbol" w:cs="StarSymbol"/>
      <w:sz w:val="18"/>
      <w:szCs w:val="18"/>
    </w:rPr>
  </w:style>
  <w:style w:type="character" w:styleId="WW8Num6z3" w:customStyle="1">
    <w:name w:val="WW8Num6z3"/>
    <w:qFormat/>
    <w:rsid w:val="001b0ef8"/>
    <w:rPr>
      <w:rFonts w:ascii="Wingdings 2" w:hAnsi="Wingdings 2" w:cs="StarSymbol"/>
      <w:sz w:val="18"/>
      <w:szCs w:val="18"/>
    </w:rPr>
  </w:style>
  <w:style w:type="character" w:styleId="WW8Num7z0" w:customStyle="1">
    <w:name w:val="WW8Num7z0"/>
    <w:qFormat/>
    <w:rsid w:val="001b0ef8"/>
    <w:rPr>
      <w:rFonts w:ascii="Symbol" w:hAnsi="Symbol" w:cs="Symbol"/>
      <w:szCs w:val="24"/>
      <w:lang w:val="en-US"/>
    </w:rPr>
  </w:style>
  <w:style w:type="character" w:styleId="WW8Num8z0" w:customStyle="1">
    <w:name w:val="WW8Num8z0"/>
    <w:qFormat/>
    <w:rsid w:val="001b0ef8"/>
    <w:rPr>
      <w:rFonts w:ascii="Symbol" w:hAnsi="Symbol" w:eastAsia="MS Mincho" w:cs="Symbol"/>
      <w:color w:val="000000"/>
      <w:lang w:val="en-US"/>
    </w:rPr>
  </w:style>
  <w:style w:type="character" w:styleId="WW8Num9z0" w:customStyle="1">
    <w:name w:val="WW8Num9z0"/>
    <w:qFormat/>
    <w:rsid w:val="001b0ef8"/>
    <w:rPr>
      <w:rFonts w:ascii="Times New Roman" w:hAnsi="Times New Roman" w:eastAsia="MS Mincho" w:cs="Times New Roman"/>
      <w:bCs/>
      <w:iCs/>
      <w:spacing w:val="0"/>
      <w:lang w:val="en-US"/>
    </w:rPr>
  </w:style>
  <w:style w:type="character" w:styleId="WW8Num9z1" w:customStyle="1">
    <w:name w:val="WW8Num9z1"/>
    <w:qFormat/>
    <w:rsid w:val="001b0ef8"/>
    <w:rPr/>
  </w:style>
  <w:style w:type="character" w:styleId="WW8Num9z2" w:customStyle="1">
    <w:name w:val="WW8Num9z2"/>
    <w:qFormat/>
    <w:rsid w:val="001b0ef8"/>
    <w:rPr/>
  </w:style>
  <w:style w:type="character" w:styleId="WW8Num9z3" w:customStyle="1">
    <w:name w:val="WW8Num9z3"/>
    <w:qFormat/>
    <w:rsid w:val="001b0ef8"/>
    <w:rPr/>
  </w:style>
  <w:style w:type="character" w:styleId="WW8Num9z4" w:customStyle="1">
    <w:name w:val="WW8Num9z4"/>
    <w:qFormat/>
    <w:rsid w:val="001b0ef8"/>
    <w:rPr/>
  </w:style>
  <w:style w:type="character" w:styleId="WW8Num9z5" w:customStyle="1">
    <w:name w:val="WW8Num9z5"/>
    <w:qFormat/>
    <w:rsid w:val="001b0ef8"/>
    <w:rPr/>
  </w:style>
  <w:style w:type="character" w:styleId="WW8Num9z6" w:customStyle="1">
    <w:name w:val="WW8Num9z6"/>
    <w:qFormat/>
    <w:rsid w:val="001b0ef8"/>
    <w:rPr/>
  </w:style>
  <w:style w:type="character" w:styleId="WW8Num9z7" w:customStyle="1">
    <w:name w:val="WW8Num9z7"/>
    <w:qFormat/>
    <w:rsid w:val="001b0ef8"/>
    <w:rPr/>
  </w:style>
  <w:style w:type="character" w:styleId="WW8Num9z8" w:customStyle="1">
    <w:name w:val="WW8Num9z8"/>
    <w:qFormat/>
    <w:rsid w:val="001b0ef8"/>
    <w:rPr/>
  </w:style>
  <w:style w:type="character" w:styleId="1" w:customStyle="1">
    <w:name w:val="Основной шрифт абзаца1"/>
    <w:qFormat/>
    <w:rsid w:val="001b0ef8"/>
    <w:rPr/>
  </w:style>
  <w:style w:type="character" w:styleId="WW8Num6z2" w:customStyle="1">
    <w:name w:val="WW8Num6z2"/>
    <w:qFormat/>
    <w:rsid w:val="001b0ef8"/>
    <w:rPr/>
  </w:style>
  <w:style w:type="character" w:styleId="WW8Num6z4" w:customStyle="1">
    <w:name w:val="WW8Num6z4"/>
    <w:qFormat/>
    <w:rsid w:val="001b0ef8"/>
    <w:rPr/>
  </w:style>
  <w:style w:type="character" w:styleId="WW8Num6z5" w:customStyle="1">
    <w:name w:val="WW8Num6z5"/>
    <w:qFormat/>
    <w:rsid w:val="001b0ef8"/>
    <w:rPr/>
  </w:style>
  <w:style w:type="character" w:styleId="WW8Num6z6" w:customStyle="1">
    <w:name w:val="WW8Num6z6"/>
    <w:qFormat/>
    <w:rsid w:val="001b0ef8"/>
    <w:rPr/>
  </w:style>
  <w:style w:type="character" w:styleId="WW8Num6z7" w:customStyle="1">
    <w:name w:val="WW8Num6z7"/>
    <w:qFormat/>
    <w:rsid w:val="001b0ef8"/>
    <w:rPr/>
  </w:style>
  <w:style w:type="character" w:styleId="WW8Num6z8" w:customStyle="1">
    <w:name w:val="WW8Num6z8"/>
    <w:qFormat/>
    <w:rsid w:val="001b0ef8"/>
    <w:rPr/>
  </w:style>
  <w:style w:type="character" w:styleId="WW8Num7z1" w:customStyle="1">
    <w:name w:val="WW8Num7z1"/>
    <w:qFormat/>
    <w:rsid w:val="001b0ef8"/>
    <w:rPr/>
  </w:style>
  <w:style w:type="character" w:styleId="WW8Num7z2" w:customStyle="1">
    <w:name w:val="WW8Num7z2"/>
    <w:qFormat/>
    <w:rsid w:val="001b0ef8"/>
    <w:rPr/>
  </w:style>
  <w:style w:type="character" w:styleId="WW8Num7z3" w:customStyle="1">
    <w:name w:val="WW8Num7z3"/>
    <w:qFormat/>
    <w:rsid w:val="001b0ef8"/>
    <w:rPr/>
  </w:style>
  <w:style w:type="character" w:styleId="WW8Num7z4" w:customStyle="1">
    <w:name w:val="WW8Num7z4"/>
    <w:qFormat/>
    <w:rsid w:val="001b0ef8"/>
    <w:rPr/>
  </w:style>
  <w:style w:type="character" w:styleId="WW8Num7z5" w:customStyle="1">
    <w:name w:val="WW8Num7z5"/>
    <w:qFormat/>
    <w:rsid w:val="001b0ef8"/>
    <w:rPr/>
  </w:style>
  <w:style w:type="character" w:styleId="WW8Num7z6" w:customStyle="1">
    <w:name w:val="WW8Num7z6"/>
    <w:qFormat/>
    <w:rsid w:val="001b0ef8"/>
    <w:rPr/>
  </w:style>
  <w:style w:type="character" w:styleId="WW8Num7z7" w:customStyle="1">
    <w:name w:val="WW8Num7z7"/>
    <w:qFormat/>
    <w:rsid w:val="001b0ef8"/>
    <w:rPr/>
  </w:style>
  <w:style w:type="character" w:styleId="WW8Num7z8" w:customStyle="1">
    <w:name w:val="WW8Num7z8"/>
    <w:qFormat/>
    <w:rsid w:val="001b0ef8"/>
    <w:rPr/>
  </w:style>
  <w:style w:type="character" w:styleId="WW8Num8z1" w:customStyle="1">
    <w:name w:val="WW8Num8z1"/>
    <w:qFormat/>
    <w:rsid w:val="001b0ef8"/>
    <w:rPr/>
  </w:style>
  <w:style w:type="character" w:styleId="WW8Num8z3" w:customStyle="1">
    <w:name w:val="WW8Num8z3"/>
    <w:qFormat/>
    <w:rsid w:val="001b0ef8"/>
    <w:rPr/>
  </w:style>
  <w:style w:type="character" w:styleId="WW8Num10z0" w:customStyle="1">
    <w:name w:val="WW8Num10z0"/>
    <w:qFormat/>
    <w:rsid w:val="001b0ef8"/>
    <w:rPr/>
  </w:style>
  <w:style w:type="character" w:styleId="WW8Num8z2" w:customStyle="1">
    <w:name w:val="WW8Num8z2"/>
    <w:qFormat/>
    <w:rsid w:val="001b0ef8"/>
    <w:rPr/>
  </w:style>
  <w:style w:type="character" w:styleId="WW8Num8z4" w:customStyle="1">
    <w:name w:val="WW8Num8z4"/>
    <w:qFormat/>
    <w:rsid w:val="001b0ef8"/>
    <w:rPr/>
  </w:style>
  <w:style w:type="character" w:styleId="WW8Num8z5" w:customStyle="1">
    <w:name w:val="WW8Num8z5"/>
    <w:qFormat/>
    <w:rsid w:val="001b0ef8"/>
    <w:rPr/>
  </w:style>
  <w:style w:type="character" w:styleId="WW8Num8z6" w:customStyle="1">
    <w:name w:val="WW8Num8z6"/>
    <w:qFormat/>
    <w:rsid w:val="001b0ef8"/>
    <w:rPr/>
  </w:style>
  <w:style w:type="character" w:styleId="WW8Num8z7" w:customStyle="1">
    <w:name w:val="WW8Num8z7"/>
    <w:qFormat/>
    <w:rsid w:val="001b0ef8"/>
    <w:rPr/>
  </w:style>
  <w:style w:type="character" w:styleId="WW8Num8z8" w:customStyle="1">
    <w:name w:val="WW8Num8z8"/>
    <w:qFormat/>
    <w:rsid w:val="001b0ef8"/>
    <w:rPr/>
  </w:style>
  <w:style w:type="character" w:styleId="WW8Num10z1" w:customStyle="1">
    <w:name w:val="WW8Num10z1"/>
    <w:qFormat/>
    <w:rsid w:val="001b0ef8"/>
    <w:rPr/>
  </w:style>
  <w:style w:type="character" w:styleId="WW8Num11z0" w:customStyle="1">
    <w:name w:val="WW8Num11z0"/>
    <w:qFormat/>
    <w:rsid w:val="001b0ef8"/>
    <w:rPr/>
  </w:style>
  <w:style w:type="character" w:styleId="WW8Num11z1" w:customStyle="1">
    <w:name w:val="WW8Num11z1"/>
    <w:qFormat/>
    <w:rsid w:val="001b0ef8"/>
    <w:rPr/>
  </w:style>
  <w:style w:type="character" w:styleId="WW8Num11z3" w:customStyle="1">
    <w:name w:val="WW8Num11z3"/>
    <w:qFormat/>
    <w:rsid w:val="001b0ef8"/>
    <w:rPr/>
  </w:style>
  <w:style w:type="character" w:styleId="WW8Num12z0" w:customStyle="1">
    <w:name w:val="WW8Num12z0"/>
    <w:qFormat/>
    <w:rsid w:val="001b0ef8"/>
    <w:rPr/>
  </w:style>
  <w:style w:type="character" w:styleId="WW8Num12z1" w:customStyle="1">
    <w:name w:val="WW8Num12z1"/>
    <w:qFormat/>
    <w:rsid w:val="001b0ef8"/>
    <w:rPr/>
  </w:style>
  <w:style w:type="character" w:styleId="WW8Num12z3" w:customStyle="1">
    <w:name w:val="WW8Num12z3"/>
    <w:qFormat/>
    <w:rsid w:val="001b0ef8"/>
    <w:rPr/>
  </w:style>
  <w:style w:type="character" w:styleId="WW8Num13z0" w:customStyle="1">
    <w:name w:val="WW8Num13z0"/>
    <w:qFormat/>
    <w:rsid w:val="001b0ef8"/>
    <w:rPr>
      <w:lang w:val="en-US"/>
    </w:rPr>
  </w:style>
  <w:style w:type="character" w:styleId="WW8Num13z1" w:customStyle="1">
    <w:name w:val="WW8Num13z1"/>
    <w:qFormat/>
    <w:rsid w:val="001b0ef8"/>
    <w:rPr/>
  </w:style>
  <w:style w:type="character" w:styleId="WW8Num13z2" w:customStyle="1">
    <w:name w:val="WW8Num13z2"/>
    <w:qFormat/>
    <w:rsid w:val="001b0ef8"/>
    <w:rPr/>
  </w:style>
  <w:style w:type="character" w:styleId="WW8Num13z3" w:customStyle="1">
    <w:name w:val="WW8Num13z3"/>
    <w:qFormat/>
    <w:rsid w:val="001b0ef8"/>
    <w:rPr/>
  </w:style>
  <w:style w:type="character" w:styleId="WW8Num13z4" w:customStyle="1">
    <w:name w:val="WW8Num13z4"/>
    <w:qFormat/>
    <w:rsid w:val="001b0ef8"/>
    <w:rPr/>
  </w:style>
  <w:style w:type="character" w:styleId="WW8Num13z5" w:customStyle="1">
    <w:name w:val="WW8Num13z5"/>
    <w:qFormat/>
    <w:rsid w:val="001b0ef8"/>
    <w:rPr/>
  </w:style>
  <w:style w:type="character" w:styleId="WW8Num13z6" w:customStyle="1">
    <w:name w:val="WW8Num13z6"/>
    <w:qFormat/>
    <w:rsid w:val="001b0ef8"/>
    <w:rPr/>
  </w:style>
  <w:style w:type="character" w:styleId="WW8Num13z7" w:customStyle="1">
    <w:name w:val="WW8Num13z7"/>
    <w:qFormat/>
    <w:rsid w:val="001b0ef8"/>
    <w:rPr/>
  </w:style>
  <w:style w:type="character" w:styleId="WW8Num13z8" w:customStyle="1">
    <w:name w:val="WW8Num13z8"/>
    <w:qFormat/>
    <w:rsid w:val="001b0ef8"/>
    <w:rPr/>
  </w:style>
  <w:style w:type="character" w:styleId="WW8Num14z0" w:customStyle="1">
    <w:name w:val="WW8Num14z0"/>
    <w:qFormat/>
    <w:rsid w:val="001b0ef8"/>
    <w:rPr/>
  </w:style>
  <w:style w:type="character" w:styleId="WW8Num14z1" w:customStyle="1">
    <w:name w:val="WW8Num14z1"/>
    <w:qFormat/>
    <w:rsid w:val="001b0ef8"/>
    <w:rPr/>
  </w:style>
  <w:style w:type="character" w:styleId="WW8Num14z3" w:customStyle="1">
    <w:name w:val="WW8Num14z3"/>
    <w:qFormat/>
    <w:rsid w:val="001b0ef8"/>
    <w:rPr/>
  </w:style>
  <w:style w:type="character" w:styleId="WW8Num15z0" w:customStyle="1">
    <w:name w:val="WW8Num15z0"/>
    <w:qFormat/>
    <w:rsid w:val="001b0ef8"/>
    <w:rPr/>
  </w:style>
  <w:style w:type="character" w:styleId="WW8Num15z1" w:customStyle="1">
    <w:name w:val="WW8Num15z1"/>
    <w:qFormat/>
    <w:rsid w:val="001b0ef8"/>
    <w:rPr/>
  </w:style>
  <w:style w:type="character" w:styleId="WW8Num15z3" w:customStyle="1">
    <w:name w:val="WW8Num15z3"/>
    <w:qFormat/>
    <w:rsid w:val="001b0ef8"/>
    <w:rPr/>
  </w:style>
  <w:style w:type="character" w:styleId="WW8Num16z0" w:customStyle="1">
    <w:name w:val="WW8Num16z0"/>
    <w:qFormat/>
    <w:rsid w:val="001b0ef8"/>
    <w:rPr/>
  </w:style>
  <w:style w:type="character" w:styleId="WW8Num16z1" w:customStyle="1">
    <w:name w:val="WW8Num16z1"/>
    <w:qFormat/>
    <w:rsid w:val="001b0ef8"/>
    <w:rPr>
      <w:rFonts w:ascii="Courier New" w:hAnsi="Courier New" w:cs="Courier New"/>
    </w:rPr>
  </w:style>
  <w:style w:type="character" w:styleId="WW8Num16z2" w:customStyle="1">
    <w:name w:val="WW8Num16z2"/>
    <w:qFormat/>
    <w:rsid w:val="001b0ef8"/>
    <w:rPr>
      <w:rFonts w:ascii="Wingdings" w:hAnsi="Wingdings" w:cs="Wingdings"/>
    </w:rPr>
  </w:style>
  <w:style w:type="character" w:styleId="WW8Num17z0" w:customStyle="1">
    <w:name w:val="WW8Num17z0"/>
    <w:qFormat/>
    <w:rsid w:val="001b0ef8"/>
    <w:rPr/>
  </w:style>
  <w:style w:type="character" w:styleId="WW8Num17z1" w:customStyle="1">
    <w:name w:val="WW8Num17z1"/>
    <w:qFormat/>
    <w:rsid w:val="001b0ef8"/>
    <w:rPr>
      <w:rFonts w:ascii="Courier New" w:hAnsi="Courier New" w:cs="Courier New"/>
    </w:rPr>
  </w:style>
  <w:style w:type="character" w:styleId="WW8Num17z2" w:customStyle="1">
    <w:name w:val="WW8Num17z2"/>
    <w:qFormat/>
    <w:rsid w:val="001b0ef8"/>
    <w:rPr>
      <w:rFonts w:ascii="Wingdings" w:hAnsi="Wingdings" w:cs="Wingdings"/>
    </w:rPr>
  </w:style>
  <w:style w:type="character" w:styleId="WWDefaultParagraphFont" w:customStyle="1">
    <w:name w:val="WW-Default Paragraph Font"/>
    <w:qFormat/>
    <w:rsid w:val="001b0ef8"/>
    <w:rPr/>
  </w:style>
  <w:style w:type="character" w:styleId="Style10" w:customStyle="1">
    <w:name w:val="Интернет-ссылка"/>
    <w:qFormat/>
    <w:rsid w:val="001b0ef8"/>
    <w:rPr/>
  </w:style>
  <w:style w:type="character" w:styleId="11" w:customStyle="1">
    <w:name w:val="Просмотренная гиперссылка1"/>
    <w:qFormat/>
    <w:rsid w:val="001b0ef8"/>
    <w:rPr/>
  </w:style>
  <w:style w:type="character" w:styleId="FootnoteReference1" w:customStyle="1">
    <w:name w:val="Footnote Reference1"/>
    <w:qFormat/>
    <w:rsid w:val="001b0ef8"/>
    <w:rPr/>
  </w:style>
  <w:style w:type="character" w:styleId="PageNumber1" w:customStyle="1">
    <w:name w:val="Page Number1"/>
    <w:basedOn w:val="1"/>
    <w:qFormat/>
    <w:rsid w:val="001b0ef8"/>
    <w:rPr/>
  </w:style>
  <w:style w:type="character" w:styleId="FootnoteCharacters" w:customStyle="1">
    <w:name w:val="Footnote Characters"/>
    <w:qFormat/>
    <w:rsid w:val="001b0ef8"/>
    <w:rPr/>
  </w:style>
  <w:style w:type="character" w:styleId="WWAbsatzStandardschriftart" w:customStyle="1">
    <w:name w:val="WW-Absatz-Standardschriftart"/>
    <w:qFormat/>
    <w:rsid w:val="001b0ef8"/>
    <w:rPr/>
  </w:style>
  <w:style w:type="character" w:styleId="7" w:customStyle="1">
    <w:name w:val="Заголовок 7 Знак"/>
    <w:qFormat/>
    <w:rsid w:val="001b0ef8"/>
    <w:rPr>
      <w:sz w:val="24"/>
    </w:rPr>
  </w:style>
  <w:style w:type="character" w:styleId="WW8Num10z2" w:customStyle="1">
    <w:name w:val="WW8Num10z2"/>
    <w:qFormat/>
    <w:rsid w:val="001b0ef8"/>
    <w:rPr/>
  </w:style>
  <w:style w:type="character" w:styleId="WW8Num11z2" w:customStyle="1">
    <w:name w:val="WW8Num11z2"/>
    <w:qFormat/>
    <w:rsid w:val="001b0ef8"/>
    <w:rPr>
      <w:rFonts w:ascii="Wingdings" w:hAnsi="Wingdings" w:cs="Wingdings"/>
    </w:rPr>
  </w:style>
  <w:style w:type="character" w:styleId="WW8Num12z2" w:customStyle="1">
    <w:name w:val="WW8Num12z2"/>
    <w:qFormat/>
    <w:rsid w:val="001b0ef8"/>
    <w:rPr>
      <w:rFonts w:ascii="Wingdings" w:hAnsi="Wingdings" w:cs="Wingdings"/>
    </w:rPr>
  </w:style>
  <w:style w:type="character" w:styleId="WW8Num18z0" w:customStyle="1">
    <w:name w:val="WW8Num18z0"/>
    <w:qFormat/>
    <w:rsid w:val="001b0ef8"/>
    <w:rPr>
      <w:rFonts w:ascii="Symbol" w:hAnsi="Symbol" w:cs="Symbol"/>
    </w:rPr>
  </w:style>
  <w:style w:type="character" w:styleId="WW8Num18z1" w:customStyle="1">
    <w:name w:val="WW8Num18z1"/>
    <w:qFormat/>
    <w:rsid w:val="001b0ef8"/>
    <w:rPr>
      <w:rFonts w:ascii="Courier New" w:hAnsi="Courier New" w:cs="Courier New"/>
    </w:rPr>
  </w:style>
  <w:style w:type="character" w:styleId="WW8Num18z2" w:customStyle="1">
    <w:name w:val="WW8Num18z2"/>
    <w:qFormat/>
    <w:rsid w:val="001b0ef8"/>
    <w:rPr>
      <w:rFonts w:ascii="Wingdings" w:hAnsi="Wingdings" w:cs="Wingdings"/>
    </w:rPr>
  </w:style>
  <w:style w:type="character" w:styleId="WW8Num19z0" w:customStyle="1">
    <w:name w:val="WW8Num19z0"/>
    <w:qFormat/>
    <w:rsid w:val="001b0ef8"/>
    <w:rPr>
      <w:rFonts w:ascii="Times New Roman" w:hAnsi="Times New Roman" w:cs="Times New Roman"/>
    </w:rPr>
  </w:style>
  <w:style w:type="character" w:styleId="WW8Num20z0" w:customStyle="1">
    <w:name w:val="WW8Num20z0"/>
    <w:qFormat/>
    <w:rsid w:val="001b0ef8"/>
    <w:rPr>
      <w:rFonts w:ascii="Symbol" w:hAnsi="Symbol" w:cs="Symbol"/>
    </w:rPr>
  </w:style>
  <w:style w:type="character" w:styleId="WW8Num20z1" w:customStyle="1">
    <w:name w:val="WW8Num20z1"/>
    <w:qFormat/>
    <w:rsid w:val="001b0ef8"/>
    <w:rPr>
      <w:rFonts w:ascii="Courier New" w:hAnsi="Courier New" w:cs="Courier New"/>
    </w:rPr>
  </w:style>
  <w:style w:type="character" w:styleId="WW8Num20z2" w:customStyle="1">
    <w:name w:val="WW8Num20z2"/>
    <w:qFormat/>
    <w:rsid w:val="001b0ef8"/>
    <w:rPr>
      <w:rFonts w:ascii="Wingdings" w:hAnsi="Wingdings" w:cs="Wingdings"/>
    </w:rPr>
  </w:style>
  <w:style w:type="character" w:styleId="WW8Num21z0" w:customStyle="1">
    <w:name w:val="WW8Num21z0"/>
    <w:qFormat/>
    <w:rsid w:val="001b0ef8"/>
    <w:rPr>
      <w:rFonts w:ascii="Times New Roman" w:hAnsi="Times New Roman" w:cs="Times New Roman"/>
    </w:rPr>
  </w:style>
  <w:style w:type="character" w:styleId="WW8Num22z0" w:customStyle="1">
    <w:name w:val="WW8Num22z0"/>
    <w:qFormat/>
    <w:rsid w:val="001b0ef8"/>
    <w:rPr>
      <w:rFonts w:ascii="Times New Roman" w:hAnsi="Times New Roman" w:cs="Times New Roman"/>
    </w:rPr>
  </w:style>
  <w:style w:type="character" w:styleId="WW8Num24z0" w:customStyle="1">
    <w:name w:val="WW8Num24z0"/>
    <w:qFormat/>
    <w:rsid w:val="001b0ef8"/>
    <w:rPr>
      <w:rFonts w:ascii="Times New Roman" w:hAnsi="Times New Roman" w:cs="Times New Roman"/>
    </w:rPr>
  </w:style>
  <w:style w:type="character" w:styleId="WW8Num25z0" w:customStyle="1">
    <w:name w:val="WW8Num25z0"/>
    <w:qFormat/>
    <w:rsid w:val="001b0ef8"/>
    <w:rPr>
      <w:rFonts w:ascii="Times New Roman" w:hAnsi="Times New Roman" w:cs="Times New Roman"/>
    </w:rPr>
  </w:style>
  <w:style w:type="character" w:styleId="WW8NumSt22z0" w:customStyle="1">
    <w:name w:val="WW8NumSt22z0"/>
    <w:qFormat/>
    <w:rsid w:val="001b0ef8"/>
    <w:rPr>
      <w:rFonts w:ascii="Times New Roman" w:hAnsi="Times New Roman" w:cs="Times New Roman"/>
    </w:rPr>
  </w:style>
  <w:style w:type="character" w:styleId="WW8NumSt23z0" w:customStyle="1">
    <w:name w:val="WW8NumSt23z0"/>
    <w:qFormat/>
    <w:rsid w:val="001b0ef8"/>
    <w:rPr>
      <w:rFonts w:ascii="Times New Roman" w:hAnsi="Times New Roman" w:cs="Times New Roman"/>
    </w:rPr>
  </w:style>
  <w:style w:type="character" w:styleId="WW8NumSt25z0" w:customStyle="1">
    <w:name w:val="WW8NumSt25z0"/>
    <w:qFormat/>
    <w:rsid w:val="001b0ef8"/>
    <w:rPr>
      <w:rFonts w:ascii="Times New Roman" w:hAnsi="Times New Roman" w:cs="Times New Roman"/>
    </w:rPr>
  </w:style>
  <w:style w:type="character" w:styleId="WW8NumSt26z0" w:customStyle="1">
    <w:name w:val="WW8NumSt26z0"/>
    <w:qFormat/>
    <w:rsid w:val="001b0ef8"/>
    <w:rPr>
      <w:rFonts w:ascii="Times New Roman" w:hAnsi="Times New Roman" w:cs="Times New Roman"/>
    </w:rPr>
  </w:style>
  <w:style w:type="character" w:styleId="WW8NumSt27z0" w:customStyle="1">
    <w:name w:val="WW8NumSt27z0"/>
    <w:qFormat/>
    <w:rsid w:val="001b0ef8"/>
    <w:rPr>
      <w:rFonts w:ascii="Times New Roman" w:hAnsi="Times New Roman" w:cs="Times New Roman"/>
    </w:rPr>
  </w:style>
  <w:style w:type="character" w:styleId="WW8NumSt28z0" w:customStyle="1">
    <w:name w:val="WW8NumSt28z0"/>
    <w:qFormat/>
    <w:rsid w:val="001b0ef8"/>
    <w:rPr>
      <w:rFonts w:ascii="Times New Roman" w:hAnsi="Times New Roman" w:cs="Times New Roman"/>
    </w:rPr>
  </w:style>
  <w:style w:type="character" w:styleId="WWDefaultParagraphFont1" w:customStyle="1">
    <w:name w:val="WW-Default Paragraph Font1"/>
    <w:qFormat/>
    <w:rsid w:val="001b0ef8"/>
    <w:rPr/>
  </w:style>
  <w:style w:type="character" w:styleId="WWDefaultParagraphFont11" w:customStyle="1">
    <w:name w:val="WW-Default Paragraph Font11"/>
    <w:qFormat/>
    <w:rsid w:val="001b0ef8"/>
    <w:rPr/>
  </w:style>
  <w:style w:type="character" w:styleId="WWFootnoteCharacters" w:customStyle="1">
    <w:name w:val="WW-Footnote Characters"/>
    <w:qFormat/>
    <w:rsid w:val="001b0ef8"/>
    <w:rPr>
      <w:vertAlign w:val="superscript"/>
    </w:rPr>
  </w:style>
  <w:style w:type="character" w:styleId="RTFNum221" w:customStyle="1">
    <w:name w:val="RTF_Num 22 1"/>
    <w:qFormat/>
    <w:rsid w:val="001b0ef8"/>
    <w:rPr/>
  </w:style>
  <w:style w:type="character" w:styleId="RTFNum222" w:customStyle="1">
    <w:name w:val="RTF_Num 22 2"/>
    <w:qFormat/>
    <w:rsid w:val="001b0ef8"/>
    <w:rPr/>
  </w:style>
  <w:style w:type="character" w:styleId="RTFNum223" w:customStyle="1">
    <w:name w:val="RTF_Num 22 3"/>
    <w:qFormat/>
    <w:rsid w:val="001b0ef8"/>
    <w:rPr/>
  </w:style>
  <w:style w:type="character" w:styleId="RTFNum224" w:customStyle="1">
    <w:name w:val="RTF_Num 22 4"/>
    <w:qFormat/>
    <w:rsid w:val="001b0ef8"/>
    <w:rPr/>
  </w:style>
  <w:style w:type="character" w:styleId="RTFNum225" w:customStyle="1">
    <w:name w:val="RTF_Num 22 5"/>
    <w:qFormat/>
    <w:rsid w:val="001b0ef8"/>
    <w:rPr/>
  </w:style>
  <w:style w:type="character" w:styleId="RTFNum226" w:customStyle="1">
    <w:name w:val="RTF_Num 22 6"/>
    <w:qFormat/>
    <w:rsid w:val="001b0ef8"/>
    <w:rPr/>
  </w:style>
  <w:style w:type="character" w:styleId="RTFNum227" w:customStyle="1">
    <w:name w:val="RTF_Num 22 7"/>
    <w:qFormat/>
    <w:rsid w:val="001b0ef8"/>
    <w:rPr/>
  </w:style>
  <w:style w:type="character" w:styleId="RTFNum228" w:customStyle="1">
    <w:name w:val="RTF_Num 22 8"/>
    <w:qFormat/>
    <w:rsid w:val="001b0ef8"/>
    <w:rPr/>
  </w:style>
  <w:style w:type="character" w:styleId="RTFNum229" w:customStyle="1">
    <w:name w:val="RTF_Num 22 9"/>
    <w:qFormat/>
    <w:rsid w:val="001b0ef8"/>
    <w:rPr/>
  </w:style>
  <w:style w:type="character" w:styleId="RTFNum91" w:customStyle="1">
    <w:name w:val="RTF_Num 9 1"/>
    <w:qFormat/>
    <w:rsid w:val="001b0ef8"/>
    <w:rPr/>
  </w:style>
  <w:style w:type="character" w:styleId="RTFNum92" w:customStyle="1">
    <w:name w:val="RTF_Num 9 2"/>
    <w:qFormat/>
    <w:rsid w:val="001b0ef8"/>
    <w:rPr/>
  </w:style>
  <w:style w:type="character" w:styleId="RTFNum93" w:customStyle="1">
    <w:name w:val="RTF_Num 9 3"/>
    <w:qFormat/>
    <w:rsid w:val="001b0ef8"/>
    <w:rPr/>
  </w:style>
  <w:style w:type="character" w:styleId="RTFNum94" w:customStyle="1">
    <w:name w:val="RTF_Num 9 4"/>
    <w:qFormat/>
    <w:rsid w:val="001b0ef8"/>
    <w:rPr/>
  </w:style>
  <w:style w:type="character" w:styleId="RTFNum95" w:customStyle="1">
    <w:name w:val="RTF_Num 9 5"/>
    <w:qFormat/>
    <w:rsid w:val="001b0ef8"/>
    <w:rPr/>
  </w:style>
  <w:style w:type="character" w:styleId="RTFNum96" w:customStyle="1">
    <w:name w:val="RTF_Num 9 6"/>
    <w:qFormat/>
    <w:rsid w:val="001b0ef8"/>
    <w:rPr/>
  </w:style>
  <w:style w:type="character" w:styleId="RTFNum97" w:customStyle="1">
    <w:name w:val="RTF_Num 9 7"/>
    <w:qFormat/>
    <w:rsid w:val="001b0ef8"/>
    <w:rPr/>
  </w:style>
  <w:style w:type="character" w:styleId="RTFNum98" w:customStyle="1">
    <w:name w:val="RTF_Num 9 8"/>
    <w:qFormat/>
    <w:rsid w:val="001b0ef8"/>
    <w:rPr/>
  </w:style>
  <w:style w:type="character" w:styleId="RTFNum99" w:customStyle="1">
    <w:name w:val="RTF_Num 9 9"/>
    <w:qFormat/>
    <w:rsid w:val="001b0ef8"/>
    <w:rPr/>
  </w:style>
  <w:style w:type="character" w:styleId="RTFNum231" w:customStyle="1">
    <w:name w:val="RTF_Num 23 1"/>
    <w:qFormat/>
    <w:rsid w:val="001b0ef8"/>
    <w:rPr/>
  </w:style>
  <w:style w:type="character" w:styleId="RTFNum232" w:customStyle="1">
    <w:name w:val="RTF_Num 23 2"/>
    <w:qFormat/>
    <w:rsid w:val="001b0ef8"/>
    <w:rPr/>
  </w:style>
  <w:style w:type="character" w:styleId="RTFNum233" w:customStyle="1">
    <w:name w:val="RTF_Num 23 3"/>
    <w:qFormat/>
    <w:rsid w:val="001b0ef8"/>
    <w:rPr/>
  </w:style>
  <w:style w:type="character" w:styleId="RTFNum234" w:customStyle="1">
    <w:name w:val="RTF_Num 23 4"/>
    <w:qFormat/>
    <w:rsid w:val="001b0ef8"/>
    <w:rPr/>
  </w:style>
  <w:style w:type="character" w:styleId="RTFNum235" w:customStyle="1">
    <w:name w:val="RTF_Num 23 5"/>
    <w:qFormat/>
    <w:rsid w:val="001b0ef8"/>
    <w:rPr/>
  </w:style>
  <w:style w:type="character" w:styleId="RTFNum236" w:customStyle="1">
    <w:name w:val="RTF_Num 23 6"/>
    <w:qFormat/>
    <w:rsid w:val="001b0ef8"/>
    <w:rPr/>
  </w:style>
  <w:style w:type="character" w:styleId="RTFNum237" w:customStyle="1">
    <w:name w:val="RTF_Num 23 7"/>
    <w:qFormat/>
    <w:rsid w:val="001b0ef8"/>
    <w:rPr/>
  </w:style>
  <w:style w:type="character" w:styleId="RTFNum238" w:customStyle="1">
    <w:name w:val="RTF_Num 23 8"/>
    <w:qFormat/>
    <w:rsid w:val="001b0ef8"/>
    <w:rPr/>
  </w:style>
  <w:style w:type="character" w:styleId="RTFNum239" w:customStyle="1">
    <w:name w:val="RTF_Num 23 9"/>
    <w:qFormat/>
    <w:rsid w:val="001b0ef8"/>
    <w:rPr/>
  </w:style>
  <w:style w:type="character" w:styleId="RTFNum171" w:customStyle="1">
    <w:name w:val="RTF_Num 17 1"/>
    <w:qFormat/>
    <w:rsid w:val="001b0ef8"/>
    <w:rPr/>
  </w:style>
  <w:style w:type="character" w:styleId="RTFNum172" w:customStyle="1">
    <w:name w:val="RTF_Num 17 2"/>
    <w:qFormat/>
    <w:rsid w:val="001b0ef8"/>
    <w:rPr/>
  </w:style>
  <w:style w:type="character" w:styleId="RTFNum173" w:customStyle="1">
    <w:name w:val="RTF_Num 17 3"/>
    <w:qFormat/>
    <w:rsid w:val="001b0ef8"/>
    <w:rPr/>
  </w:style>
  <w:style w:type="character" w:styleId="RTFNum174" w:customStyle="1">
    <w:name w:val="RTF_Num 17 4"/>
    <w:qFormat/>
    <w:rsid w:val="001b0ef8"/>
    <w:rPr/>
  </w:style>
  <w:style w:type="character" w:styleId="RTFNum175" w:customStyle="1">
    <w:name w:val="RTF_Num 17 5"/>
    <w:qFormat/>
    <w:rsid w:val="001b0ef8"/>
    <w:rPr/>
  </w:style>
  <w:style w:type="character" w:styleId="RTFNum176" w:customStyle="1">
    <w:name w:val="RTF_Num 17 6"/>
    <w:qFormat/>
    <w:rsid w:val="001b0ef8"/>
    <w:rPr/>
  </w:style>
  <w:style w:type="character" w:styleId="RTFNum177" w:customStyle="1">
    <w:name w:val="RTF_Num 17 7"/>
    <w:qFormat/>
    <w:rsid w:val="001b0ef8"/>
    <w:rPr/>
  </w:style>
  <w:style w:type="character" w:styleId="RTFNum178" w:customStyle="1">
    <w:name w:val="RTF_Num 17 8"/>
    <w:qFormat/>
    <w:rsid w:val="001b0ef8"/>
    <w:rPr/>
  </w:style>
  <w:style w:type="character" w:styleId="RTFNum179" w:customStyle="1">
    <w:name w:val="RTF_Num 17 9"/>
    <w:qFormat/>
    <w:rsid w:val="001b0ef8"/>
    <w:rPr/>
  </w:style>
  <w:style w:type="character" w:styleId="RTFNum51" w:customStyle="1">
    <w:name w:val="RTF_Num 5 1"/>
    <w:qFormat/>
    <w:rsid w:val="001b0ef8"/>
    <w:rPr/>
  </w:style>
  <w:style w:type="character" w:styleId="RTFNum52" w:customStyle="1">
    <w:name w:val="RTF_Num 5 2"/>
    <w:qFormat/>
    <w:rsid w:val="001b0ef8"/>
    <w:rPr/>
  </w:style>
  <w:style w:type="character" w:styleId="RTFNum53" w:customStyle="1">
    <w:name w:val="RTF_Num 5 3"/>
    <w:qFormat/>
    <w:rsid w:val="001b0ef8"/>
    <w:rPr/>
  </w:style>
  <w:style w:type="character" w:styleId="RTFNum54" w:customStyle="1">
    <w:name w:val="RTF_Num 5 4"/>
    <w:qFormat/>
    <w:rsid w:val="001b0ef8"/>
    <w:rPr/>
  </w:style>
  <w:style w:type="character" w:styleId="RTFNum55" w:customStyle="1">
    <w:name w:val="RTF_Num 5 5"/>
    <w:qFormat/>
    <w:rsid w:val="001b0ef8"/>
    <w:rPr/>
  </w:style>
  <w:style w:type="character" w:styleId="RTFNum56" w:customStyle="1">
    <w:name w:val="RTF_Num 5 6"/>
    <w:qFormat/>
    <w:rsid w:val="001b0ef8"/>
    <w:rPr/>
  </w:style>
  <w:style w:type="character" w:styleId="RTFNum57" w:customStyle="1">
    <w:name w:val="RTF_Num 5 7"/>
    <w:qFormat/>
    <w:rsid w:val="001b0ef8"/>
    <w:rPr/>
  </w:style>
  <w:style w:type="character" w:styleId="RTFNum58" w:customStyle="1">
    <w:name w:val="RTF_Num 5 8"/>
    <w:qFormat/>
    <w:rsid w:val="001b0ef8"/>
    <w:rPr/>
  </w:style>
  <w:style w:type="character" w:styleId="RTFNum59" w:customStyle="1">
    <w:name w:val="RTF_Num 5 9"/>
    <w:qFormat/>
    <w:rsid w:val="001b0ef8"/>
    <w:rPr/>
  </w:style>
  <w:style w:type="character" w:styleId="RTFNum81" w:customStyle="1">
    <w:name w:val="RTF_Num 8 1"/>
    <w:qFormat/>
    <w:rsid w:val="001b0ef8"/>
    <w:rPr/>
  </w:style>
  <w:style w:type="character" w:styleId="RTFNum82" w:customStyle="1">
    <w:name w:val="RTF_Num 8 2"/>
    <w:qFormat/>
    <w:rsid w:val="001b0ef8"/>
    <w:rPr/>
  </w:style>
  <w:style w:type="character" w:styleId="RTFNum83" w:customStyle="1">
    <w:name w:val="RTF_Num 8 3"/>
    <w:qFormat/>
    <w:rsid w:val="001b0ef8"/>
    <w:rPr/>
  </w:style>
  <w:style w:type="character" w:styleId="RTFNum84" w:customStyle="1">
    <w:name w:val="RTF_Num 8 4"/>
    <w:qFormat/>
    <w:rsid w:val="001b0ef8"/>
    <w:rPr/>
  </w:style>
  <w:style w:type="character" w:styleId="RTFNum85" w:customStyle="1">
    <w:name w:val="RTF_Num 8 5"/>
    <w:qFormat/>
    <w:rsid w:val="001b0ef8"/>
    <w:rPr/>
  </w:style>
  <w:style w:type="character" w:styleId="RTFNum86" w:customStyle="1">
    <w:name w:val="RTF_Num 8 6"/>
    <w:qFormat/>
    <w:rsid w:val="001b0ef8"/>
    <w:rPr/>
  </w:style>
  <w:style w:type="character" w:styleId="RTFNum87" w:customStyle="1">
    <w:name w:val="RTF_Num 8 7"/>
    <w:qFormat/>
    <w:rsid w:val="001b0ef8"/>
    <w:rPr/>
  </w:style>
  <w:style w:type="character" w:styleId="RTFNum88" w:customStyle="1">
    <w:name w:val="RTF_Num 8 8"/>
    <w:qFormat/>
    <w:rsid w:val="001b0ef8"/>
    <w:rPr/>
  </w:style>
  <w:style w:type="character" w:styleId="RTFNum89" w:customStyle="1">
    <w:name w:val="RTF_Num 8 9"/>
    <w:qFormat/>
    <w:rsid w:val="001b0ef8"/>
    <w:rPr/>
  </w:style>
  <w:style w:type="character" w:styleId="RTFNum61" w:customStyle="1">
    <w:name w:val="RTF_Num 6 1"/>
    <w:qFormat/>
    <w:rsid w:val="001b0ef8"/>
    <w:rPr/>
  </w:style>
  <w:style w:type="character" w:styleId="RTFNum62" w:customStyle="1">
    <w:name w:val="RTF_Num 6 2"/>
    <w:qFormat/>
    <w:rsid w:val="001b0ef8"/>
    <w:rPr/>
  </w:style>
  <w:style w:type="character" w:styleId="RTFNum63" w:customStyle="1">
    <w:name w:val="RTF_Num 6 3"/>
    <w:qFormat/>
    <w:rsid w:val="001b0ef8"/>
    <w:rPr/>
  </w:style>
  <w:style w:type="character" w:styleId="RTFNum64" w:customStyle="1">
    <w:name w:val="RTF_Num 6 4"/>
    <w:qFormat/>
    <w:rsid w:val="001b0ef8"/>
    <w:rPr/>
  </w:style>
  <w:style w:type="character" w:styleId="RTFNum65" w:customStyle="1">
    <w:name w:val="RTF_Num 6 5"/>
    <w:qFormat/>
    <w:rsid w:val="001b0ef8"/>
    <w:rPr/>
  </w:style>
  <w:style w:type="character" w:styleId="RTFNum66" w:customStyle="1">
    <w:name w:val="RTF_Num 6 6"/>
    <w:qFormat/>
    <w:rsid w:val="001b0ef8"/>
    <w:rPr/>
  </w:style>
  <w:style w:type="character" w:styleId="RTFNum67" w:customStyle="1">
    <w:name w:val="RTF_Num 6 7"/>
    <w:qFormat/>
    <w:rsid w:val="001b0ef8"/>
    <w:rPr/>
  </w:style>
  <w:style w:type="character" w:styleId="RTFNum68" w:customStyle="1">
    <w:name w:val="RTF_Num 6 8"/>
    <w:qFormat/>
    <w:rsid w:val="001b0ef8"/>
    <w:rPr/>
  </w:style>
  <w:style w:type="character" w:styleId="RTFNum69" w:customStyle="1">
    <w:name w:val="RTF_Num 6 9"/>
    <w:qFormat/>
    <w:rsid w:val="001b0ef8"/>
    <w:rPr/>
  </w:style>
  <w:style w:type="character" w:styleId="RTFNum131" w:customStyle="1">
    <w:name w:val="RTF_Num 13 1"/>
    <w:qFormat/>
    <w:rsid w:val="001b0ef8"/>
    <w:rPr/>
  </w:style>
  <w:style w:type="character" w:styleId="RTFNum132" w:customStyle="1">
    <w:name w:val="RTF_Num 13 2"/>
    <w:qFormat/>
    <w:rsid w:val="001b0ef8"/>
    <w:rPr/>
  </w:style>
  <w:style w:type="character" w:styleId="RTFNum133" w:customStyle="1">
    <w:name w:val="RTF_Num 13 3"/>
    <w:qFormat/>
    <w:rsid w:val="001b0ef8"/>
    <w:rPr/>
  </w:style>
  <w:style w:type="character" w:styleId="RTFNum134" w:customStyle="1">
    <w:name w:val="RTF_Num 13 4"/>
    <w:qFormat/>
    <w:rsid w:val="001b0ef8"/>
    <w:rPr/>
  </w:style>
  <w:style w:type="character" w:styleId="RTFNum135" w:customStyle="1">
    <w:name w:val="RTF_Num 13 5"/>
    <w:qFormat/>
    <w:rsid w:val="001b0ef8"/>
    <w:rPr/>
  </w:style>
  <w:style w:type="character" w:styleId="RTFNum136" w:customStyle="1">
    <w:name w:val="RTF_Num 13 6"/>
    <w:qFormat/>
    <w:rsid w:val="001b0ef8"/>
    <w:rPr/>
  </w:style>
  <w:style w:type="character" w:styleId="RTFNum137" w:customStyle="1">
    <w:name w:val="RTF_Num 13 7"/>
    <w:qFormat/>
    <w:rsid w:val="001b0ef8"/>
    <w:rPr/>
  </w:style>
  <w:style w:type="character" w:styleId="RTFNum138" w:customStyle="1">
    <w:name w:val="RTF_Num 13 8"/>
    <w:qFormat/>
    <w:rsid w:val="001b0ef8"/>
    <w:rPr/>
  </w:style>
  <w:style w:type="character" w:styleId="RTFNum139" w:customStyle="1">
    <w:name w:val="RTF_Num 13 9"/>
    <w:qFormat/>
    <w:rsid w:val="001b0ef8"/>
    <w:rPr/>
  </w:style>
  <w:style w:type="character" w:styleId="RTFNum331" w:customStyle="1">
    <w:name w:val="RTF_Num 33 1"/>
    <w:qFormat/>
    <w:rsid w:val="001b0ef8"/>
    <w:rPr/>
  </w:style>
  <w:style w:type="character" w:styleId="RTFNum332" w:customStyle="1">
    <w:name w:val="RTF_Num 33 2"/>
    <w:qFormat/>
    <w:rsid w:val="001b0ef8"/>
    <w:rPr/>
  </w:style>
  <w:style w:type="character" w:styleId="RTFNum333" w:customStyle="1">
    <w:name w:val="RTF_Num 33 3"/>
    <w:qFormat/>
    <w:rsid w:val="001b0ef8"/>
    <w:rPr/>
  </w:style>
  <w:style w:type="character" w:styleId="RTFNum334" w:customStyle="1">
    <w:name w:val="RTF_Num 33 4"/>
    <w:qFormat/>
    <w:rsid w:val="001b0ef8"/>
    <w:rPr/>
  </w:style>
  <w:style w:type="character" w:styleId="RTFNum335" w:customStyle="1">
    <w:name w:val="RTF_Num 33 5"/>
    <w:qFormat/>
    <w:rsid w:val="001b0ef8"/>
    <w:rPr/>
  </w:style>
  <w:style w:type="character" w:styleId="RTFNum336" w:customStyle="1">
    <w:name w:val="RTF_Num 33 6"/>
    <w:qFormat/>
    <w:rsid w:val="001b0ef8"/>
    <w:rPr/>
  </w:style>
  <w:style w:type="character" w:styleId="RTFNum337" w:customStyle="1">
    <w:name w:val="RTF_Num 33 7"/>
    <w:qFormat/>
    <w:rsid w:val="001b0ef8"/>
    <w:rPr/>
  </w:style>
  <w:style w:type="character" w:styleId="RTFNum338" w:customStyle="1">
    <w:name w:val="RTF_Num 33 8"/>
    <w:qFormat/>
    <w:rsid w:val="001b0ef8"/>
    <w:rPr/>
  </w:style>
  <w:style w:type="character" w:styleId="RTFNum339" w:customStyle="1">
    <w:name w:val="RTF_Num 33 9"/>
    <w:qFormat/>
    <w:rsid w:val="001b0ef8"/>
    <w:rPr/>
  </w:style>
  <w:style w:type="character" w:styleId="Style11" w:customStyle="1">
    <w:name w:val="Маркеры списка"/>
    <w:qFormat/>
    <w:rsid w:val="001b0ef8"/>
    <w:rPr/>
  </w:style>
  <w:style w:type="character" w:styleId="Style12" w:customStyle="1">
    <w:name w:val="Выделение"/>
    <w:qFormat/>
    <w:rsid w:val="001b0ef8"/>
    <w:rPr>
      <w:i/>
      <w:iCs/>
    </w:rPr>
  </w:style>
  <w:style w:type="character" w:styleId="Style13" w:customStyle="1">
    <w:name w:val="Подзаголовок Знак"/>
    <w:qFormat/>
    <w:rsid w:val="001b0ef8"/>
    <w:rPr/>
  </w:style>
  <w:style w:type="character" w:styleId="Strong">
    <w:name w:val="Strong"/>
    <w:qFormat/>
    <w:rsid w:val="001b0ef8"/>
    <w:rPr/>
  </w:style>
  <w:style w:type="character" w:styleId="Longtext" w:customStyle="1">
    <w:name w:val="long_text"/>
    <w:basedOn w:val="1"/>
    <w:qFormat/>
    <w:rsid w:val="001b0ef8"/>
    <w:rPr/>
  </w:style>
  <w:style w:type="character" w:styleId="Hps" w:customStyle="1">
    <w:name w:val="hps"/>
    <w:basedOn w:val="1"/>
    <w:qFormat/>
    <w:rsid w:val="001b0ef8"/>
    <w:rPr/>
  </w:style>
  <w:style w:type="character" w:styleId="AbsatzStandardschriftart" w:customStyle="1">
    <w:name w:val="Absatz-Standardschriftart"/>
    <w:qFormat/>
    <w:rsid w:val="001b0ef8"/>
    <w:rPr/>
  </w:style>
  <w:style w:type="character" w:styleId="WWAbsatzStandardschriftart1" w:customStyle="1">
    <w:name w:val="WW-Absatz-Standardschriftart1"/>
    <w:qFormat/>
    <w:rsid w:val="001b0ef8"/>
    <w:rPr/>
  </w:style>
  <w:style w:type="character" w:styleId="WWAbsatzStandardschriftart11" w:customStyle="1">
    <w:name w:val="WW-Absatz-Standardschriftart11"/>
    <w:qFormat/>
    <w:rsid w:val="001b0ef8"/>
    <w:rPr/>
  </w:style>
  <w:style w:type="character" w:styleId="WW8Num14z2" w:customStyle="1">
    <w:name w:val="WW8Num14z2"/>
    <w:qFormat/>
    <w:rsid w:val="001b0ef8"/>
    <w:rPr>
      <w:rFonts w:ascii="Wingdings" w:hAnsi="Wingdings" w:cs="Wingdings"/>
    </w:rPr>
  </w:style>
  <w:style w:type="character" w:styleId="WW8Num18z3" w:customStyle="1">
    <w:name w:val="WW8Num18z3"/>
    <w:qFormat/>
    <w:rsid w:val="001b0ef8"/>
    <w:rPr>
      <w:rFonts w:ascii="Symbol" w:hAnsi="Symbol" w:cs="Symbol"/>
    </w:rPr>
  </w:style>
  <w:style w:type="character" w:styleId="WW8Num22z1" w:customStyle="1">
    <w:name w:val="WW8Num22z1"/>
    <w:qFormat/>
    <w:rsid w:val="001b0ef8"/>
    <w:rPr>
      <w:rFonts w:ascii="Courier New" w:hAnsi="Courier New" w:cs="Courier New"/>
    </w:rPr>
  </w:style>
  <w:style w:type="character" w:styleId="WW8Num22z2" w:customStyle="1">
    <w:name w:val="WW8Num22z2"/>
    <w:qFormat/>
    <w:rsid w:val="001b0ef8"/>
    <w:rPr>
      <w:rFonts w:ascii="Wingdings" w:hAnsi="Wingdings" w:cs="Wingdings"/>
    </w:rPr>
  </w:style>
  <w:style w:type="character" w:styleId="WW8Num22z3" w:customStyle="1">
    <w:name w:val="WW8Num22z3"/>
    <w:qFormat/>
    <w:rsid w:val="001b0ef8"/>
    <w:rPr>
      <w:rFonts w:ascii="Symbol" w:hAnsi="Symbol" w:cs="Symbol"/>
    </w:rPr>
  </w:style>
  <w:style w:type="character" w:styleId="WWAbsatzStandardschriftart111" w:customStyle="1">
    <w:name w:val="WW-Absatz-Standardschriftart111"/>
    <w:qFormat/>
    <w:rsid w:val="001b0ef8"/>
    <w:rPr/>
  </w:style>
  <w:style w:type="character" w:styleId="WWDefaultParagraphFont111" w:customStyle="1">
    <w:name w:val="WW-Default Paragraph Font111"/>
    <w:qFormat/>
    <w:rsid w:val="001b0ef8"/>
    <w:rPr/>
  </w:style>
  <w:style w:type="character" w:styleId="WWInternetLink" w:customStyle="1">
    <w:name w:val="WW-Internet Link"/>
    <w:qFormat/>
    <w:rsid w:val="001b0ef8"/>
    <w:rPr/>
  </w:style>
  <w:style w:type="character" w:styleId="FollowedHyperlink">
    <w:name w:val="FollowedHyperlink"/>
    <w:qFormat/>
    <w:rsid w:val="001b0ef8"/>
    <w:rPr/>
  </w:style>
  <w:style w:type="character" w:styleId="Style14" w:customStyle="1">
    <w:name w:val="Текст сноски Знак"/>
    <w:qFormat/>
    <w:rsid w:val="001b0ef8"/>
    <w:rPr/>
  </w:style>
  <w:style w:type="character" w:styleId="Style15" w:customStyle="1">
    <w:name w:val="Основной текст Знак"/>
    <w:qFormat/>
    <w:rsid w:val="001b0ef8"/>
    <w:rPr>
      <w:sz w:val="24"/>
      <w:szCs w:val="24"/>
    </w:rPr>
  </w:style>
  <w:style w:type="character" w:styleId="Style16" w:customStyle="1">
    <w:name w:val="Основной текст с отступом Знак"/>
    <w:qFormat/>
    <w:rsid w:val="001b0ef8"/>
    <w:rPr/>
  </w:style>
  <w:style w:type="character" w:styleId="Style17" w:customStyle="1">
    <w:name w:val="Текст выноски Знак"/>
    <w:qFormat/>
    <w:rsid w:val="001b0ef8"/>
    <w:rPr/>
  </w:style>
  <w:style w:type="character" w:styleId="ListLabel1" w:customStyle="1">
    <w:name w:val="ListLabel 1"/>
    <w:qFormat/>
    <w:rsid w:val="001b0ef8"/>
    <w:rPr>
      <w:sz w:val="20"/>
    </w:rPr>
  </w:style>
  <w:style w:type="character" w:styleId="ListLabel2" w:customStyle="1">
    <w:name w:val="ListLabel 2"/>
    <w:qFormat/>
    <w:rsid w:val="001b0ef8"/>
    <w:rPr>
      <w:rFonts w:eastAsia="Times New Roman" w:cs="Times New Roman"/>
    </w:rPr>
  </w:style>
  <w:style w:type="character" w:styleId="ListLabel3" w:customStyle="1">
    <w:name w:val="ListLabel 3"/>
    <w:qFormat/>
    <w:rsid w:val="001b0ef8"/>
    <w:rPr>
      <w:rFonts w:cs="Courier New"/>
    </w:rPr>
  </w:style>
  <w:style w:type="character" w:styleId="Pagenumber">
    <w:name w:val="page number"/>
    <w:qFormat/>
    <w:rsid w:val="001b0ef8"/>
    <w:rPr/>
  </w:style>
  <w:style w:type="character" w:styleId="Style18" w:customStyle="1">
    <w:name w:val="Символ нумерации"/>
    <w:qFormat/>
    <w:rsid w:val="001b0ef8"/>
    <w:rPr/>
  </w:style>
  <w:style w:type="character" w:styleId="HeaderChar" w:customStyle="1">
    <w:name w:val="Header Char"/>
    <w:qFormat/>
    <w:rsid w:val="001b0ef8"/>
    <w:rPr/>
  </w:style>
  <w:style w:type="character" w:styleId="NoSpacingChar" w:customStyle="1">
    <w:name w:val="No Spacing Char"/>
    <w:qFormat/>
    <w:rsid w:val="001b0ef8"/>
    <w:rPr>
      <w:rFonts w:ascii="PMingLiU" w:hAnsi="PMingLiU" w:eastAsia="MS Mincho" w:cs="PMingLiU"/>
      <w:sz w:val="22"/>
      <w:szCs w:val="22"/>
      <w:lang w:val="en-US"/>
    </w:rPr>
  </w:style>
  <w:style w:type="character" w:styleId="12" w:customStyle="1">
    <w:name w:val="Текст выноски Знак1"/>
    <w:basedOn w:val="DefaultParagraphFont"/>
    <w:uiPriority w:val="99"/>
    <w:semiHidden/>
    <w:qFormat/>
    <w:rsid w:val="00aa2fea"/>
    <w:rPr>
      <w:rFonts w:ascii="Tahoma" w:hAnsi="Tahoma" w:cs="Tahoma"/>
      <w:sz w:val="16"/>
      <w:szCs w:val="16"/>
      <w:lang w:eastAsia="zh-CN"/>
    </w:rPr>
  </w:style>
  <w:style w:type="character" w:styleId="Style19" w:customStyle="1">
    <w:name w:val="Текст Знак"/>
    <w:basedOn w:val="DefaultParagraphFont"/>
    <w:qFormat/>
    <w:rsid w:val="009d69eb"/>
    <w:rPr>
      <w:rFonts w:ascii="Courier New" w:hAnsi="Courier New" w:cs="Courier New"/>
      <w:lang w:val="en-US" w:eastAsia="en-US"/>
    </w:rPr>
  </w:style>
  <w:style w:type="character" w:styleId="ListLabel4" w:customStyle="1">
    <w:name w:val="ListLabel 4"/>
    <w:qFormat/>
    <w:rPr>
      <w:rFonts w:cs="Symbol"/>
      <w:color w:val="000000"/>
      <w:lang w:val="en-US"/>
    </w:rPr>
  </w:style>
  <w:style w:type="character" w:styleId="ListLabel5" w:customStyle="1">
    <w:name w:val="ListLabel 5"/>
    <w:qFormat/>
    <w:rPr>
      <w:rFonts w:eastAsia="Wingdings" w:cs="Calibri"/>
      <w:lang w:val="en-US"/>
    </w:rPr>
  </w:style>
  <w:style w:type="character" w:styleId="ListLabel6" w:customStyle="1">
    <w:name w:val="ListLabel 6"/>
    <w:qFormat/>
    <w:rPr>
      <w:rFonts w:ascii="Symbol" w:hAnsi="Symbol" w:cs="Symbol"/>
      <w:b/>
      <w:lang w:val="en-US"/>
    </w:rPr>
  </w:style>
  <w:style w:type="character" w:styleId="ListLabel7" w:customStyle="1">
    <w:name w:val="ListLabel 7"/>
    <w:qFormat/>
    <w:rPr>
      <w:rFonts w:cs="Symbol"/>
      <w:color w:val="000000"/>
      <w:lang w:val="en-US"/>
    </w:rPr>
  </w:style>
  <w:style w:type="character" w:styleId="ListLabel8" w:customStyle="1">
    <w:name w:val="ListLabel 8"/>
    <w:qFormat/>
    <w:rPr>
      <w:rFonts w:cs="Symbol"/>
      <w:color w:val="00000A"/>
      <w:sz w:val="18"/>
      <w:szCs w:val="18"/>
      <w:lang w:val="en-US"/>
    </w:rPr>
  </w:style>
  <w:style w:type="character" w:styleId="ListLabel9" w:customStyle="1">
    <w:name w:val="ListLabel 9"/>
    <w:qFormat/>
    <w:rPr>
      <w:rFonts w:cs="StarSymbol"/>
      <w:sz w:val="18"/>
      <w:szCs w:val="18"/>
    </w:rPr>
  </w:style>
  <w:style w:type="character" w:styleId="ListLabel10" w:customStyle="1">
    <w:name w:val="ListLabel 10"/>
    <w:qFormat/>
    <w:rPr>
      <w:rFonts w:cs="StarSymbol"/>
      <w:sz w:val="18"/>
      <w:szCs w:val="18"/>
    </w:rPr>
  </w:style>
  <w:style w:type="character" w:styleId="ListLabel11" w:customStyle="1">
    <w:name w:val="ListLabel 11"/>
    <w:qFormat/>
    <w:rPr>
      <w:rFonts w:cs="StarSymbol"/>
      <w:sz w:val="18"/>
      <w:szCs w:val="18"/>
    </w:rPr>
  </w:style>
  <w:style w:type="character" w:styleId="ListLabel12" w:customStyle="1">
    <w:name w:val="ListLabel 12"/>
    <w:qFormat/>
    <w:rPr>
      <w:rFonts w:cs="StarSymbol"/>
      <w:sz w:val="18"/>
      <w:szCs w:val="18"/>
    </w:rPr>
  </w:style>
  <w:style w:type="character" w:styleId="ListLabel13" w:customStyle="1">
    <w:name w:val="ListLabel 13"/>
    <w:qFormat/>
    <w:rPr>
      <w:rFonts w:cs="StarSymbol"/>
      <w:sz w:val="18"/>
      <w:szCs w:val="18"/>
    </w:rPr>
  </w:style>
  <w:style w:type="character" w:styleId="ListLabel14" w:customStyle="1">
    <w:name w:val="ListLabel 14"/>
    <w:qFormat/>
    <w:rPr>
      <w:rFonts w:cs="StarSymbol"/>
      <w:sz w:val="18"/>
      <w:szCs w:val="18"/>
    </w:rPr>
  </w:style>
  <w:style w:type="character" w:styleId="ListLabel15" w:customStyle="1">
    <w:name w:val="ListLabel 15"/>
    <w:qFormat/>
    <w:rPr>
      <w:rFonts w:cs="StarSymbol"/>
      <w:sz w:val="18"/>
      <w:szCs w:val="18"/>
    </w:rPr>
  </w:style>
  <w:style w:type="character" w:styleId="ListLabel16" w:customStyle="1">
    <w:name w:val="ListLabel 16"/>
    <w:qFormat/>
    <w:rPr>
      <w:rFonts w:cs="StarSymbol"/>
      <w:sz w:val="18"/>
      <w:szCs w:val="18"/>
    </w:rPr>
  </w:style>
  <w:style w:type="character" w:styleId="ListLabel17" w:customStyle="1">
    <w:name w:val="ListLabel 17"/>
    <w:qFormat/>
    <w:rPr>
      <w:rFonts w:cs="Symbol"/>
      <w:szCs w:val="24"/>
      <w:lang w:val="en-US"/>
    </w:rPr>
  </w:style>
  <w:style w:type="character" w:styleId="ListLabel18" w:customStyle="1">
    <w:name w:val="ListLabel 18"/>
    <w:qFormat/>
    <w:rPr>
      <w:rFonts w:cs="Symbol"/>
      <w:b/>
      <w:color w:val="000000"/>
      <w:lang w:val="en-US"/>
    </w:rPr>
  </w:style>
  <w:style w:type="character" w:styleId="ListLabel19" w:customStyle="1">
    <w:name w:val="ListLabel 19"/>
    <w:qFormat/>
    <w:rPr>
      <w:rFonts w:ascii="Times New Roman" w:hAnsi="Times New Roman" w:eastAsia="MS Mincho" w:cs="Times New Roman"/>
      <w:b/>
      <w:bCs/>
      <w:iCs/>
      <w:spacing w:val="0"/>
      <w:lang w:val="en-US"/>
    </w:rPr>
  </w:style>
  <w:style w:type="character" w:styleId="ListLabel20" w:customStyle="1">
    <w:name w:val="ListLabel 20"/>
    <w:qFormat/>
    <w:rPr>
      <w:rFonts w:cs="Symbol"/>
      <w:color w:val="000000"/>
      <w:lang w:val="en-US"/>
    </w:rPr>
  </w:style>
  <w:style w:type="character" w:styleId="ListLabel21" w:customStyle="1">
    <w:name w:val="ListLabel 21"/>
    <w:qFormat/>
    <w:rPr>
      <w:rFonts w:ascii="Symbol" w:hAnsi="Symbol" w:cs="Symbol"/>
      <w:b/>
      <w:lang w:val="en-US"/>
    </w:rPr>
  </w:style>
  <w:style w:type="character" w:styleId="ListLabel22" w:customStyle="1">
    <w:name w:val="ListLabel 22"/>
    <w:qFormat/>
    <w:rPr>
      <w:rFonts w:cs="Symbol"/>
      <w:color w:val="000000"/>
      <w:lang w:val="en-US"/>
    </w:rPr>
  </w:style>
  <w:style w:type="character" w:styleId="ListLabel23" w:customStyle="1">
    <w:name w:val="ListLabel 23"/>
    <w:qFormat/>
    <w:rPr>
      <w:rFonts w:cs="Symbol"/>
      <w:color w:val="00000A"/>
      <w:sz w:val="18"/>
      <w:szCs w:val="18"/>
      <w:lang w:val="en-US"/>
    </w:rPr>
  </w:style>
  <w:style w:type="character" w:styleId="ListLabel24" w:customStyle="1">
    <w:name w:val="ListLabel 24"/>
    <w:qFormat/>
    <w:rPr>
      <w:rFonts w:cs="StarSymbol"/>
      <w:sz w:val="18"/>
      <w:szCs w:val="18"/>
    </w:rPr>
  </w:style>
  <w:style w:type="character" w:styleId="ListLabel25" w:customStyle="1">
    <w:name w:val="ListLabel 25"/>
    <w:qFormat/>
    <w:rPr>
      <w:rFonts w:cs="StarSymbol"/>
      <w:sz w:val="18"/>
      <w:szCs w:val="18"/>
    </w:rPr>
  </w:style>
  <w:style w:type="character" w:styleId="ListLabel26" w:customStyle="1">
    <w:name w:val="ListLabel 26"/>
    <w:qFormat/>
    <w:rPr>
      <w:rFonts w:cs="StarSymbol"/>
      <w:sz w:val="18"/>
      <w:szCs w:val="18"/>
    </w:rPr>
  </w:style>
  <w:style w:type="character" w:styleId="ListLabel27" w:customStyle="1">
    <w:name w:val="ListLabel 27"/>
    <w:qFormat/>
    <w:rPr>
      <w:rFonts w:cs="StarSymbol"/>
      <w:sz w:val="18"/>
      <w:szCs w:val="18"/>
    </w:rPr>
  </w:style>
  <w:style w:type="character" w:styleId="ListLabel28" w:customStyle="1">
    <w:name w:val="ListLabel 28"/>
    <w:qFormat/>
    <w:rPr>
      <w:rFonts w:cs="StarSymbol"/>
      <w:sz w:val="18"/>
      <w:szCs w:val="18"/>
    </w:rPr>
  </w:style>
  <w:style w:type="character" w:styleId="ListLabel29" w:customStyle="1">
    <w:name w:val="ListLabel 29"/>
    <w:qFormat/>
    <w:rPr>
      <w:rFonts w:cs="StarSymbol"/>
      <w:sz w:val="18"/>
      <w:szCs w:val="18"/>
    </w:rPr>
  </w:style>
  <w:style w:type="character" w:styleId="ListLabel30" w:customStyle="1">
    <w:name w:val="ListLabel 30"/>
    <w:qFormat/>
    <w:rPr>
      <w:rFonts w:cs="StarSymbol"/>
      <w:sz w:val="18"/>
      <w:szCs w:val="18"/>
    </w:rPr>
  </w:style>
  <w:style w:type="character" w:styleId="ListLabel31" w:customStyle="1">
    <w:name w:val="ListLabel 31"/>
    <w:qFormat/>
    <w:rPr>
      <w:rFonts w:cs="StarSymbol"/>
      <w:sz w:val="18"/>
      <w:szCs w:val="18"/>
    </w:rPr>
  </w:style>
  <w:style w:type="character" w:styleId="ListLabel32" w:customStyle="1">
    <w:name w:val="ListLabel 32"/>
    <w:qFormat/>
    <w:rPr>
      <w:rFonts w:cs="Symbol"/>
      <w:szCs w:val="24"/>
      <w:lang w:val="en-US"/>
    </w:rPr>
  </w:style>
  <w:style w:type="character" w:styleId="ListLabel33" w:customStyle="1">
    <w:name w:val="ListLabel 33"/>
    <w:qFormat/>
    <w:rPr>
      <w:rFonts w:cs="Symbol"/>
      <w:b/>
      <w:color w:val="000000"/>
      <w:lang w:val="en-US"/>
    </w:rPr>
  </w:style>
  <w:style w:type="character" w:styleId="ListLabel34" w:customStyle="1">
    <w:name w:val="ListLabel 34"/>
    <w:qFormat/>
    <w:rPr>
      <w:rFonts w:ascii="Times New Roman" w:hAnsi="Times New Roman" w:eastAsia="MS Mincho" w:cs="Times New Roman"/>
      <w:b/>
      <w:bCs/>
      <w:iCs/>
      <w:spacing w:val="0"/>
      <w:lang w:val="en-US"/>
    </w:rPr>
  </w:style>
  <w:style w:type="character" w:styleId="ListLabel35" w:customStyle="1">
    <w:name w:val="ListLabel 35"/>
    <w:qFormat/>
    <w:rPr>
      <w:rFonts w:cs="Symbol"/>
      <w:color w:val="000000"/>
      <w:lang w:val="en-US"/>
    </w:rPr>
  </w:style>
  <w:style w:type="character" w:styleId="ListLabel36" w:customStyle="1">
    <w:name w:val="ListLabel 36"/>
    <w:qFormat/>
    <w:rPr>
      <w:rFonts w:ascii="Symbol" w:hAnsi="Symbol" w:cs="Symbol"/>
      <w:b/>
      <w:lang w:val="en-US"/>
    </w:rPr>
  </w:style>
  <w:style w:type="character" w:styleId="ListLabel37" w:customStyle="1">
    <w:name w:val="ListLabel 37"/>
    <w:qFormat/>
    <w:rPr>
      <w:rFonts w:cs="Symbol"/>
      <w:color w:val="000000"/>
      <w:lang w:val="en-US"/>
    </w:rPr>
  </w:style>
  <w:style w:type="character" w:styleId="ListLabel38" w:customStyle="1">
    <w:name w:val="ListLabel 38"/>
    <w:qFormat/>
    <w:rPr>
      <w:rFonts w:cs="Symbol"/>
      <w:color w:val="00000A"/>
      <w:sz w:val="18"/>
      <w:szCs w:val="18"/>
      <w:lang w:val="en-US"/>
    </w:rPr>
  </w:style>
  <w:style w:type="character" w:styleId="ListLabel39" w:customStyle="1">
    <w:name w:val="ListLabel 39"/>
    <w:qFormat/>
    <w:rPr>
      <w:rFonts w:cs="StarSymbol"/>
      <w:sz w:val="18"/>
      <w:szCs w:val="18"/>
    </w:rPr>
  </w:style>
  <w:style w:type="character" w:styleId="ListLabel40" w:customStyle="1">
    <w:name w:val="ListLabel 40"/>
    <w:qFormat/>
    <w:rPr>
      <w:rFonts w:cs="StarSymbol"/>
      <w:sz w:val="18"/>
      <w:szCs w:val="18"/>
    </w:rPr>
  </w:style>
  <w:style w:type="character" w:styleId="ListLabel41" w:customStyle="1">
    <w:name w:val="ListLabel 41"/>
    <w:qFormat/>
    <w:rPr>
      <w:rFonts w:cs="StarSymbol"/>
      <w:sz w:val="18"/>
      <w:szCs w:val="18"/>
    </w:rPr>
  </w:style>
  <w:style w:type="character" w:styleId="ListLabel42" w:customStyle="1">
    <w:name w:val="ListLabel 42"/>
    <w:qFormat/>
    <w:rPr>
      <w:rFonts w:cs="StarSymbol"/>
      <w:sz w:val="18"/>
      <w:szCs w:val="18"/>
    </w:rPr>
  </w:style>
  <w:style w:type="character" w:styleId="ListLabel43" w:customStyle="1">
    <w:name w:val="ListLabel 43"/>
    <w:qFormat/>
    <w:rPr>
      <w:rFonts w:cs="StarSymbol"/>
      <w:sz w:val="18"/>
      <w:szCs w:val="18"/>
    </w:rPr>
  </w:style>
  <w:style w:type="character" w:styleId="ListLabel44" w:customStyle="1">
    <w:name w:val="ListLabel 44"/>
    <w:qFormat/>
    <w:rPr>
      <w:rFonts w:cs="StarSymbol"/>
      <w:sz w:val="18"/>
      <w:szCs w:val="18"/>
    </w:rPr>
  </w:style>
  <w:style w:type="character" w:styleId="ListLabel45" w:customStyle="1">
    <w:name w:val="ListLabel 45"/>
    <w:qFormat/>
    <w:rPr>
      <w:rFonts w:cs="StarSymbol"/>
      <w:sz w:val="18"/>
      <w:szCs w:val="18"/>
    </w:rPr>
  </w:style>
  <w:style w:type="character" w:styleId="ListLabel46" w:customStyle="1">
    <w:name w:val="ListLabel 46"/>
    <w:qFormat/>
    <w:rPr>
      <w:rFonts w:cs="StarSymbol"/>
      <w:sz w:val="18"/>
      <w:szCs w:val="18"/>
    </w:rPr>
  </w:style>
  <w:style w:type="character" w:styleId="ListLabel47" w:customStyle="1">
    <w:name w:val="ListLabel 47"/>
    <w:qFormat/>
    <w:rPr>
      <w:rFonts w:cs="Symbol"/>
      <w:szCs w:val="24"/>
      <w:lang w:val="en-US"/>
    </w:rPr>
  </w:style>
  <w:style w:type="character" w:styleId="ListLabel48" w:customStyle="1">
    <w:name w:val="ListLabel 48"/>
    <w:qFormat/>
    <w:rPr>
      <w:rFonts w:cs="Symbol"/>
      <w:b/>
      <w:color w:val="000000"/>
      <w:lang w:val="en-US"/>
    </w:rPr>
  </w:style>
  <w:style w:type="character" w:styleId="ListLabel49" w:customStyle="1">
    <w:name w:val="ListLabel 49"/>
    <w:qFormat/>
    <w:rPr>
      <w:rFonts w:ascii="Times New Roman" w:hAnsi="Times New Roman" w:eastAsia="MS Mincho" w:cs="Times New Roman"/>
      <w:b/>
      <w:bCs/>
      <w:iCs/>
      <w:spacing w:val="0"/>
      <w:lang w:val="en-US"/>
    </w:rPr>
  </w:style>
  <w:style w:type="character" w:styleId="ListLabel50" w:customStyle="1">
    <w:name w:val="ListLabel 50"/>
    <w:qFormat/>
    <w:rPr>
      <w:rFonts w:cs="Symbol"/>
      <w:color w:val="000000"/>
      <w:lang w:val="en-US"/>
    </w:rPr>
  </w:style>
  <w:style w:type="character" w:styleId="ListLabel51" w:customStyle="1">
    <w:name w:val="ListLabel 51"/>
    <w:qFormat/>
    <w:rPr>
      <w:rFonts w:ascii="Symbol" w:hAnsi="Symbol" w:cs="Symbol"/>
      <w:b/>
      <w:lang w:val="en-US"/>
    </w:rPr>
  </w:style>
  <w:style w:type="character" w:styleId="ListLabel52" w:customStyle="1">
    <w:name w:val="ListLabel 52"/>
    <w:qFormat/>
    <w:rPr>
      <w:rFonts w:cs="Symbol"/>
      <w:color w:val="000000"/>
      <w:lang w:val="en-US"/>
    </w:rPr>
  </w:style>
  <w:style w:type="character" w:styleId="ListLabel53" w:customStyle="1">
    <w:name w:val="ListLabel 53"/>
    <w:qFormat/>
    <w:rPr>
      <w:rFonts w:cs="Symbol"/>
      <w:color w:val="00000A"/>
      <w:sz w:val="18"/>
      <w:szCs w:val="18"/>
      <w:lang w:val="en-US"/>
    </w:rPr>
  </w:style>
  <w:style w:type="character" w:styleId="ListLabel54" w:customStyle="1">
    <w:name w:val="ListLabel 54"/>
    <w:qFormat/>
    <w:rPr>
      <w:rFonts w:cs="StarSymbol"/>
      <w:sz w:val="18"/>
      <w:szCs w:val="18"/>
    </w:rPr>
  </w:style>
  <w:style w:type="character" w:styleId="ListLabel55" w:customStyle="1">
    <w:name w:val="ListLabel 55"/>
    <w:qFormat/>
    <w:rPr>
      <w:rFonts w:cs="StarSymbol"/>
      <w:sz w:val="18"/>
      <w:szCs w:val="18"/>
    </w:rPr>
  </w:style>
  <w:style w:type="character" w:styleId="ListLabel56" w:customStyle="1">
    <w:name w:val="ListLabel 56"/>
    <w:qFormat/>
    <w:rPr>
      <w:rFonts w:cs="StarSymbol"/>
      <w:sz w:val="18"/>
      <w:szCs w:val="18"/>
    </w:rPr>
  </w:style>
  <w:style w:type="character" w:styleId="ListLabel57" w:customStyle="1">
    <w:name w:val="ListLabel 57"/>
    <w:qFormat/>
    <w:rPr>
      <w:rFonts w:cs="StarSymbol"/>
      <w:sz w:val="18"/>
      <w:szCs w:val="18"/>
    </w:rPr>
  </w:style>
  <w:style w:type="character" w:styleId="ListLabel58" w:customStyle="1">
    <w:name w:val="ListLabel 58"/>
    <w:qFormat/>
    <w:rPr>
      <w:rFonts w:cs="StarSymbol"/>
      <w:sz w:val="18"/>
      <w:szCs w:val="18"/>
    </w:rPr>
  </w:style>
  <w:style w:type="character" w:styleId="ListLabel59" w:customStyle="1">
    <w:name w:val="ListLabel 59"/>
    <w:qFormat/>
    <w:rPr>
      <w:rFonts w:cs="StarSymbol"/>
      <w:sz w:val="18"/>
      <w:szCs w:val="18"/>
    </w:rPr>
  </w:style>
  <w:style w:type="character" w:styleId="ListLabel60" w:customStyle="1">
    <w:name w:val="ListLabel 60"/>
    <w:qFormat/>
    <w:rPr>
      <w:rFonts w:cs="StarSymbol"/>
      <w:sz w:val="18"/>
      <w:szCs w:val="18"/>
    </w:rPr>
  </w:style>
  <w:style w:type="character" w:styleId="ListLabel61" w:customStyle="1">
    <w:name w:val="ListLabel 61"/>
    <w:qFormat/>
    <w:rPr>
      <w:rFonts w:cs="StarSymbol"/>
      <w:sz w:val="18"/>
      <w:szCs w:val="18"/>
    </w:rPr>
  </w:style>
  <w:style w:type="character" w:styleId="ListLabel62" w:customStyle="1">
    <w:name w:val="ListLabel 62"/>
    <w:qFormat/>
    <w:rPr>
      <w:rFonts w:cs="Symbol"/>
      <w:szCs w:val="24"/>
      <w:lang w:val="en-US"/>
    </w:rPr>
  </w:style>
  <w:style w:type="character" w:styleId="ListLabel63" w:customStyle="1">
    <w:name w:val="ListLabel 63"/>
    <w:qFormat/>
    <w:rPr>
      <w:rFonts w:cs="Symbol"/>
      <w:b/>
      <w:color w:val="000000"/>
      <w:lang w:val="en-US"/>
    </w:rPr>
  </w:style>
  <w:style w:type="character" w:styleId="ListLabel64" w:customStyle="1">
    <w:name w:val="ListLabel 64"/>
    <w:qFormat/>
    <w:rPr>
      <w:rFonts w:ascii="Times New Roman" w:hAnsi="Times New Roman" w:eastAsia="MS Mincho" w:cs="Times New Roman"/>
      <w:b/>
      <w:bCs/>
      <w:iCs/>
      <w:spacing w:val="0"/>
      <w:lang w:val="en-US"/>
    </w:rPr>
  </w:style>
  <w:style w:type="character" w:styleId="ListLabel65" w:customStyle="1">
    <w:name w:val="ListLabel 65"/>
    <w:qFormat/>
    <w:rPr>
      <w:rFonts w:cs="Symbol"/>
      <w:color w:val="000000"/>
      <w:lang w:val="en-US"/>
    </w:rPr>
  </w:style>
  <w:style w:type="character" w:styleId="ListLabel66" w:customStyle="1">
    <w:name w:val="ListLabel 66"/>
    <w:qFormat/>
    <w:rPr>
      <w:rFonts w:ascii="Symbol" w:hAnsi="Symbol" w:cs="Symbol"/>
      <w:b/>
      <w:lang w:val="en-US"/>
    </w:rPr>
  </w:style>
  <w:style w:type="character" w:styleId="ListLabel67" w:customStyle="1">
    <w:name w:val="ListLabel 67"/>
    <w:qFormat/>
    <w:rPr>
      <w:rFonts w:cs="Symbol"/>
      <w:color w:val="000000"/>
      <w:lang w:val="en-US"/>
    </w:rPr>
  </w:style>
  <w:style w:type="character" w:styleId="ListLabel68" w:customStyle="1">
    <w:name w:val="ListLabel 68"/>
    <w:qFormat/>
    <w:rPr>
      <w:rFonts w:cs="Symbol"/>
      <w:color w:val="00000A"/>
      <w:sz w:val="18"/>
      <w:szCs w:val="18"/>
      <w:lang w:val="en-US"/>
    </w:rPr>
  </w:style>
  <w:style w:type="character" w:styleId="ListLabel69" w:customStyle="1">
    <w:name w:val="ListLabel 69"/>
    <w:qFormat/>
    <w:rPr>
      <w:rFonts w:cs="StarSymbol"/>
      <w:sz w:val="18"/>
      <w:szCs w:val="18"/>
    </w:rPr>
  </w:style>
  <w:style w:type="character" w:styleId="ListLabel70" w:customStyle="1">
    <w:name w:val="ListLabel 70"/>
    <w:qFormat/>
    <w:rPr>
      <w:rFonts w:cs="StarSymbol"/>
      <w:sz w:val="18"/>
      <w:szCs w:val="18"/>
    </w:rPr>
  </w:style>
  <w:style w:type="character" w:styleId="ListLabel71" w:customStyle="1">
    <w:name w:val="ListLabel 71"/>
    <w:qFormat/>
    <w:rPr>
      <w:rFonts w:cs="StarSymbol"/>
      <w:sz w:val="18"/>
      <w:szCs w:val="18"/>
    </w:rPr>
  </w:style>
  <w:style w:type="character" w:styleId="ListLabel72" w:customStyle="1">
    <w:name w:val="ListLabel 72"/>
    <w:qFormat/>
    <w:rPr>
      <w:rFonts w:cs="StarSymbol"/>
      <w:sz w:val="18"/>
      <w:szCs w:val="18"/>
    </w:rPr>
  </w:style>
  <w:style w:type="character" w:styleId="ListLabel73" w:customStyle="1">
    <w:name w:val="ListLabel 73"/>
    <w:qFormat/>
    <w:rPr>
      <w:rFonts w:cs="StarSymbol"/>
      <w:sz w:val="18"/>
      <w:szCs w:val="18"/>
    </w:rPr>
  </w:style>
  <w:style w:type="character" w:styleId="ListLabel74" w:customStyle="1">
    <w:name w:val="ListLabel 74"/>
    <w:qFormat/>
    <w:rPr>
      <w:rFonts w:cs="StarSymbol"/>
      <w:sz w:val="18"/>
      <w:szCs w:val="18"/>
    </w:rPr>
  </w:style>
  <w:style w:type="character" w:styleId="ListLabel75" w:customStyle="1">
    <w:name w:val="ListLabel 75"/>
    <w:qFormat/>
    <w:rPr>
      <w:rFonts w:cs="StarSymbol"/>
      <w:sz w:val="18"/>
      <w:szCs w:val="18"/>
    </w:rPr>
  </w:style>
  <w:style w:type="character" w:styleId="ListLabel76" w:customStyle="1">
    <w:name w:val="ListLabel 76"/>
    <w:qFormat/>
    <w:rPr>
      <w:rFonts w:cs="StarSymbol"/>
      <w:sz w:val="18"/>
      <w:szCs w:val="18"/>
    </w:rPr>
  </w:style>
  <w:style w:type="character" w:styleId="ListLabel77" w:customStyle="1">
    <w:name w:val="ListLabel 77"/>
    <w:qFormat/>
    <w:rPr>
      <w:rFonts w:cs="Symbol"/>
      <w:szCs w:val="24"/>
      <w:lang w:val="en-US"/>
    </w:rPr>
  </w:style>
  <w:style w:type="character" w:styleId="ListLabel78" w:customStyle="1">
    <w:name w:val="ListLabel 78"/>
    <w:qFormat/>
    <w:rPr>
      <w:rFonts w:cs="Symbol"/>
      <w:b/>
      <w:color w:val="000000"/>
      <w:lang w:val="en-US"/>
    </w:rPr>
  </w:style>
  <w:style w:type="character" w:styleId="ListLabel79" w:customStyle="1">
    <w:name w:val="ListLabel 79"/>
    <w:qFormat/>
    <w:rPr>
      <w:rFonts w:ascii="Times New Roman" w:hAnsi="Times New Roman" w:eastAsia="MS Mincho" w:cs="Times New Roman"/>
      <w:b/>
      <w:bCs/>
      <w:iCs/>
      <w:spacing w:val="0"/>
      <w:lang w:val="en-US"/>
    </w:rPr>
  </w:style>
  <w:style w:type="character" w:styleId="ListLabel80" w:customStyle="1">
    <w:name w:val="ListLabel 80"/>
    <w:qFormat/>
    <w:rPr>
      <w:rFonts w:cs="Symbol"/>
      <w:color w:val="000000"/>
      <w:lang w:val="en-US"/>
    </w:rPr>
  </w:style>
  <w:style w:type="character" w:styleId="ListLabel81" w:customStyle="1">
    <w:name w:val="ListLabel 81"/>
    <w:qFormat/>
    <w:rPr>
      <w:rFonts w:ascii="Symbol" w:hAnsi="Symbol" w:cs="Symbol"/>
      <w:b/>
      <w:lang w:val="en-US"/>
    </w:rPr>
  </w:style>
  <w:style w:type="character" w:styleId="ListLabel82" w:customStyle="1">
    <w:name w:val="ListLabel 82"/>
    <w:qFormat/>
    <w:rPr>
      <w:rFonts w:cs="Symbol"/>
      <w:color w:val="000000"/>
      <w:lang w:val="en-US"/>
    </w:rPr>
  </w:style>
  <w:style w:type="character" w:styleId="ListLabel83" w:customStyle="1">
    <w:name w:val="ListLabel 83"/>
    <w:qFormat/>
    <w:rPr>
      <w:rFonts w:cs="Symbol"/>
      <w:color w:val="00000A"/>
      <w:sz w:val="18"/>
      <w:szCs w:val="18"/>
      <w:lang w:val="en-US"/>
    </w:rPr>
  </w:style>
  <w:style w:type="character" w:styleId="ListLabel84" w:customStyle="1">
    <w:name w:val="ListLabel 84"/>
    <w:qFormat/>
    <w:rPr>
      <w:rFonts w:cs="StarSymbol"/>
      <w:sz w:val="18"/>
      <w:szCs w:val="18"/>
    </w:rPr>
  </w:style>
  <w:style w:type="character" w:styleId="ListLabel85" w:customStyle="1">
    <w:name w:val="ListLabel 85"/>
    <w:qFormat/>
    <w:rPr>
      <w:rFonts w:cs="StarSymbol"/>
      <w:sz w:val="18"/>
      <w:szCs w:val="18"/>
    </w:rPr>
  </w:style>
  <w:style w:type="character" w:styleId="ListLabel86" w:customStyle="1">
    <w:name w:val="ListLabel 86"/>
    <w:qFormat/>
    <w:rPr>
      <w:rFonts w:cs="StarSymbol"/>
      <w:sz w:val="18"/>
      <w:szCs w:val="18"/>
    </w:rPr>
  </w:style>
  <w:style w:type="character" w:styleId="ListLabel87" w:customStyle="1">
    <w:name w:val="ListLabel 87"/>
    <w:qFormat/>
    <w:rPr>
      <w:rFonts w:cs="StarSymbol"/>
      <w:sz w:val="18"/>
      <w:szCs w:val="18"/>
    </w:rPr>
  </w:style>
  <w:style w:type="character" w:styleId="ListLabel88" w:customStyle="1">
    <w:name w:val="ListLabel 88"/>
    <w:qFormat/>
    <w:rPr>
      <w:rFonts w:cs="StarSymbol"/>
      <w:sz w:val="18"/>
      <w:szCs w:val="18"/>
    </w:rPr>
  </w:style>
  <w:style w:type="character" w:styleId="ListLabel89" w:customStyle="1">
    <w:name w:val="ListLabel 89"/>
    <w:qFormat/>
    <w:rPr>
      <w:rFonts w:cs="StarSymbol"/>
      <w:sz w:val="18"/>
      <w:szCs w:val="18"/>
    </w:rPr>
  </w:style>
  <w:style w:type="character" w:styleId="ListLabel90" w:customStyle="1">
    <w:name w:val="ListLabel 90"/>
    <w:qFormat/>
    <w:rPr>
      <w:rFonts w:cs="StarSymbol"/>
      <w:sz w:val="18"/>
      <w:szCs w:val="18"/>
    </w:rPr>
  </w:style>
  <w:style w:type="character" w:styleId="ListLabel91" w:customStyle="1">
    <w:name w:val="ListLabel 91"/>
    <w:qFormat/>
    <w:rPr>
      <w:rFonts w:cs="StarSymbol"/>
      <w:sz w:val="18"/>
      <w:szCs w:val="18"/>
    </w:rPr>
  </w:style>
  <w:style w:type="character" w:styleId="ListLabel92" w:customStyle="1">
    <w:name w:val="ListLabel 92"/>
    <w:qFormat/>
    <w:rPr>
      <w:rFonts w:cs="Symbol"/>
      <w:szCs w:val="24"/>
      <w:lang w:val="en-US"/>
    </w:rPr>
  </w:style>
  <w:style w:type="character" w:styleId="ListLabel93" w:customStyle="1">
    <w:name w:val="ListLabel 93"/>
    <w:qFormat/>
    <w:rPr>
      <w:rFonts w:cs="Symbol"/>
      <w:b/>
      <w:color w:val="000000"/>
      <w:lang w:val="en-US"/>
    </w:rPr>
  </w:style>
  <w:style w:type="character" w:styleId="ListLabel94" w:customStyle="1">
    <w:name w:val="ListLabel 94"/>
    <w:qFormat/>
    <w:rPr>
      <w:rFonts w:ascii="Times New Roman" w:hAnsi="Times New Roman" w:eastAsia="MS Mincho" w:cs="Times New Roman"/>
      <w:b/>
      <w:bCs/>
      <w:iCs/>
      <w:spacing w:val="0"/>
      <w:lang w:val="en-US"/>
    </w:rPr>
  </w:style>
  <w:style w:type="character" w:styleId="ListLabel95" w:customStyle="1">
    <w:name w:val="ListLabel 95"/>
    <w:qFormat/>
    <w:rPr>
      <w:rFonts w:cs="Symbol"/>
      <w:color w:val="000000"/>
      <w:lang w:val="en-US"/>
    </w:rPr>
  </w:style>
  <w:style w:type="character" w:styleId="ListLabel96" w:customStyle="1">
    <w:name w:val="ListLabel 96"/>
    <w:qFormat/>
    <w:rPr>
      <w:rFonts w:ascii="Symbol" w:hAnsi="Symbol" w:cs="Symbol"/>
      <w:b/>
      <w:lang w:val="en-US"/>
    </w:rPr>
  </w:style>
  <w:style w:type="character" w:styleId="ListLabel97" w:customStyle="1">
    <w:name w:val="ListLabel 97"/>
    <w:qFormat/>
    <w:rPr>
      <w:rFonts w:cs="Symbol"/>
      <w:color w:val="000000"/>
      <w:lang w:val="en-US"/>
    </w:rPr>
  </w:style>
  <w:style w:type="character" w:styleId="ListLabel98" w:customStyle="1">
    <w:name w:val="ListLabel 98"/>
    <w:qFormat/>
    <w:rPr>
      <w:rFonts w:cs="Symbol"/>
      <w:color w:val="00000A"/>
      <w:sz w:val="18"/>
      <w:szCs w:val="18"/>
      <w:lang w:val="en-US"/>
    </w:rPr>
  </w:style>
  <w:style w:type="character" w:styleId="ListLabel99" w:customStyle="1">
    <w:name w:val="ListLabel 99"/>
    <w:qFormat/>
    <w:rPr>
      <w:rFonts w:cs="StarSymbol"/>
      <w:sz w:val="18"/>
      <w:szCs w:val="18"/>
    </w:rPr>
  </w:style>
  <w:style w:type="character" w:styleId="ListLabel100" w:customStyle="1">
    <w:name w:val="ListLabel 100"/>
    <w:qFormat/>
    <w:rPr>
      <w:rFonts w:cs="StarSymbol"/>
      <w:sz w:val="18"/>
      <w:szCs w:val="18"/>
    </w:rPr>
  </w:style>
  <w:style w:type="character" w:styleId="ListLabel101" w:customStyle="1">
    <w:name w:val="ListLabel 101"/>
    <w:qFormat/>
    <w:rPr>
      <w:rFonts w:cs="StarSymbol"/>
      <w:sz w:val="18"/>
      <w:szCs w:val="18"/>
    </w:rPr>
  </w:style>
  <w:style w:type="character" w:styleId="ListLabel102" w:customStyle="1">
    <w:name w:val="ListLabel 102"/>
    <w:qFormat/>
    <w:rPr>
      <w:rFonts w:cs="StarSymbol"/>
      <w:sz w:val="18"/>
      <w:szCs w:val="18"/>
    </w:rPr>
  </w:style>
  <w:style w:type="character" w:styleId="ListLabel103" w:customStyle="1">
    <w:name w:val="ListLabel 103"/>
    <w:qFormat/>
    <w:rPr>
      <w:rFonts w:cs="StarSymbol"/>
      <w:sz w:val="18"/>
      <w:szCs w:val="18"/>
    </w:rPr>
  </w:style>
  <w:style w:type="character" w:styleId="ListLabel104" w:customStyle="1">
    <w:name w:val="ListLabel 104"/>
    <w:qFormat/>
    <w:rPr>
      <w:rFonts w:cs="StarSymbol"/>
      <w:sz w:val="18"/>
      <w:szCs w:val="18"/>
    </w:rPr>
  </w:style>
  <w:style w:type="character" w:styleId="ListLabel105" w:customStyle="1">
    <w:name w:val="ListLabel 105"/>
    <w:qFormat/>
    <w:rPr>
      <w:rFonts w:cs="StarSymbol"/>
      <w:sz w:val="18"/>
      <w:szCs w:val="18"/>
    </w:rPr>
  </w:style>
  <w:style w:type="character" w:styleId="ListLabel106" w:customStyle="1">
    <w:name w:val="ListLabel 106"/>
    <w:qFormat/>
    <w:rPr>
      <w:rFonts w:cs="StarSymbol"/>
      <w:sz w:val="18"/>
      <w:szCs w:val="18"/>
    </w:rPr>
  </w:style>
  <w:style w:type="character" w:styleId="ListLabel107" w:customStyle="1">
    <w:name w:val="ListLabel 107"/>
    <w:qFormat/>
    <w:rPr>
      <w:rFonts w:cs="Symbol"/>
      <w:szCs w:val="24"/>
      <w:lang w:val="en-US"/>
    </w:rPr>
  </w:style>
  <w:style w:type="character" w:styleId="ListLabel108" w:customStyle="1">
    <w:name w:val="ListLabel 108"/>
    <w:qFormat/>
    <w:rPr>
      <w:rFonts w:cs="Symbol"/>
      <w:b/>
      <w:color w:val="000000"/>
      <w:lang w:val="en-US"/>
    </w:rPr>
  </w:style>
  <w:style w:type="character" w:styleId="ListLabel109" w:customStyle="1">
    <w:name w:val="ListLabel 109"/>
    <w:qFormat/>
    <w:rPr>
      <w:rFonts w:ascii="Times New Roman" w:hAnsi="Times New Roman" w:eastAsia="MS Mincho" w:cs="Times New Roman"/>
      <w:b/>
      <w:bCs/>
      <w:iCs/>
      <w:spacing w:val="0"/>
      <w:lang w:val="en-US"/>
    </w:rPr>
  </w:style>
  <w:style w:type="character" w:styleId="ListLabel110" w:customStyle="1">
    <w:name w:val="ListLabel 110"/>
    <w:qFormat/>
    <w:rPr>
      <w:rFonts w:cs="Symbol"/>
      <w:color w:val="000000"/>
      <w:lang w:val="en-US"/>
    </w:rPr>
  </w:style>
  <w:style w:type="character" w:styleId="ListLabel111" w:customStyle="1">
    <w:name w:val="ListLabel 111"/>
    <w:qFormat/>
    <w:rPr>
      <w:rFonts w:ascii="Symbol" w:hAnsi="Symbol" w:cs="Symbol"/>
      <w:b/>
      <w:lang w:val="en-US"/>
    </w:rPr>
  </w:style>
  <w:style w:type="character" w:styleId="ListLabel112" w:customStyle="1">
    <w:name w:val="ListLabel 112"/>
    <w:qFormat/>
    <w:rPr>
      <w:rFonts w:cs="Symbol"/>
      <w:color w:val="000000"/>
      <w:lang w:val="en-US"/>
    </w:rPr>
  </w:style>
  <w:style w:type="character" w:styleId="ListLabel113" w:customStyle="1">
    <w:name w:val="ListLabel 113"/>
    <w:qFormat/>
    <w:rPr>
      <w:rFonts w:cs="Symbol"/>
      <w:color w:val="00000A"/>
      <w:sz w:val="18"/>
      <w:szCs w:val="18"/>
      <w:lang w:val="en-US"/>
    </w:rPr>
  </w:style>
  <w:style w:type="character" w:styleId="ListLabel114" w:customStyle="1">
    <w:name w:val="ListLabel 114"/>
    <w:qFormat/>
    <w:rPr>
      <w:rFonts w:cs="StarSymbol"/>
      <w:sz w:val="18"/>
      <w:szCs w:val="18"/>
    </w:rPr>
  </w:style>
  <w:style w:type="character" w:styleId="ListLabel115" w:customStyle="1">
    <w:name w:val="ListLabel 115"/>
    <w:qFormat/>
    <w:rPr>
      <w:rFonts w:cs="StarSymbol"/>
      <w:sz w:val="18"/>
      <w:szCs w:val="18"/>
    </w:rPr>
  </w:style>
  <w:style w:type="character" w:styleId="ListLabel116" w:customStyle="1">
    <w:name w:val="ListLabel 116"/>
    <w:qFormat/>
    <w:rPr>
      <w:rFonts w:cs="StarSymbol"/>
      <w:sz w:val="18"/>
      <w:szCs w:val="18"/>
    </w:rPr>
  </w:style>
  <w:style w:type="character" w:styleId="ListLabel117" w:customStyle="1">
    <w:name w:val="ListLabel 117"/>
    <w:qFormat/>
    <w:rPr>
      <w:rFonts w:cs="StarSymbol"/>
      <w:sz w:val="18"/>
      <w:szCs w:val="18"/>
    </w:rPr>
  </w:style>
  <w:style w:type="character" w:styleId="ListLabel118" w:customStyle="1">
    <w:name w:val="ListLabel 118"/>
    <w:qFormat/>
    <w:rPr>
      <w:rFonts w:cs="StarSymbol"/>
      <w:sz w:val="18"/>
      <w:szCs w:val="18"/>
    </w:rPr>
  </w:style>
  <w:style w:type="character" w:styleId="ListLabel119" w:customStyle="1">
    <w:name w:val="ListLabel 119"/>
    <w:qFormat/>
    <w:rPr>
      <w:rFonts w:cs="StarSymbol"/>
      <w:sz w:val="18"/>
      <w:szCs w:val="18"/>
    </w:rPr>
  </w:style>
  <w:style w:type="character" w:styleId="ListLabel120" w:customStyle="1">
    <w:name w:val="ListLabel 120"/>
    <w:qFormat/>
    <w:rPr>
      <w:rFonts w:cs="StarSymbol"/>
      <w:sz w:val="18"/>
      <w:szCs w:val="18"/>
    </w:rPr>
  </w:style>
  <w:style w:type="character" w:styleId="ListLabel121" w:customStyle="1">
    <w:name w:val="ListLabel 121"/>
    <w:qFormat/>
    <w:rPr>
      <w:rFonts w:cs="StarSymbol"/>
      <w:sz w:val="18"/>
      <w:szCs w:val="18"/>
    </w:rPr>
  </w:style>
  <w:style w:type="character" w:styleId="ListLabel122" w:customStyle="1">
    <w:name w:val="ListLabel 122"/>
    <w:qFormat/>
    <w:rPr>
      <w:rFonts w:cs="Symbol"/>
      <w:szCs w:val="24"/>
      <w:lang w:val="en-US"/>
    </w:rPr>
  </w:style>
  <w:style w:type="character" w:styleId="ListLabel123" w:customStyle="1">
    <w:name w:val="ListLabel 123"/>
    <w:qFormat/>
    <w:rPr>
      <w:rFonts w:cs="Symbol"/>
      <w:b/>
      <w:color w:val="000000"/>
      <w:lang w:val="en-US"/>
    </w:rPr>
  </w:style>
  <w:style w:type="character" w:styleId="ListLabel124" w:customStyle="1">
    <w:name w:val="ListLabel 124"/>
    <w:qFormat/>
    <w:rPr>
      <w:rFonts w:ascii="Times New Roman" w:hAnsi="Times New Roman" w:eastAsia="MS Mincho" w:cs="Times New Roman"/>
      <w:b/>
      <w:bCs/>
      <w:iCs/>
      <w:spacing w:val="0"/>
      <w:lang w:val="en-US"/>
    </w:rPr>
  </w:style>
  <w:style w:type="character" w:styleId="ListLabel125" w:customStyle="1">
    <w:name w:val="ListLabel 125"/>
    <w:qFormat/>
    <w:rPr>
      <w:rFonts w:cs="Symbol"/>
      <w:color w:val="000000"/>
      <w:lang w:val="en-US"/>
    </w:rPr>
  </w:style>
  <w:style w:type="character" w:styleId="ListLabel126" w:customStyle="1">
    <w:name w:val="ListLabel 126"/>
    <w:qFormat/>
    <w:rPr>
      <w:rFonts w:ascii="Symbol" w:hAnsi="Symbol" w:cs="Symbol"/>
      <w:b/>
      <w:lang w:val="en-US"/>
    </w:rPr>
  </w:style>
  <w:style w:type="character" w:styleId="ListLabel127" w:customStyle="1">
    <w:name w:val="ListLabel 127"/>
    <w:qFormat/>
    <w:rPr>
      <w:rFonts w:cs="Symbol"/>
      <w:color w:val="000000"/>
      <w:lang w:val="en-US"/>
    </w:rPr>
  </w:style>
  <w:style w:type="character" w:styleId="ListLabel128" w:customStyle="1">
    <w:name w:val="ListLabel 128"/>
    <w:qFormat/>
    <w:rPr>
      <w:rFonts w:cs="Symbol"/>
      <w:color w:val="00000A"/>
      <w:sz w:val="18"/>
      <w:szCs w:val="18"/>
      <w:lang w:val="en-US"/>
    </w:rPr>
  </w:style>
  <w:style w:type="character" w:styleId="ListLabel129" w:customStyle="1">
    <w:name w:val="ListLabel 129"/>
    <w:qFormat/>
    <w:rPr>
      <w:rFonts w:cs="StarSymbol"/>
      <w:sz w:val="18"/>
      <w:szCs w:val="18"/>
    </w:rPr>
  </w:style>
  <w:style w:type="character" w:styleId="ListLabel130" w:customStyle="1">
    <w:name w:val="ListLabel 130"/>
    <w:qFormat/>
    <w:rPr>
      <w:rFonts w:cs="StarSymbol"/>
      <w:sz w:val="18"/>
      <w:szCs w:val="18"/>
    </w:rPr>
  </w:style>
  <w:style w:type="character" w:styleId="ListLabel131" w:customStyle="1">
    <w:name w:val="ListLabel 131"/>
    <w:qFormat/>
    <w:rPr>
      <w:rFonts w:cs="StarSymbol"/>
      <w:sz w:val="18"/>
      <w:szCs w:val="18"/>
    </w:rPr>
  </w:style>
  <w:style w:type="character" w:styleId="ListLabel132" w:customStyle="1">
    <w:name w:val="ListLabel 132"/>
    <w:qFormat/>
    <w:rPr>
      <w:rFonts w:cs="StarSymbol"/>
      <w:sz w:val="18"/>
      <w:szCs w:val="18"/>
    </w:rPr>
  </w:style>
  <w:style w:type="character" w:styleId="ListLabel133" w:customStyle="1">
    <w:name w:val="ListLabel 133"/>
    <w:qFormat/>
    <w:rPr>
      <w:rFonts w:cs="StarSymbol"/>
      <w:sz w:val="18"/>
      <w:szCs w:val="18"/>
    </w:rPr>
  </w:style>
  <w:style w:type="character" w:styleId="ListLabel134" w:customStyle="1">
    <w:name w:val="ListLabel 134"/>
    <w:qFormat/>
    <w:rPr>
      <w:rFonts w:cs="StarSymbol"/>
      <w:sz w:val="18"/>
      <w:szCs w:val="18"/>
    </w:rPr>
  </w:style>
  <w:style w:type="character" w:styleId="ListLabel135" w:customStyle="1">
    <w:name w:val="ListLabel 135"/>
    <w:qFormat/>
    <w:rPr>
      <w:rFonts w:cs="StarSymbol"/>
      <w:sz w:val="18"/>
      <w:szCs w:val="18"/>
    </w:rPr>
  </w:style>
  <w:style w:type="character" w:styleId="ListLabel136" w:customStyle="1">
    <w:name w:val="ListLabel 136"/>
    <w:qFormat/>
    <w:rPr>
      <w:rFonts w:cs="StarSymbol"/>
      <w:sz w:val="18"/>
      <w:szCs w:val="18"/>
    </w:rPr>
  </w:style>
  <w:style w:type="character" w:styleId="ListLabel137" w:customStyle="1">
    <w:name w:val="ListLabel 137"/>
    <w:qFormat/>
    <w:rPr>
      <w:rFonts w:cs="Symbol"/>
      <w:szCs w:val="24"/>
      <w:lang w:val="en-US"/>
    </w:rPr>
  </w:style>
  <w:style w:type="character" w:styleId="ListLabel138" w:customStyle="1">
    <w:name w:val="ListLabel 138"/>
    <w:qFormat/>
    <w:rPr>
      <w:rFonts w:cs="Symbol"/>
      <w:b/>
      <w:color w:val="000000"/>
      <w:lang w:val="en-US"/>
    </w:rPr>
  </w:style>
  <w:style w:type="character" w:styleId="ListLabel139" w:customStyle="1">
    <w:name w:val="ListLabel 139"/>
    <w:qFormat/>
    <w:rPr>
      <w:rFonts w:ascii="Times New Roman" w:hAnsi="Times New Roman" w:eastAsia="MS Mincho" w:cs="Times New Roman"/>
      <w:b/>
      <w:bCs/>
      <w:iCs/>
      <w:spacing w:val="0"/>
      <w:lang w:val="en-US"/>
    </w:rPr>
  </w:style>
  <w:style w:type="character" w:styleId="ListLabel140" w:customStyle="1">
    <w:name w:val="ListLabel 140"/>
    <w:qFormat/>
    <w:rPr>
      <w:rFonts w:cs="Symbol"/>
      <w:color w:val="000000"/>
      <w:lang w:val="en-US"/>
    </w:rPr>
  </w:style>
  <w:style w:type="character" w:styleId="ListLabel141" w:customStyle="1">
    <w:name w:val="ListLabel 141"/>
    <w:qFormat/>
    <w:rPr>
      <w:rFonts w:ascii="Symbol" w:hAnsi="Symbol" w:cs="Symbol"/>
      <w:b/>
      <w:lang w:val="en-US"/>
    </w:rPr>
  </w:style>
  <w:style w:type="character" w:styleId="ListLabel142" w:customStyle="1">
    <w:name w:val="ListLabel 142"/>
    <w:qFormat/>
    <w:rPr>
      <w:rFonts w:cs="Symbol"/>
      <w:color w:val="000000"/>
      <w:lang w:val="en-US"/>
    </w:rPr>
  </w:style>
  <w:style w:type="character" w:styleId="ListLabel143" w:customStyle="1">
    <w:name w:val="ListLabel 143"/>
    <w:qFormat/>
    <w:rPr>
      <w:rFonts w:cs="Symbol"/>
      <w:color w:val="00000A"/>
      <w:sz w:val="18"/>
      <w:szCs w:val="18"/>
      <w:lang w:val="en-US"/>
    </w:rPr>
  </w:style>
  <w:style w:type="character" w:styleId="ListLabel144" w:customStyle="1">
    <w:name w:val="ListLabel 144"/>
    <w:qFormat/>
    <w:rPr>
      <w:rFonts w:cs="StarSymbol"/>
      <w:sz w:val="18"/>
      <w:szCs w:val="18"/>
    </w:rPr>
  </w:style>
  <w:style w:type="character" w:styleId="ListLabel145" w:customStyle="1">
    <w:name w:val="ListLabel 145"/>
    <w:qFormat/>
    <w:rPr>
      <w:rFonts w:cs="StarSymbol"/>
      <w:sz w:val="18"/>
      <w:szCs w:val="18"/>
    </w:rPr>
  </w:style>
  <w:style w:type="character" w:styleId="ListLabel146" w:customStyle="1">
    <w:name w:val="ListLabel 146"/>
    <w:qFormat/>
    <w:rPr>
      <w:rFonts w:cs="StarSymbol"/>
      <w:sz w:val="18"/>
      <w:szCs w:val="18"/>
    </w:rPr>
  </w:style>
  <w:style w:type="character" w:styleId="ListLabel147" w:customStyle="1">
    <w:name w:val="ListLabel 147"/>
    <w:qFormat/>
    <w:rPr>
      <w:rFonts w:cs="StarSymbol"/>
      <w:sz w:val="18"/>
      <w:szCs w:val="18"/>
    </w:rPr>
  </w:style>
  <w:style w:type="character" w:styleId="ListLabel148" w:customStyle="1">
    <w:name w:val="ListLabel 148"/>
    <w:qFormat/>
    <w:rPr>
      <w:rFonts w:cs="StarSymbol"/>
      <w:sz w:val="18"/>
      <w:szCs w:val="18"/>
    </w:rPr>
  </w:style>
  <w:style w:type="character" w:styleId="ListLabel149" w:customStyle="1">
    <w:name w:val="ListLabel 149"/>
    <w:qFormat/>
    <w:rPr>
      <w:rFonts w:cs="StarSymbol"/>
      <w:sz w:val="18"/>
      <w:szCs w:val="18"/>
    </w:rPr>
  </w:style>
  <w:style w:type="character" w:styleId="ListLabel150" w:customStyle="1">
    <w:name w:val="ListLabel 150"/>
    <w:qFormat/>
    <w:rPr>
      <w:rFonts w:cs="StarSymbol"/>
      <w:sz w:val="18"/>
      <w:szCs w:val="18"/>
    </w:rPr>
  </w:style>
  <w:style w:type="character" w:styleId="ListLabel151" w:customStyle="1">
    <w:name w:val="ListLabel 151"/>
    <w:qFormat/>
    <w:rPr>
      <w:rFonts w:cs="StarSymbol"/>
      <w:sz w:val="18"/>
      <w:szCs w:val="18"/>
    </w:rPr>
  </w:style>
  <w:style w:type="character" w:styleId="ListLabel152" w:customStyle="1">
    <w:name w:val="ListLabel 152"/>
    <w:qFormat/>
    <w:rPr>
      <w:rFonts w:cs="Symbol"/>
      <w:szCs w:val="24"/>
      <w:lang w:val="en-US"/>
    </w:rPr>
  </w:style>
  <w:style w:type="character" w:styleId="ListLabel153" w:customStyle="1">
    <w:name w:val="ListLabel 153"/>
    <w:qFormat/>
    <w:rPr>
      <w:rFonts w:cs="Symbol"/>
      <w:b/>
      <w:color w:val="000000"/>
      <w:lang w:val="en-US"/>
    </w:rPr>
  </w:style>
  <w:style w:type="character" w:styleId="ListLabel154" w:customStyle="1">
    <w:name w:val="ListLabel 154"/>
    <w:qFormat/>
    <w:rPr>
      <w:rFonts w:ascii="Times New Roman" w:hAnsi="Times New Roman" w:eastAsia="MS Mincho" w:cs="Times New Roman"/>
      <w:b/>
      <w:bCs/>
      <w:iCs/>
      <w:spacing w:val="0"/>
      <w:lang w:val="en-US"/>
    </w:rPr>
  </w:style>
  <w:style w:type="character" w:styleId="ListLabel155">
    <w:name w:val="ListLabel 155"/>
    <w:qFormat/>
    <w:rPr>
      <w:rFonts w:cs="Symbol"/>
      <w:color w:val="000000"/>
      <w:lang w:val="en-US"/>
    </w:rPr>
  </w:style>
  <w:style w:type="character" w:styleId="ListLabel156">
    <w:name w:val="ListLabel 156"/>
    <w:qFormat/>
    <w:rPr>
      <w:rFonts w:ascii="Symbol" w:hAnsi="Symbol" w:cs="Symbol"/>
      <w:b/>
      <w:lang w:val="en-US"/>
    </w:rPr>
  </w:style>
  <w:style w:type="character" w:styleId="ListLabel157">
    <w:name w:val="ListLabel 157"/>
    <w:qFormat/>
    <w:rPr>
      <w:rFonts w:cs="Symbol"/>
      <w:color w:val="000000"/>
      <w:lang w:val="en-US"/>
    </w:rPr>
  </w:style>
  <w:style w:type="character" w:styleId="ListLabel158">
    <w:name w:val="ListLabel 158"/>
    <w:qFormat/>
    <w:rPr>
      <w:rFonts w:cs="Symbol"/>
      <w:color w:val="00000A"/>
      <w:sz w:val="18"/>
      <w:szCs w:val="18"/>
      <w:lang w:val="en-US"/>
    </w:rPr>
  </w:style>
  <w:style w:type="character" w:styleId="ListLabel159">
    <w:name w:val="ListLabel 159"/>
    <w:qFormat/>
    <w:rPr>
      <w:rFonts w:cs="StarSymbol"/>
      <w:sz w:val="18"/>
      <w:szCs w:val="18"/>
    </w:rPr>
  </w:style>
  <w:style w:type="character" w:styleId="ListLabel160">
    <w:name w:val="ListLabel 160"/>
    <w:qFormat/>
    <w:rPr>
      <w:rFonts w:cs="StarSymbol"/>
      <w:sz w:val="18"/>
      <w:szCs w:val="18"/>
    </w:rPr>
  </w:style>
  <w:style w:type="character" w:styleId="ListLabel161">
    <w:name w:val="ListLabel 161"/>
    <w:qFormat/>
    <w:rPr>
      <w:rFonts w:cs="StarSymbol"/>
      <w:sz w:val="18"/>
      <w:szCs w:val="18"/>
    </w:rPr>
  </w:style>
  <w:style w:type="character" w:styleId="ListLabel162">
    <w:name w:val="ListLabel 162"/>
    <w:qFormat/>
    <w:rPr>
      <w:rFonts w:cs="StarSymbol"/>
      <w:sz w:val="18"/>
      <w:szCs w:val="18"/>
    </w:rPr>
  </w:style>
  <w:style w:type="character" w:styleId="ListLabel163">
    <w:name w:val="ListLabel 163"/>
    <w:qFormat/>
    <w:rPr>
      <w:rFonts w:cs="StarSymbol"/>
      <w:sz w:val="18"/>
      <w:szCs w:val="18"/>
    </w:rPr>
  </w:style>
  <w:style w:type="character" w:styleId="ListLabel164">
    <w:name w:val="ListLabel 164"/>
    <w:qFormat/>
    <w:rPr>
      <w:rFonts w:cs="StarSymbol"/>
      <w:sz w:val="18"/>
      <w:szCs w:val="18"/>
    </w:rPr>
  </w:style>
  <w:style w:type="character" w:styleId="ListLabel165">
    <w:name w:val="ListLabel 165"/>
    <w:qFormat/>
    <w:rPr>
      <w:rFonts w:cs="StarSymbol"/>
      <w:sz w:val="18"/>
      <w:szCs w:val="18"/>
    </w:rPr>
  </w:style>
  <w:style w:type="character" w:styleId="ListLabel166">
    <w:name w:val="ListLabel 166"/>
    <w:qFormat/>
    <w:rPr>
      <w:rFonts w:cs="StarSymbol"/>
      <w:sz w:val="18"/>
      <w:szCs w:val="18"/>
    </w:rPr>
  </w:style>
  <w:style w:type="character" w:styleId="ListLabel167">
    <w:name w:val="ListLabel 167"/>
    <w:qFormat/>
    <w:rPr>
      <w:rFonts w:cs="Symbol"/>
      <w:szCs w:val="24"/>
      <w:lang w:val="en-US"/>
    </w:rPr>
  </w:style>
  <w:style w:type="character" w:styleId="ListLabel168">
    <w:name w:val="ListLabel 168"/>
    <w:qFormat/>
    <w:rPr>
      <w:rFonts w:cs="Symbol"/>
      <w:b/>
      <w:color w:val="000000"/>
      <w:lang w:val="en-US"/>
    </w:rPr>
  </w:style>
  <w:style w:type="character" w:styleId="ListLabel169">
    <w:name w:val="ListLabel 169"/>
    <w:qFormat/>
    <w:rPr>
      <w:rFonts w:ascii="Times New Roman" w:hAnsi="Times New Roman" w:eastAsia="MS Mincho" w:cs="Times New Roman"/>
      <w:b/>
      <w:bCs/>
      <w:iCs/>
      <w:spacing w:val="0"/>
      <w:lang w:val="en-US"/>
    </w:rPr>
  </w:style>
  <w:style w:type="paragraph" w:styleId="Heading">
    <w:name w:val="Heading"/>
    <w:basedOn w:val="Normal"/>
    <w:next w:val="TextBody"/>
    <w:qFormat/>
    <w:pPr>
      <w:keepNext/>
      <w:spacing w:before="240" w:after="120"/>
    </w:pPr>
    <w:rPr>
      <w:rFonts w:ascii="Liberation Sans" w:hAnsi="Liberation Sans" w:eastAsia="WenQuanYi Zen Hei Sharp" w:cs="Lohit Devanagari"/>
      <w:sz w:val="28"/>
      <w:szCs w:val="28"/>
    </w:rPr>
  </w:style>
  <w:style w:type="paragraph" w:styleId="TextBody">
    <w:name w:val="Text Body"/>
    <w:basedOn w:val="Normal"/>
    <w:rsid w:val="001b0ef8"/>
    <w:pPr>
      <w:jc w:val="both"/>
    </w:pPr>
    <w:rPr/>
  </w:style>
  <w:style w:type="paragraph" w:styleId="List">
    <w:name w:val="List"/>
    <w:basedOn w:val="TextBody"/>
    <w:rsid w:val="001b0ef8"/>
    <w:pPr/>
    <w:rPr>
      <w:rFonts w:cs="Mangal"/>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Style20" w:customStyle="1">
    <w:name w:val="Заголовок"/>
    <w:basedOn w:val="Normal"/>
    <w:next w:val="TextBody"/>
    <w:qFormat/>
    <w:rsid w:val="001b0ef8"/>
    <w:pPr>
      <w:keepNext/>
      <w:spacing w:before="240" w:after="120"/>
    </w:pPr>
    <w:rPr/>
  </w:style>
  <w:style w:type="paragraph" w:styleId="Caption1">
    <w:name w:val="caption"/>
    <w:basedOn w:val="Normal"/>
    <w:qFormat/>
    <w:rsid w:val="001b0ef8"/>
    <w:pPr>
      <w:suppressLineNumbers/>
      <w:spacing w:before="120" w:after="120"/>
    </w:pPr>
    <w:rPr/>
  </w:style>
  <w:style w:type="paragraph" w:styleId="Style21" w:customStyle="1">
    <w:name w:val="Указатель"/>
    <w:basedOn w:val="Normal"/>
    <w:qFormat/>
    <w:rsid w:val="001b0ef8"/>
    <w:pPr>
      <w:suppressLineNumbers/>
    </w:pPr>
    <w:rPr>
      <w:rFonts w:cs="Lohit Devanagari"/>
    </w:rPr>
  </w:style>
  <w:style w:type="paragraph" w:styleId="13" w:customStyle="1">
    <w:name w:val="Заголовок1"/>
    <w:basedOn w:val="Normal"/>
    <w:qFormat/>
    <w:rsid w:val="001b0ef8"/>
    <w:pPr>
      <w:keepNext/>
      <w:spacing w:before="240" w:after="120"/>
      <w:ind w:firstLine="280"/>
      <w:jc w:val="center"/>
    </w:pPr>
    <w:rPr/>
  </w:style>
  <w:style w:type="paragraph" w:styleId="3" w:customStyle="1">
    <w:name w:val="Название3"/>
    <w:basedOn w:val="Normal"/>
    <w:qFormat/>
    <w:rsid w:val="001b0ef8"/>
    <w:pPr>
      <w:suppressLineNumbers/>
      <w:spacing w:before="120" w:after="120"/>
    </w:pPr>
    <w:rPr/>
  </w:style>
  <w:style w:type="paragraph" w:styleId="31" w:customStyle="1">
    <w:name w:val="Указатель3"/>
    <w:basedOn w:val="Normal"/>
    <w:qFormat/>
    <w:rsid w:val="001b0ef8"/>
    <w:pPr>
      <w:suppressLineNumbers/>
    </w:pPr>
    <w:rPr/>
  </w:style>
  <w:style w:type="paragraph" w:styleId="14" w:customStyle="1">
    <w:name w:val="Текст1"/>
    <w:basedOn w:val="Normal"/>
    <w:qFormat/>
    <w:rsid w:val="001b0ef8"/>
    <w:pPr/>
    <w:rPr/>
  </w:style>
  <w:style w:type="paragraph" w:styleId="15" w:customStyle="1">
    <w:name w:val="Обычный (веб)1"/>
    <w:basedOn w:val="Normal"/>
    <w:qFormat/>
    <w:rsid w:val="001b0ef8"/>
    <w:pPr>
      <w:spacing w:before="28" w:after="28"/>
    </w:pPr>
    <w:rPr/>
  </w:style>
  <w:style w:type="paragraph" w:styleId="FootnoteText1" w:customStyle="1">
    <w:name w:val="Footnote Text1"/>
    <w:basedOn w:val="Normal"/>
    <w:qFormat/>
    <w:rsid w:val="001b0ef8"/>
    <w:pPr>
      <w:spacing w:before="0" w:after="80"/>
      <w:ind w:firstLine="280"/>
      <w:jc w:val="both"/>
    </w:pPr>
    <w:rPr/>
  </w:style>
  <w:style w:type="paragraph" w:styleId="Authors" w:customStyle="1">
    <w:name w:val="Authors"/>
    <w:basedOn w:val="Normal"/>
    <w:qFormat/>
    <w:rsid w:val="001b0ef8"/>
    <w:pPr>
      <w:spacing w:lineRule="atLeast" w:line="280" w:before="0" w:after="40"/>
      <w:ind w:firstLine="274"/>
      <w:jc w:val="center"/>
    </w:pPr>
    <w:rPr>
      <w:rFonts w:ascii="Times" w:hAnsi="Times" w:cs="Times"/>
    </w:rPr>
  </w:style>
  <w:style w:type="paragraph" w:styleId="OrganizationAddress" w:customStyle="1">
    <w:name w:val="Organization &amp; Address"/>
    <w:basedOn w:val="Authors"/>
    <w:qFormat/>
    <w:rsid w:val="001b0ef8"/>
    <w:pPr>
      <w:spacing w:lineRule="atLeast" w:line="80"/>
    </w:pPr>
    <w:rPr/>
  </w:style>
  <w:style w:type="paragraph" w:styleId="Footer">
    <w:name w:val="Footer"/>
    <w:basedOn w:val="Normal"/>
    <w:rsid w:val="001b0ef8"/>
    <w:pPr>
      <w:suppressLineNumbers/>
    </w:pPr>
    <w:rPr/>
  </w:style>
  <w:style w:type="paragraph" w:styleId="WWPlainText" w:customStyle="1">
    <w:name w:val="WW-Plain Text"/>
    <w:basedOn w:val="Normal"/>
    <w:qFormat/>
    <w:rsid w:val="001b0ef8"/>
    <w:pPr/>
    <w:rPr/>
  </w:style>
  <w:style w:type="paragraph" w:styleId="WWNormalWeb" w:customStyle="1">
    <w:name w:val="WW-Normal (Web)"/>
    <w:basedOn w:val="Normal"/>
    <w:qFormat/>
    <w:rsid w:val="001b0ef8"/>
    <w:pPr>
      <w:spacing w:before="100" w:after="100"/>
    </w:pPr>
    <w:rPr/>
  </w:style>
  <w:style w:type="paragraph" w:styleId="Caption11" w:customStyle="1">
    <w:name w:val="Caption1"/>
    <w:basedOn w:val="Normal"/>
    <w:qFormat/>
    <w:rsid w:val="001b0ef8"/>
    <w:pPr>
      <w:spacing w:before="120" w:after="120"/>
    </w:pPr>
    <w:rPr/>
  </w:style>
  <w:style w:type="paragraph" w:styleId="311" w:customStyle="1">
    <w:name w:val="Основной текст с отступом 31"/>
    <w:basedOn w:val="Normal"/>
    <w:qFormat/>
    <w:rsid w:val="001b0ef8"/>
    <w:pPr>
      <w:shd w:val="clear" w:color="auto" w:fill="FFFFFF"/>
      <w:spacing w:before="28" w:after="0"/>
      <w:ind w:left="720" w:hanging="0"/>
    </w:pPr>
    <w:rPr/>
  </w:style>
  <w:style w:type="paragraph" w:styleId="ColorfulListAccent11" w:customStyle="1">
    <w:name w:val="Colorful List - Accent 11"/>
    <w:basedOn w:val="Normal"/>
    <w:qFormat/>
    <w:rsid w:val="001b0ef8"/>
    <w:pPr>
      <w:ind w:left="720" w:hanging="0"/>
    </w:pPr>
    <w:rPr/>
  </w:style>
  <w:style w:type="paragraph" w:styleId="TextBodyIndent">
    <w:name w:val="Text Body Indent"/>
    <w:basedOn w:val="Normal"/>
    <w:rsid w:val="001b0ef8"/>
    <w:pPr>
      <w:spacing w:before="0" w:after="120"/>
      <w:ind w:left="283" w:hanging="0"/>
    </w:pPr>
    <w:rPr/>
  </w:style>
  <w:style w:type="paragraph" w:styleId="21" w:customStyle="1">
    <w:name w:val="Основной текст 21"/>
    <w:basedOn w:val="Normal"/>
    <w:qFormat/>
    <w:rsid w:val="001b0ef8"/>
    <w:pPr>
      <w:spacing w:lineRule="auto" w:line="480" w:before="0" w:after="120"/>
    </w:pPr>
    <w:rPr/>
  </w:style>
  <w:style w:type="paragraph" w:styleId="Header">
    <w:name w:val="Header"/>
    <w:basedOn w:val="Normal"/>
    <w:rsid w:val="001b0ef8"/>
    <w:pPr>
      <w:suppressLineNumbers/>
    </w:pPr>
    <w:rPr/>
  </w:style>
  <w:style w:type="paragraph" w:styleId="312" w:customStyle="1">
    <w:name w:val="Основной текст 31"/>
    <w:basedOn w:val="Normal"/>
    <w:qFormat/>
    <w:rsid w:val="001b0ef8"/>
    <w:pPr>
      <w:spacing w:before="0" w:after="120"/>
    </w:pPr>
    <w:rPr>
      <w:sz w:val="16"/>
      <w:szCs w:val="16"/>
    </w:rPr>
  </w:style>
  <w:style w:type="paragraph" w:styleId="211" w:customStyle="1">
    <w:name w:val="Основной текст с отступом 21"/>
    <w:basedOn w:val="Normal"/>
    <w:qFormat/>
    <w:rsid w:val="001b0ef8"/>
    <w:pPr>
      <w:spacing w:lineRule="auto" w:line="480" w:before="0" w:after="120"/>
      <w:ind w:left="283" w:hanging="0"/>
    </w:pPr>
    <w:rPr/>
  </w:style>
  <w:style w:type="paragraph" w:styleId="16" w:customStyle="1">
    <w:name w:val="Название1"/>
    <w:basedOn w:val="Normal"/>
    <w:qFormat/>
    <w:rsid w:val="001b0ef8"/>
    <w:pPr>
      <w:suppressLineNumbers/>
      <w:spacing w:before="120" w:after="120"/>
    </w:pPr>
    <w:rPr>
      <w:i/>
      <w:iCs/>
    </w:rPr>
  </w:style>
  <w:style w:type="paragraph" w:styleId="17" w:customStyle="1">
    <w:name w:val="Указатель1"/>
    <w:basedOn w:val="Normal"/>
    <w:qFormat/>
    <w:rsid w:val="001b0ef8"/>
    <w:pPr>
      <w:suppressLineNumbers/>
    </w:pPr>
    <w:rPr/>
  </w:style>
  <w:style w:type="paragraph" w:styleId="Subtitle">
    <w:name w:val="Subtitle"/>
    <w:basedOn w:val="13"/>
    <w:qFormat/>
    <w:rsid w:val="001b0ef8"/>
    <w:pPr/>
    <w:rPr/>
  </w:style>
  <w:style w:type="paragraph" w:styleId="Iauiue1" w:customStyle="1">
    <w:name w:val="Iau?iue1"/>
    <w:qFormat/>
    <w:rsid w:val="001b0ef8"/>
    <w:pPr>
      <w:widowControl w:val="false"/>
      <w:suppressAutoHyphens w:val="true"/>
      <w:bidi w:val="0"/>
      <w:jc w:val="left"/>
    </w:pPr>
    <w:rPr>
      <w:rFonts w:ascii="Times New Roman" w:hAnsi="Times New Roman" w:eastAsia="Times New Roman" w:cs="Times New Roman"/>
      <w:color w:val="00000A"/>
      <w:sz w:val="20"/>
      <w:szCs w:val="20"/>
      <w:lang w:eastAsia="zh-CN" w:val="ru-RU" w:bidi="ar-SA"/>
    </w:rPr>
  </w:style>
  <w:style w:type="paragraph" w:styleId="Style22" w:customStyle="1">
    <w:name w:val="Содержимое таблицы"/>
    <w:basedOn w:val="Normal"/>
    <w:qFormat/>
    <w:rsid w:val="001b0ef8"/>
    <w:pPr>
      <w:suppressLineNumbers/>
    </w:pPr>
    <w:rPr/>
  </w:style>
  <w:style w:type="paragraph" w:styleId="Style23" w:customStyle="1">
    <w:name w:val="Заголовок таблицы"/>
    <w:basedOn w:val="Style22"/>
    <w:qFormat/>
    <w:rsid w:val="001b0ef8"/>
    <w:pPr>
      <w:jc w:val="center"/>
    </w:pPr>
    <w:rPr>
      <w:b/>
      <w:bCs/>
    </w:rPr>
  </w:style>
  <w:style w:type="paragraph" w:styleId="Elsbodytext" w:customStyle="1">
    <w:name w:val="Els-body-text"/>
    <w:qFormat/>
    <w:rsid w:val="001b0ef8"/>
    <w:pPr>
      <w:widowControl/>
      <w:suppressAutoHyphens w:val="true"/>
      <w:bidi w:val="0"/>
      <w:spacing w:lineRule="exact" w:line="240"/>
      <w:ind w:firstLine="240"/>
      <w:jc w:val="both"/>
    </w:pPr>
    <w:rPr>
      <w:rFonts w:ascii="Times New Roman" w:hAnsi="Times New Roman" w:eastAsia="Times New Roman" w:cs="Times New Roman"/>
      <w:color w:val="00000A"/>
      <w:sz w:val="20"/>
      <w:szCs w:val="20"/>
      <w:lang w:eastAsia="zh-CN" w:val="ru-RU" w:bidi="ar-SA"/>
    </w:rPr>
  </w:style>
  <w:style w:type="paragraph" w:styleId="18" w:customStyle="1">
    <w:name w:val="Абзац списка1"/>
    <w:basedOn w:val="Normal"/>
    <w:qFormat/>
    <w:rsid w:val="001b0ef8"/>
    <w:pPr>
      <w:ind w:left="720" w:hanging="0"/>
    </w:pPr>
    <w:rPr/>
  </w:style>
  <w:style w:type="paragraph" w:styleId="Style24" w:customStyle="1">
    <w:name w:val="Содержимое врезки"/>
    <w:basedOn w:val="TextBody"/>
    <w:qFormat/>
    <w:rsid w:val="001b0ef8"/>
    <w:pPr/>
    <w:rPr/>
  </w:style>
  <w:style w:type="paragraph" w:styleId="Default" w:customStyle="1">
    <w:name w:val="Default"/>
    <w:qFormat/>
    <w:rsid w:val="001b0ef8"/>
    <w:pPr>
      <w:widowControl/>
      <w:suppressAutoHyphens w:val="true"/>
      <w:bidi w:val="0"/>
      <w:jc w:val="left"/>
    </w:pPr>
    <w:rPr>
      <w:rFonts w:ascii="Times New Roman" w:hAnsi="Times New Roman" w:eastAsia="Times New Roman" w:cs="Times New Roman"/>
      <w:color w:val="00000A"/>
      <w:sz w:val="20"/>
      <w:szCs w:val="20"/>
      <w:lang w:eastAsia="zh-CN" w:val="ru-RU" w:bidi="ar-SA"/>
    </w:rPr>
  </w:style>
  <w:style w:type="paragraph" w:styleId="2" w:customStyle="1">
    <w:name w:val="Название2"/>
    <w:basedOn w:val="Normal"/>
    <w:qFormat/>
    <w:rsid w:val="001b0ef8"/>
    <w:pPr>
      <w:suppressLineNumbers/>
      <w:spacing w:before="120" w:after="120"/>
    </w:pPr>
    <w:rPr/>
  </w:style>
  <w:style w:type="paragraph" w:styleId="22" w:customStyle="1">
    <w:name w:val="Указатель2"/>
    <w:basedOn w:val="Normal"/>
    <w:qFormat/>
    <w:rsid w:val="001b0ef8"/>
    <w:pPr>
      <w:suppressLineNumbers/>
    </w:pPr>
    <w:rPr/>
  </w:style>
  <w:style w:type="paragraph" w:styleId="Footnotetext">
    <w:name w:val="footnote text"/>
    <w:basedOn w:val="Normal"/>
    <w:qFormat/>
    <w:rsid w:val="001b0ef8"/>
    <w:pPr>
      <w:suppressLineNumbers/>
      <w:spacing w:before="0" w:after="80"/>
      <w:ind w:left="283" w:firstLine="280"/>
      <w:jc w:val="both"/>
    </w:pPr>
    <w:rPr/>
  </w:style>
  <w:style w:type="paragraph" w:styleId="WWDefault" w:customStyle="1">
    <w:name w:val="WW-Default"/>
    <w:qFormat/>
    <w:rsid w:val="001b0ef8"/>
    <w:pPr>
      <w:widowControl/>
      <w:suppressAutoHyphens w:val="true"/>
      <w:bidi w:val="0"/>
      <w:jc w:val="left"/>
    </w:pPr>
    <w:rPr>
      <w:rFonts w:ascii="Times New Roman" w:hAnsi="Times New Roman" w:eastAsia="Times New Roman" w:cs="Times New Roman"/>
      <w:color w:val="00000A"/>
      <w:sz w:val="20"/>
      <w:szCs w:val="20"/>
      <w:lang w:eastAsia="zh-CN" w:val="ru-RU" w:bidi="ar-SA"/>
    </w:rPr>
  </w:style>
  <w:style w:type="paragraph" w:styleId="19" w:customStyle="1">
    <w:name w:val="Текст выноски1"/>
    <w:basedOn w:val="Normal"/>
    <w:qFormat/>
    <w:rsid w:val="001b0ef8"/>
    <w:pPr/>
    <w:rPr/>
  </w:style>
  <w:style w:type="paragraph" w:styleId="111" w:customStyle="1">
    <w:name w:val="Цветной список - Акцент 11"/>
    <w:basedOn w:val="Normal"/>
    <w:qFormat/>
    <w:rsid w:val="001b0ef8"/>
    <w:pPr>
      <w:ind w:left="720" w:hanging="0"/>
    </w:pPr>
    <w:rPr/>
  </w:style>
  <w:style w:type="paragraph" w:styleId="Textbody1" w:customStyle="1">
    <w:name w:val="Text body"/>
    <w:basedOn w:val="Normal"/>
    <w:qFormat/>
    <w:rsid w:val="001b0ef8"/>
    <w:pPr>
      <w:suppressAutoHyphens w:val="false"/>
      <w:jc w:val="both"/>
    </w:pPr>
    <w:rPr/>
  </w:style>
  <w:style w:type="paragraph" w:styleId="110" w:customStyle="1">
    <w:name w:val="Рецензия1"/>
    <w:qFormat/>
    <w:rsid w:val="001b0ef8"/>
    <w:pPr>
      <w:widowControl/>
      <w:suppressAutoHyphens w:val="true"/>
      <w:bidi w:val="0"/>
      <w:jc w:val="left"/>
    </w:pPr>
    <w:rPr>
      <w:rFonts w:ascii="Times New Roman" w:hAnsi="Times New Roman" w:eastAsia="Times New Roman" w:cs="Times New Roman"/>
      <w:color w:val="00000A"/>
      <w:sz w:val="20"/>
      <w:szCs w:val="20"/>
      <w:lang w:eastAsia="zh-CN" w:val="ru-RU" w:bidi="ar-SA"/>
    </w:rPr>
  </w:style>
  <w:style w:type="paragraph" w:styleId="FrameContents" w:customStyle="1">
    <w:name w:val="Frame Contents"/>
    <w:basedOn w:val="Normal"/>
    <w:qFormat/>
    <w:rsid w:val="001b0ef8"/>
    <w:pPr/>
    <w:rPr/>
  </w:style>
  <w:style w:type="paragraph" w:styleId="Style25" w:customStyle="1">
    <w:name w:val="Текст в заданном формате"/>
    <w:basedOn w:val="Normal"/>
    <w:qFormat/>
    <w:rsid w:val="001b0ef8"/>
    <w:pPr/>
    <w:rPr>
      <w:rFonts w:ascii="DejaVu Sans Mono" w:hAnsi="DejaVu Sans Mono" w:eastAsia="DejaVu Sans Mono" w:cs="DejaVu Sans Mono"/>
      <w:lang w:val="en-US"/>
    </w:rPr>
  </w:style>
  <w:style w:type="paragraph" w:styleId="112" w:customStyle="1">
    <w:name w:val="Без интервала1"/>
    <w:qFormat/>
    <w:rsid w:val="001b0ef8"/>
    <w:pPr>
      <w:widowControl/>
      <w:suppressAutoHyphens w:val="true"/>
      <w:bidi w:val="0"/>
      <w:jc w:val="left"/>
    </w:pPr>
    <w:rPr>
      <w:rFonts w:ascii="PMingLiU" w:hAnsi="PMingLiU" w:eastAsia="MS Mincho" w:cs="PMingLiU"/>
      <w:color w:val="00000A"/>
      <w:sz w:val="22"/>
      <w:szCs w:val="22"/>
      <w:lang w:val="en-US" w:eastAsia="zh-CN" w:bidi="ar-SA"/>
    </w:rPr>
  </w:style>
  <w:style w:type="paragraph" w:styleId="BalloonText">
    <w:name w:val="Balloon Text"/>
    <w:basedOn w:val="Normal"/>
    <w:uiPriority w:val="99"/>
    <w:semiHidden/>
    <w:unhideWhenUsed/>
    <w:qFormat/>
    <w:rsid w:val="00aa2fea"/>
    <w:pPr/>
    <w:rPr>
      <w:rFonts w:ascii="Tahoma" w:hAnsi="Tahoma" w:cs="Tahoma"/>
      <w:sz w:val="16"/>
      <w:szCs w:val="16"/>
    </w:rPr>
  </w:style>
  <w:style w:type="paragraph" w:styleId="ListParagraph">
    <w:name w:val="List Paragraph"/>
    <w:basedOn w:val="Normal"/>
    <w:uiPriority w:val="34"/>
    <w:qFormat/>
    <w:rsid w:val="00213caa"/>
    <w:pPr>
      <w:spacing w:before="0" w:after="0"/>
      <w:ind w:left="720" w:hanging="0"/>
      <w:contextualSpacing/>
    </w:pPr>
    <w:rPr/>
  </w:style>
  <w:style w:type="paragraph" w:styleId="PlainText">
    <w:name w:val="Plain Text"/>
    <w:basedOn w:val="Normal"/>
    <w:qFormat/>
    <w:rsid w:val="009d69eb"/>
    <w:pPr>
      <w:suppressAutoHyphens w:val="false"/>
    </w:pPr>
    <w:rPr>
      <w:rFonts w:ascii="Courier New" w:hAnsi="Courier New" w:cs="Courier New"/>
      <w:lang w:val="en-US" w:eastAsia="en-US"/>
    </w:rPr>
  </w:style>
  <w:style w:type="numbering" w:styleId="NoList" w:default="1">
    <w:name w:val="No List"/>
    <w:uiPriority w:val="99"/>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footer" Target="footer1.xml"/><Relationship Id="rId20" Type="http://schemas.openxmlformats.org/officeDocument/2006/relationships/footer" Target="footer2.xml"/><Relationship Id="rId21" Type="http://schemas.openxmlformats.org/officeDocument/2006/relationships/numbering" Target="numbering.xml"/><Relationship Id="rId22" Type="http://schemas.openxmlformats.org/officeDocument/2006/relationships/fontTable" Target="fontTable.xml"/><Relationship Id="rId23" Type="http://schemas.openxmlformats.org/officeDocument/2006/relationships/settings" Target="settings.xml"/><Relationship Id="rId24" Type="http://schemas.openxmlformats.org/officeDocument/2006/relationships/theme" Target="theme/theme1.xml"/><Relationship Id="rId25"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b:Source>
    <b:Tag>1NA</b:Tag>
    <b:SourceType>ArticleInAPeriodical</b:SourceType>
    <b:Guid>{6C0AF53E-C0E3-4EB7-ADCF-19D54B7230C6}</b:Guid>
    <b:Author>
      <b:Author>
        <b:NameList>
          <b:Person>
            <b:Last>COLLABORATION</b:Last>
            <b:First>1.</b:First>
            <b:Middle>NA62</b:Middle>
          </b:Person>
          <b:Person>
            <b:Last>F. Ambrosino et al. Proposal to Measure K→ rare decay at the CERN SPS. CERN-SPSC-2005-013</b:Last>
            <b:First>2005.</b:First>
          </b:Person>
        </b:NameList>
      </b:Author>
    </b:Author>
    <b:RefOrder>1</b:RefOrder>
  </b:Source>
</b:Sources>
</file>

<file path=customXml/itemProps1.xml><?xml version="1.0" encoding="utf-8"?>
<ds:datastoreItem xmlns:ds="http://schemas.openxmlformats.org/officeDocument/2006/customXml" ds:itemID="{BCB60C17-7FB1-A247-8581-1D93C1612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Application>LibreOffice/5.0.6.2$Linux_X86_64 LibreOffice_project/00$Build-2</Application>
  <Paragraphs>390</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2018-03-07T07:41:00Z</dcterms:created>
  <dc:creator>Potrebenikov Yu. K.</dc:creator>
  <dc:language>ru-RU</dc:language>
  <cp:lastModifiedBy>Madigozhin </cp:lastModifiedBy>
  <cp:lastPrinted>2015-03-16T11:21:00Z</cp:lastPrinted>
  <dcterms:modified xsi:type="dcterms:W3CDTF">2018-03-13T09:18:10Z</dcterms:modified>
  <cp:revision>6</cp:revision>
  <dc:title>p%Format: RaTex2e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