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_rels/document.xml.rels" ContentType="application/vnd.openxmlformats-package.relationships+xml"/>
  <Override PartName="/word/media/image13.png" ContentType="image/png"/>
  <Override PartName="/word/media/image9.png" ContentType="image/png"/>
  <Override PartName="/word/media/image18.png" ContentType="image/png"/>
  <Override PartName="/word/media/image20.png" ContentType="image/png"/>
  <Override PartName="/word/media/image12.png" ContentType="image/png"/>
  <Override PartName="/word/media/image3.png" ContentType="image/png"/>
  <Override PartName="/word/media/image8.png" ContentType="image/png"/>
  <Override PartName="/word/media/image17.png" ContentType="image/png"/>
  <Override PartName="/word/media/image11.png" ContentType="image/png"/>
  <Override PartName="/word/media/image2.png" ContentType="image/png"/>
  <Override PartName="/word/media/image7.png" ContentType="image/png"/>
  <Override PartName="/word/media/image10.png" ContentType="image/png"/>
  <Override PartName="/word/media/image1.png" ContentType="image/png"/>
  <Override PartName="/word/media/image26.png" ContentType="image/png"/>
  <Override PartName="/word/media/image25.png" ContentType="image/png"/>
  <Override PartName="/word/media/image24.png" ContentType="image/png"/>
  <Override PartName="/word/media/image23.png" ContentType="image/png"/>
  <Override PartName="/word/media/image22.png" ContentType="image/png"/>
  <Override PartName="/word/media/image4.wmf" ContentType="image/x-wmf"/>
  <Override PartName="/word/media/image14.png" ContentType="image/png"/>
  <Override PartName="/word/media/image5.png" ContentType="image/png"/>
  <Override PartName="/word/media/image21.png" ContentType="image/png"/>
  <Override PartName="/word/media/image19.png" ContentType="image/png"/>
  <Override PartName="/word/media/image16.wmf" ContentType="image/x-wmf"/>
  <Override PartName="/word/media/image6.png" ContentType="image/png"/>
  <Override PartName="/word/media/image15.png" ContentType="image/png"/>
  <Override PartName="/word/footnotes.xml" ContentType="application/vnd.openxmlformats-officedocument.wordprocessingml.footnotes+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lineRule="auto" w:line="360"/>
        <w:jc w:val="right"/>
        <w:rPr>
          <w:b/>
        </w:rPr>
      </w:pPr>
      <w:r>
        <w:rPr>
          <w:b/>
        </w:rPr>
        <w:t>Приложение 3.</w:t>
      </w:r>
    </w:p>
    <w:p>
      <w:pPr>
        <w:pStyle w:val="Normal"/>
        <w:spacing w:lineRule="auto" w:line="240" w:before="0" w:after="0"/>
        <w:jc w:val="right"/>
        <w:rPr>
          <w:b/>
          <w:i/>
          <w:i/>
          <w:iCs/>
        </w:rPr>
      </w:pPr>
      <w:r>
        <w:rPr>
          <w:b/>
          <w:i/>
          <w:iCs/>
        </w:rPr>
        <w:t xml:space="preserve">Форма открытия (продления) </w:t>
      </w:r>
    </w:p>
    <w:p>
      <w:pPr>
        <w:pStyle w:val="Normal"/>
        <w:spacing w:lineRule="auto" w:line="240" w:before="0" w:after="0"/>
        <w:jc w:val="center"/>
        <w:rPr>
          <w:b/>
          <w:i/>
          <w:i/>
          <w:iCs/>
        </w:rPr>
      </w:pPr>
      <w:r>
        <w:rPr>
          <w:b/>
          <w:i/>
          <w:iCs/>
        </w:rPr>
        <w:t xml:space="preserve">                                                              </w:t>
      </w:r>
      <w:r>
        <w:rPr>
          <w:b/>
          <w:i/>
          <w:iCs/>
        </w:rPr>
        <w:t xml:space="preserve">Проекта </w:t>
      </w:r>
    </w:p>
    <w:p>
      <w:pPr>
        <w:pStyle w:val="Normal"/>
        <w:spacing w:lineRule="auto" w:line="360" w:before="0" w:after="0"/>
        <w:rPr>
          <w:b/>
        </w:rPr>
      </w:pPr>
      <w:r>
        <w:rPr>
          <w:b/>
        </w:rPr>
      </w:r>
    </w:p>
    <w:p>
      <w:pPr>
        <w:pStyle w:val="Normal"/>
        <w:spacing w:lineRule="auto" w:line="360" w:before="0" w:after="0"/>
        <w:rPr>
          <w:b/>
        </w:rPr>
      </w:pPr>
      <w:r>
        <w:rPr>
          <w:b/>
        </w:rPr>
      </w:r>
    </w:p>
    <w:p>
      <w:pPr>
        <w:pStyle w:val="Normal"/>
        <w:spacing w:lineRule="auto" w:line="360" w:before="0" w:after="0"/>
        <w:rPr>
          <w:b/>
        </w:rPr>
      </w:pPr>
      <w:r>
        <w:rPr>
          <w:b/>
        </w:rPr>
        <w:tab/>
        <w:tab/>
        <w:tab/>
        <w:tab/>
        <w:tab/>
        <w:tab/>
        <w:tab/>
        <w:tab/>
        <w:tab/>
      </w:r>
    </w:p>
    <w:p>
      <w:pPr>
        <w:pStyle w:val="Normal"/>
        <w:spacing w:lineRule="auto" w:line="360" w:before="0" w:after="0"/>
        <w:jc w:val="center"/>
        <w:rPr/>
      </w:pPr>
      <w:r>
        <w:rPr>
          <w:b/>
        </w:rPr>
        <w:t xml:space="preserve">                                                                                   </w:t>
      </w:r>
      <w:r>
        <w:rPr>
          <w:b/>
        </w:rPr>
        <w:t>УТВЕРЖДАЮ</w:t>
      </w:r>
    </w:p>
    <w:p>
      <w:pPr>
        <w:pStyle w:val="Normal"/>
        <w:spacing w:lineRule="auto" w:line="360" w:before="0" w:after="0"/>
        <w:rPr/>
      </w:pPr>
      <w:r>
        <w:rPr>
          <w:b/>
        </w:rPr>
        <w:tab/>
        <w:tab/>
        <w:tab/>
        <w:tab/>
        <w:tab/>
        <w:tab/>
        <w:tab/>
        <w:tab/>
        <w:tab/>
        <w:t>Директор Института</w:t>
      </w:r>
    </w:p>
    <w:p>
      <w:pPr>
        <w:pStyle w:val="Normal"/>
        <w:spacing w:lineRule="auto" w:line="360" w:before="0" w:after="0"/>
        <w:rPr/>
      </w:pPr>
      <w:r>
        <w:rPr>
          <w:b/>
        </w:rPr>
        <w:tab/>
        <w:tab/>
        <w:tab/>
        <w:tab/>
        <w:tab/>
        <w:tab/>
        <w:tab/>
        <w:tab/>
      </w:r>
      <w:r>
        <w:rPr>
          <w:b/>
          <w:u w:val="single"/>
        </w:rPr>
        <w:tab/>
        <w:tab/>
        <w:t>/</w:t>
        <w:tab/>
        <w:tab/>
        <w:tab/>
        <w:t>/</w:t>
      </w:r>
    </w:p>
    <w:p>
      <w:pPr>
        <w:pStyle w:val="Normal"/>
        <w:spacing w:lineRule="auto" w:line="360" w:before="0" w:after="0"/>
        <w:rPr/>
      </w:pPr>
      <w:r>
        <w:rPr>
          <w:b/>
        </w:rPr>
        <w:tab/>
        <w:tab/>
        <w:tab/>
        <w:tab/>
        <w:tab/>
        <w:tab/>
        <w:tab/>
        <w:tab/>
        <w:t>“</w:t>
      </w:r>
      <w:r>
        <w:rPr>
          <w:b/>
          <w:u w:val="single"/>
        </w:rPr>
        <w:tab/>
      </w:r>
      <w:r>
        <w:rPr>
          <w:b/>
        </w:rPr>
        <w:t>“</w:t>
      </w:r>
      <w:r>
        <w:rPr>
          <w:b/>
          <w:u w:val="single"/>
        </w:rPr>
        <w:tab/>
        <w:tab/>
        <w:tab/>
      </w:r>
      <w:r>
        <w:rPr>
          <w:b/>
        </w:rPr>
        <w:t>202</w:t>
      </w:r>
      <w:r>
        <w:rPr>
          <w:bCs/>
        </w:rPr>
        <w:t xml:space="preserve">_ </w:t>
      </w:r>
      <w:r>
        <w:rPr>
          <w:b/>
        </w:rPr>
        <w:t>г.</w:t>
      </w:r>
    </w:p>
    <w:p>
      <w:pPr>
        <w:pStyle w:val="Normal"/>
        <w:spacing w:lineRule="auto" w:line="360"/>
        <w:rPr>
          <w:b/>
          <w:sz w:val="22"/>
        </w:rPr>
      </w:pPr>
      <w:r>
        <w:rPr>
          <w:b/>
          <w:sz w:val="22"/>
        </w:rPr>
      </w:r>
    </w:p>
    <w:p>
      <w:pPr>
        <w:pStyle w:val="Normal"/>
        <w:spacing w:lineRule="auto" w:line="360"/>
        <w:rPr>
          <w:b/>
          <w:sz w:val="22"/>
        </w:rPr>
      </w:pPr>
      <w:r>
        <w:rPr>
          <w:b/>
          <w:sz w:val="22"/>
        </w:rPr>
      </w:r>
    </w:p>
    <w:p>
      <w:pPr>
        <w:pStyle w:val="Normal"/>
        <w:spacing w:lineRule="auto" w:line="360"/>
        <w:rPr>
          <w:b/>
        </w:rPr>
      </w:pPr>
      <w:r>
        <w:rPr>
          <w:b/>
        </w:rPr>
      </w:r>
    </w:p>
    <w:p>
      <w:pPr>
        <w:pStyle w:val="Normal"/>
        <w:spacing w:lineRule="auto" w:line="240" w:before="0" w:after="120"/>
        <w:jc w:val="center"/>
        <w:rPr>
          <w:b/>
        </w:rPr>
      </w:pPr>
      <w:r>
        <w:rPr>
          <w:b/>
        </w:rPr>
        <w:t xml:space="preserve">НАУЧНО-ТЕХНИЧЕСКОЕ ОБОСНОВАНИЕ ОТКРЫТИЯ / ПРОДЛЕНИЯ </w:t>
      </w:r>
    </w:p>
    <w:p>
      <w:pPr>
        <w:pStyle w:val="Normal"/>
        <w:spacing w:lineRule="auto" w:line="240" w:before="0" w:after="120"/>
        <w:jc w:val="center"/>
        <w:rPr>
          <w:b/>
        </w:rPr>
      </w:pPr>
      <w:r>
        <w:rPr>
          <w:b/>
        </w:rPr>
        <w:t xml:space="preserve">ПРОЕКТА / ПОДПРОЕКТА ПО НАПРАВЛЕНИЮ ИССЛЕДОВАНИЙ </w:t>
      </w:r>
    </w:p>
    <w:p>
      <w:pPr>
        <w:pStyle w:val="Normal"/>
        <w:spacing w:lineRule="auto" w:line="240" w:before="0" w:after="120"/>
        <w:jc w:val="center"/>
        <w:rPr>
          <w:b/>
        </w:rPr>
      </w:pPr>
      <w:r>
        <w:rPr>
          <w:b/>
        </w:rPr>
        <w:t xml:space="preserve">В ПРОБЛЕМНО-ТЕМАТИЧЕСКОМ ПЛАНЕ ОИЯИ </w:t>
      </w:r>
    </w:p>
    <w:p>
      <w:pPr>
        <w:pStyle w:val="Normal"/>
        <w:spacing w:lineRule="auto" w:line="240"/>
        <w:jc w:val="center"/>
        <w:rPr/>
      </w:pPr>
      <w:r>
        <w:rPr/>
      </w:r>
    </w:p>
    <w:p>
      <w:pPr>
        <w:pStyle w:val="Normal"/>
        <w:spacing w:lineRule="auto" w:line="240"/>
        <w:jc w:val="center"/>
        <w:rPr/>
      </w:pPr>
      <w:r>
        <w:rPr/>
      </w:r>
    </w:p>
    <w:p>
      <w:pPr>
        <w:pStyle w:val="Normal"/>
        <w:spacing w:lineRule="atLeast" w:line="240" w:before="0" w:after="0"/>
        <w:jc w:val="both"/>
        <w:rPr>
          <w:b/>
        </w:rPr>
      </w:pPr>
      <w:r>
        <w:rPr>
          <w:b/>
        </w:rPr>
        <w:t xml:space="preserve">1. Общие сведения о проекте </w:t>
      </w:r>
    </w:p>
    <w:p>
      <w:pPr>
        <w:pStyle w:val="Normal"/>
        <w:spacing w:lineRule="atLeast" w:line="240"/>
        <w:jc w:val="both"/>
        <w:rPr/>
      </w:pPr>
      <w:r>
        <w:rPr>
          <w:b/>
        </w:rPr>
        <w:t xml:space="preserve">1.1. Шифр темы - </w:t>
      </w:r>
      <w:r>
        <w:rPr/>
        <w:t>02-2-1081-2009</w:t>
      </w:r>
    </w:p>
    <w:p>
      <w:pPr>
        <w:pStyle w:val="Normal"/>
        <w:spacing w:lineRule="atLeast" w:line="240"/>
        <w:jc w:val="both"/>
        <w:rPr>
          <w:b/>
        </w:rPr>
      </w:pPr>
      <w:r>
        <w:rPr>
          <w:b/>
        </w:rPr>
        <w:t xml:space="preserve">1.2. Шифр проекта </w:t>
      </w:r>
      <w:r>
        <w:rPr/>
        <w:t>- 02-2-1081-1-2010/2025, 02-1-1081-2-2013/2025</w:t>
      </w:r>
    </w:p>
    <w:p>
      <w:pPr>
        <w:pStyle w:val="Normal"/>
        <w:spacing w:lineRule="atLeast" w:line="240"/>
        <w:jc w:val="both"/>
        <w:rPr/>
      </w:pPr>
      <w:r>
        <w:rPr>
          <w:b/>
        </w:rPr>
        <w:t>1.3. Лаборатория</w:t>
      </w:r>
      <w:r>
        <w:rPr/>
        <w:t xml:space="preserve"> – ЛЯП, ЛФВЭ, ЛИТ, ЛНФ, ЛТФ</w:t>
      </w:r>
    </w:p>
    <w:p>
      <w:pPr>
        <w:pStyle w:val="Normal"/>
        <w:spacing w:lineRule="atLeast" w:line="240"/>
        <w:jc w:val="both"/>
        <w:rPr>
          <w:b/>
        </w:rPr>
      </w:pPr>
      <w:r>
        <w:rPr>
          <w:b/>
        </w:rPr>
        <w:t xml:space="preserve">1.4. Научное направление - </w:t>
      </w:r>
      <w:r>
        <w:rPr>
          <w:bCs/>
        </w:rPr>
        <w:t>Физика элементарных частиц и физика тяжелых ионов высоких энергий</w:t>
      </w:r>
    </w:p>
    <w:p>
      <w:pPr>
        <w:pStyle w:val="Normal"/>
        <w:spacing w:lineRule="atLeast" w:line="240"/>
        <w:jc w:val="both"/>
        <w:rPr>
          <w:bCs/>
        </w:rPr>
      </w:pPr>
      <w:r>
        <w:rPr>
          <w:b/>
        </w:rPr>
        <w:t xml:space="preserve">1.5. Наименование проекта - </w:t>
      </w:r>
      <w:r>
        <w:rPr>
          <w:bCs/>
        </w:rPr>
        <w:t>ATLAS. Модернизация установки и физические исследования на LHC</w:t>
      </w:r>
    </w:p>
    <w:p>
      <w:pPr>
        <w:pStyle w:val="Normal"/>
        <w:spacing w:lineRule="atLeast" w:line="240"/>
        <w:jc w:val="both"/>
        <w:rPr>
          <w:b/>
        </w:rPr>
      </w:pPr>
      <w:r>
        <w:rPr>
          <w:b/>
        </w:rPr>
        <w:t xml:space="preserve">1.6. Руководитель(и) проекта - </w:t>
      </w:r>
      <w:r>
        <w:rPr>
          <w:bCs/>
        </w:rPr>
        <w:t>Бедняков В.А.</w:t>
      </w:r>
    </w:p>
    <w:p>
      <w:pPr>
        <w:pStyle w:val="Normal"/>
        <w:spacing w:lineRule="auto" w:line="240" w:before="0" w:after="0"/>
        <w:ind w:hanging="425" w:left="425"/>
        <w:jc w:val="both"/>
        <w:rPr/>
      </w:pPr>
      <w:r>
        <w:rPr>
          <w:b/>
        </w:rPr>
        <w:t>1.7.</w:t>
      </w:r>
      <w:r>
        <w:rPr>
          <w:b/>
          <w:lang w:val="en-US"/>
        </w:rPr>
        <w:t> </w:t>
      </w:r>
      <w:r>
        <w:rPr>
          <w:b/>
        </w:rPr>
        <w:t xml:space="preserve">Заместитель(и) руководителя проекта – </w:t>
      </w:r>
      <w:r>
        <w:rPr/>
        <w:t xml:space="preserve">Елецких И.В., </w:t>
      </w:r>
      <w:r>
        <w:rPr>
          <w:bCs/>
        </w:rPr>
        <w:t>Чеплаков А.П.</w:t>
      </w:r>
    </w:p>
    <w:p>
      <w:pPr>
        <w:pStyle w:val="Normal"/>
        <w:spacing w:lineRule="atLeast" w:line="240" w:before="0" w:after="0"/>
        <w:jc w:val="both"/>
        <w:rPr>
          <w:b/>
          <w:sz w:val="16"/>
          <w:szCs w:val="16"/>
        </w:rPr>
      </w:pPr>
      <w:r>
        <w:rPr>
          <w:b/>
          <w:sz w:val="16"/>
          <w:szCs w:val="16"/>
        </w:rPr>
      </w:r>
    </w:p>
    <w:p>
      <w:pPr>
        <w:pStyle w:val="Normal"/>
        <w:spacing w:lineRule="atLeast" w:line="240" w:before="0" w:after="0"/>
        <w:ind w:hanging="426" w:left="426"/>
        <w:jc w:val="both"/>
        <w:rPr>
          <w:b/>
          <w:sz w:val="16"/>
          <w:szCs w:val="16"/>
        </w:rPr>
      </w:pPr>
      <w:r>
        <w:rPr>
          <w:b/>
          <w:sz w:val="16"/>
          <w:szCs w:val="16"/>
        </w:rPr>
      </w:r>
    </w:p>
    <w:p>
      <w:pPr>
        <w:pStyle w:val="Normal"/>
        <w:spacing w:lineRule="atLeast" w:line="240" w:before="0" w:after="0"/>
        <w:jc w:val="both"/>
        <w:rPr>
          <w:b/>
          <w:bCs/>
        </w:rPr>
      </w:pPr>
      <w:r>
        <w:rPr>
          <w:b/>
          <w:bCs/>
        </w:rPr>
        <w:t>2. Научное обоснование и организационная структура</w:t>
      </w:r>
    </w:p>
    <w:p>
      <w:pPr>
        <w:pStyle w:val="Normal"/>
        <w:spacing w:lineRule="atLeast" w:line="240" w:before="0" w:after="0"/>
        <w:jc w:val="both"/>
        <w:rPr>
          <w:b/>
        </w:rPr>
      </w:pPr>
      <w:r>
        <w:rPr>
          <w:b/>
        </w:rPr>
        <w:t>2.1. Аннотация</w:t>
      </w:r>
    </w:p>
    <w:p>
      <w:pPr>
        <w:pStyle w:val="Normal"/>
        <w:spacing w:lineRule="atLeast" w:line="240" w:before="0" w:after="0"/>
        <w:jc w:val="both"/>
        <w:rPr/>
      </w:pPr>
      <w:r>
        <w:rPr/>
        <w:tab/>
        <w:t>Основная цель эксперимента ATLAS -- изучение протон-протонных столкновений при беспрецедентно высоких энергиях (7-14</w:t>
      </w:r>
      <w:r>
        <w:rPr>
          <w:lang w:val="en-US"/>
        </w:rPr>
        <w:t> </w:t>
      </w:r>
      <w:r>
        <w:rPr/>
        <w:t>ТэВ в с.ц.м.) на Большом адронном коллайдере. Физическая программа эксперимента включает в себя прецизионные измерения параметров Стандартной модели (СМ), а также исследования границ её применимости и призвана найти ответы на фундаментальные вопросы современной физики такие, как структура нуклонов, свойства топ-кварков, существование частиц темной материи, проявления квантово-гравитационных эффектов и дополнительных пространственных измерений, наблюдения новых свойств известных фундаментальных взаимодействий.</w:t>
      </w:r>
    </w:p>
    <w:p>
      <w:pPr>
        <w:pStyle w:val="Normal"/>
        <w:spacing w:lineRule="atLeast" w:line="240" w:before="0" w:after="0"/>
        <w:jc w:val="both"/>
        <w:rPr/>
      </w:pPr>
      <w:r>
        <w:rPr/>
        <w:tab/>
        <w:t xml:space="preserve">Сотрудники ОИЯИ, как и ранее, планируют получить и опубликовать новые результаты в рамках каждого из основных направлений физической программы эксперимента ATLAS. Новые данные, которые будут набраны в столкновениях протонных пучков </w:t>
      </w:r>
      <w:r>
        <w:rPr>
          <w:b/>
          <w:bCs/>
        </w:rPr>
        <w:t>высокой светимости</w:t>
      </w:r>
      <w:r>
        <w:rPr/>
        <w:t xml:space="preserve">, позволят провести прецизионные наблюдения и измерения ряда редких физических явлений, получить информацию для более точного моделирования исследуемых процессов, расширить границы чувствительности к проявлениям новой физики за рамками СМ. Планируются исследования свойств тяжелых адронов, таких как нарушение CP-инвариантности в распадах </w:t>
      </w:r>
      <w:r>
        <w:rPr>
          <w:i/>
          <w:iCs/>
        </w:rPr>
        <w:t>B</w:t>
      </w:r>
      <w:r>
        <w:rPr/>
        <w:t xml:space="preserve">-мезонов, поиски новых состояний в распадных спектрах, измерения параметров экзотических пентакварковых и тетракварковых состояний, исследования физики топ-кварков и структуры протона и моделирование рождения очарованных и прелестных частиц. В рамках изучения физики бозона Хиггса будут продолжены работы над исследованием его рождения в ассоциации с топ-кварками и векторными бозонами, осуществлены новые измерения констант связи бозона Хиггса с частицами Стандартной модели. Планируется продолжение поиска рождения квантовых черных дыр в протон-протонных столкновениях в ТэВ-ной области энергий. </w:t>
      </w:r>
    </w:p>
    <w:p>
      <w:pPr>
        <w:pStyle w:val="Normal"/>
        <w:spacing w:lineRule="atLeast" w:line="240" w:before="0" w:after="0"/>
        <w:jc w:val="both"/>
        <w:rPr/>
      </w:pPr>
      <w:r>
        <w:rPr/>
        <w:tab/>
        <w:t>Будет продолжено активное участие в разработке и поддержке программного обеспечения (ПО) эксперимента. Эти работы, в частности, включают создание и поддержку баз данных эксперимента, разработку и поддержку ПО триггера детектора, работы по улучшению качества реконструкции и моделирования событий во всех подсистемах детектора и т.д.</w:t>
      </w:r>
    </w:p>
    <w:p>
      <w:pPr>
        <w:pStyle w:val="Normal"/>
        <w:spacing w:lineRule="atLeast" w:line="240" w:before="0" w:after="0"/>
        <w:ind w:firstLine="426"/>
        <w:jc w:val="both"/>
        <w:rPr>
          <w:bCs/>
        </w:rPr>
      </w:pPr>
      <w:r>
        <w:rPr>
          <w:bCs/>
        </w:rPr>
        <w:t xml:space="preserve">Реализация физической программы High-Luminosity LHC (HL-LHC) будет иметь решающее значение для углубления нашего понимания фундаментальной физики. Ожидается, что выполненные на HL-LHC прецизионные и уникальные измерения многих параметров СМ останутся актуальными в течение десятилетий. Эти данные послужат своеобразными целеуказаниями (road map) для физической программы исследований на коллайдерах будущего. Без них невозможно будет правильное понимание </w:t>
      </w:r>
      <w:r>
        <w:rPr>
          <w:bCs/>
        </w:rPr>
        <w:t>экспериментальных</w:t>
      </w:r>
      <w:r>
        <w:rPr>
          <w:bCs/>
        </w:rPr>
        <w:t xml:space="preserve"> данных этих новых коллайдеров. </w:t>
      </w:r>
    </w:p>
    <w:p>
      <w:pPr>
        <w:pStyle w:val="Normal"/>
        <w:spacing w:lineRule="atLeast" w:line="240" w:before="0" w:after="0"/>
        <w:ind w:firstLine="426"/>
        <w:jc w:val="both"/>
        <w:rPr>
          <w:bCs/>
        </w:rPr>
      </w:pPr>
      <w:r>
        <w:rPr>
          <w:bCs/>
        </w:rPr>
        <w:t xml:space="preserve">Условия HL-LHC требуют беспрецедентных технологий детекторов с точки зрения радиационной стойкости, высокой и точной синхронизации треков и мощных триггеров. Чтобы справиться с этими задачами, коллаборация ATLAS реализует амбициозную программу модернизации. Группа ОИЯИ активно участвует в модернизации нескольких подсистем детектора ATLAS, внося значительный вклад в модернизацию мюонного спектрометра, жидкоаргонового калориметра и создание нового высокогранулярного временнóго детектора (HGTD). </w:t>
      </w:r>
    </w:p>
    <w:p>
      <w:pPr>
        <w:pStyle w:val="Normal"/>
        <w:spacing w:lineRule="atLeast" w:line="240" w:before="0" w:after="0"/>
        <w:jc w:val="both"/>
        <w:rPr>
          <w:bCs/>
        </w:rPr>
      </w:pPr>
      <w:r>
        <w:rPr>
          <w:bCs/>
        </w:rPr>
      </w:r>
    </w:p>
    <w:p>
      <w:pPr>
        <w:pStyle w:val="Normal"/>
        <w:spacing w:lineRule="atLeast" w:line="240" w:before="0" w:after="0"/>
        <w:jc w:val="both"/>
        <w:rPr>
          <w:b/>
        </w:rPr>
      </w:pPr>
      <w:r>
        <w:rPr>
          <w:b/>
        </w:rPr>
      </w:r>
    </w:p>
    <w:p>
      <w:pPr>
        <w:pStyle w:val="Normal"/>
        <w:spacing w:lineRule="atLeast" w:line="240" w:before="0" w:after="0"/>
        <w:ind w:hanging="426" w:left="426"/>
        <w:jc w:val="both"/>
        <w:rPr>
          <w:b/>
        </w:rPr>
      </w:pPr>
      <w:r>
        <w:rPr>
          <w:b/>
        </w:rPr>
        <w:t>2.2.</w:t>
      </w:r>
      <w:r>
        <w:rPr>
          <w:b/>
          <w:lang w:val="en-US"/>
        </w:rPr>
        <w:t> </w:t>
      </w:r>
      <w:r>
        <w:rPr>
          <w:b/>
        </w:rPr>
        <w:t>Научное обоснование</w:t>
      </w:r>
    </w:p>
    <w:p>
      <w:pPr>
        <w:pStyle w:val="Normal"/>
        <w:spacing w:lineRule="atLeast" w:line="240" w:before="0" w:after="0"/>
        <w:ind w:hanging="426" w:left="426"/>
        <w:jc w:val="both"/>
        <w:rPr>
          <w:b/>
        </w:rPr>
      </w:pPr>
      <w:r>
        <w:rPr>
          <w:b/>
        </w:rPr>
      </w:r>
    </w:p>
    <w:p>
      <w:pPr>
        <w:pStyle w:val="Normal"/>
        <w:spacing w:lineRule="atLeast" w:line="240" w:before="0" w:after="0"/>
        <w:ind w:hanging="426" w:left="426"/>
        <w:jc w:val="center"/>
        <w:rPr>
          <w:b/>
        </w:rPr>
      </w:pPr>
      <w:r>
        <w:rPr>
          <w:b/>
        </w:rPr>
        <w:t xml:space="preserve">Участие ОИЯИ в реализации физической программы эксперимента </w:t>
      </w:r>
      <w:r>
        <w:rPr>
          <w:b/>
          <w:lang w:val="en-US"/>
        </w:rPr>
        <w:t>ATLAS</w:t>
      </w:r>
    </w:p>
    <w:p>
      <w:pPr>
        <w:pStyle w:val="Normal"/>
        <w:spacing w:lineRule="atLeast" w:line="240" w:before="0" w:after="0"/>
        <w:ind w:hanging="426" w:left="426"/>
        <w:jc w:val="center"/>
        <w:rPr/>
      </w:pPr>
      <w:r>
        <w:rPr/>
      </w:r>
    </w:p>
    <w:p>
      <w:pPr>
        <w:pStyle w:val="Normal"/>
        <w:spacing w:lineRule="atLeast" w:line="240" w:before="0" w:after="0"/>
        <w:jc w:val="both"/>
        <w:rPr/>
      </w:pPr>
      <w:r>
        <w:rPr/>
        <w:tab/>
        <w:t xml:space="preserve">Международная коллаборация ATLAS была основана более 30 лет назад с целью постройки и запуска многоцелевой экспериментальной установки нового поколения, предназначенной для исследований фундаментальных свойств материи в протон-протонных столкновениях с энергией до 14 ТэВ на Большом адронном коллайдере. На данный момент коллаборация включает 2632 авторов и всего около 6000 участников из 187-ми институтов в 42-х странах. С момента создания коллаборации было спроектировано, изготовлено и испытано сложнейшее экспериментальное оборудование, достигнута высочайшая точность моделирования установки и происходящих в ней процессов. Это позволило в 2012 году совершить открытие новой частицы Стандартной модели — бозона Хиггса и измерить ряд его свойств. В 2025 году участники эксперимента </w:t>
      </w:r>
      <w:r>
        <w:rPr>
          <w:lang w:val="en-US"/>
        </w:rPr>
        <w:t>ALICE</w:t>
      </w:r>
      <w:r>
        <w:rPr/>
        <w:t xml:space="preserve">, </w:t>
      </w:r>
      <w:r>
        <w:rPr>
          <w:lang w:val="en-US"/>
        </w:rPr>
        <w:t>ATLAS</w:t>
      </w:r>
      <w:r>
        <w:rPr/>
        <w:t xml:space="preserve">, </w:t>
      </w:r>
      <w:r>
        <w:rPr>
          <w:lang w:val="en-US"/>
        </w:rPr>
        <w:t>CMS</w:t>
      </w:r>
      <w:r>
        <w:rPr/>
        <w:t xml:space="preserve"> и </w:t>
      </w:r>
      <w:r>
        <w:rPr>
          <w:lang w:val="en-US"/>
        </w:rPr>
        <w:t>LHCb</w:t>
      </w:r>
      <w:r>
        <w:rPr/>
        <w:t xml:space="preserve"> были удостоены премии в области фундаментальной физики от Фонда премии Breakthrough Priz</w:t>
      </w:r>
      <w:r>
        <w:rPr>
          <w:lang w:val="en-US"/>
        </w:rPr>
        <w:t>e</w:t>
      </w:r>
      <w:r>
        <w:rPr/>
        <w:t xml:space="preserve"> за «подробные измерения свойств бозона Хиггса, подтверждающие механизм нарушения симметрии генерации массы, открытие новых сильно взаимодействующих частиц, изучение редких процессов и асимметрии материя-антиматерия, а также исследование природы на самых коротких расстояниях и в самых экстремальных условиях на Большом адронном коллайдере ЦЕРН».</w:t>
      </w:r>
    </w:p>
    <w:p>
      <w:pPr>
        <w:pStyle w:val="Normal"/>
        <w:spacing w:lineRule="atLeast" w:line="240" w:before="0" w:after="0"/>
        <w:jc w:val="both"/>
        <w:rPr/>
      </w:pPr>
      <w:r>
        <w:rPr/>
        <w:tab/>
        <w:t>В ОИЯИ выполнен ряд работ и исследований, внесших определяющий вклад в полученные коллаборацией результаты. Этот перечень включает:</w:t>
      </w:r>
    </w:p>
    <w:p>
      <w:pPr>
        <w:pStyle w:val="Normal"/>
        <w:spacing w:lineRule="atLeast" w:line="240" w:before="0" w:after="0"/>
        <w:jc w:val="both"/>
        <w:rPr/>
      </w:pPr>
      <w:r>
        <w:rPr/>
        <w:t>1. Изготовление, монтаж и настройку элементов всех основных подсистем детектора, в том числе в ходе модернизации установки:</w:t>
      </w:r>
    </w:p>
    <w:p>
      <w:pPr>
        <w:pStyle w:val="Normal"/>
        <w:spacing w:lineRule="atLeast" w:line="240" w:before="0" w:after="0"/>
        <w:jc w:val="both"/>
        <w:rPr/>
      </w:pPr>
      <w:r>
        <w:rPr/>
        <w:tab/>
        <w:t>а. Элементов мюонного спектрометра;</w:t>
      </w:r>
    </w:p>
    <w:p>
      <w:pPr>
        <w:pStyle w:val="Normal"/>
        <w:spacing w:lineRule="atLeast" w:line="240" w:before="0" w:after="0"/>
        <w:jc w:val="both"/>
        <w:rPr/>
      </w:pPr>
      <w:r>
        <w:rPr/>
        <w:tab/>
        <w:t>б. Элементов жидко-аргонного калориметра и элементов центральной части сцинтилляционного калориметра;</w:t>
      </w:r>
    </w:p>
    <w:p>
      <w:pPr>
        <w:pStyle w:val="Normal"/>
        <w:spacing w:lineRule="atLeast" w:line="240" w:before="0" w:after="0"/>
        <w:jc w:val="both"/>
        <w:rPr/>
      </w:pPr>
      <w:r>
        <w:rPr/>
        <w:tab/>
        <w:t>в. Калибровка калориметров ATLAS и их подготовка к набору данных;</w:t>
      </w:r>
    </w:p>
    <w:p>
      <w:pPr>
        <w:pStyle w:val="Normal"/>
        <w:spacing w:lineRule="atLeast" w:line="240" w:before="0" w:after="0"/>
        <w:jc w:val="both"/>
        <w:rPr/>
      </w:pPr>
      <w:r>
        <w:rPr/>
        <w:tab/>
        <w:t>г. Участие в разработке системы контроля набора данных в рамках системы триггера ATLAS;</w:t>
      </w:r>
    </w:p>
    <w:p>
      <w:pPr>
        <w:pStyle w:val="Normal"/>
        <w:spacing w:lineRule="atLeast" w:line="240" w:before="0" w:after="0"/>
        <w:jc w:val="both"/>
        <w:rPr/>
      </w:pPr>
      <w:r>
        <w:rPr/>
        <w:tab/>
        <w:t xml:space="preserve">д. Участие в разработке и изготовлении синхронизирующего детектора высокого </w:t>
        <w:tab/>
        <w:t>разрешения (</w:t>
      </w:r>
      <w:r>
        <w:rPr>
          <w:lang w:val="en-US"/>
        </w:rPr>
        <w:t>HGTD</w:t>
      </w:r>
      <w:r>
        <w:rPr/>
        <w:t>);</w:t>
      </w:r>
    </w:p>
    <w:p>
      <w:pPr>
        <w:pStyle w:val="Normal"/>
        <w:spacing w:lineRule="atLeast" w:line="240" w:before="0" w:after="0"/>
        <w:jc w:val="both"/>
        <w:rPr/>
      </w:pPr>
      <w:r>
        <w:rPr/>
        <w:t>2. Разработка и поддержка ряда важных составляющих программного обеспечения эксперимента:</w:t>
      </w:r>
    </w:p>
    <w:p>
      <w:pPr>
        <w:pStyle w:val="Normal"/>
        <w:spacing w:lineRule="atLeast" w:line="240" w:before="0" w:after="0"/>
        <w:ind w:left="705"/>
        <w:jc w:val="both"/>
        <w:rPr/>
      </w:pPr>
      <w:r>
        <w:rPr/>
        <w:t xml:space="preserve">а. Создание системы распределенных вычислений (ГРИД) в ОИЯИ и поддержка баз данных состояния детектора, баз данных событий и их мониторинга; </w:t>
      </w:r>
    </w:p>
    <w:p>
      <w:pPr>
        <w:pStyle w:val="Normal"/>
        <w:spacing w:lineRule="atLeast" w:line="240" w:before="0" w:after="0"/>
        <w:jc w:val="both"/>
        <w:rPr/>
      </w:pPr>
      <w:r>
        <w:rPr/>
        <w:tab/>
        <w:t>в. Разработка ПО триггерной системы детектора;</w:t>
      </w:r>
    </w:p>
    <w:p>
      <w:pPr>
        <w:pStyle w:val="Normal"/>
        <w:spacing w:lineRule="atLeast" w:line="240" w:before="0" w:after="0"/>
        <w:ind w:left="708"/>
        <w:jc w:val="both"/>
        <w:rPr/>
      </w:pPr>
      <w:r>
        <w:rPr/>
        <w:t>г. Разработка и поддержка ПО реконструкции и моделирования событий в различных подсистемах детектора, в т.ч. конфигурации алгоритмов реконструкции, быстрой симуляции отклика калориметра, настройка систем калориметра с использованием данных тестовых пучков, и т.д.;</w:t>
      </w:r>
    </w:p>
    <w:p>
      <w:pPr>
        <w:pStyle w:val="Normal"/>
        <w:spacing w:lineRule="atLeast" w:line="240" w:before="0" w:after="0"/>
        <w:jc w:val="both"/>
        <w:rPr/>
      </w:pPr>
      <w:r>
        <w:rPr/>
        <w:t>3. Исследования в рамках физической программы эксперимента и их реализация в течение всех периодов набора данных (2009-2025):</w:t>
      </w:r>
    </w:p>
    <w:p>
      <w:pPr>
        <w:pStyle w:val="Normal"/>
        <w:spacing w:lineRule="atLeast" w:line="240" w:before="0" w:after="0"/>
        <w:ind w:left="708"/>
        <w:jc w:val="both"/>
        <w:rPr/>
      </w:pPr>
      <w:r>
        <w:rPr/>
        <w:t xml:space="preserve">а. Исследования физики бозона Хиггса, включая измерения сечений рождения бозона Хиггса в каналах рождения с калибровочными бозонами (Ф.Ахмадов); изучение рождения бозона Хиггса в процессе слияния глюонов и векторных бозонов (Е. Рамакоти), </w:t>
      </w:r>
      <w:r>
        <w:rPr/>
        <w:t>исследование Юкавского взаимодействия топ-кварков путем измерения ассоциативного рождения бозонов Хиггса с топ-кварками (И.Бойко, Н.Гусейнов, И.Елецких, А.Диденко, О.Доловова, А.Тропина)</w:t>
      </w:r>
      <w:r>
        <w:rPr/>
        <w:t xml:space="preserve">; </w:t>
      </w:r>
    </w:p>
    <w:p>
      <w:pPr>
        <w:pStyle w:val="Normal"/>
        <w:spacing w:lineRule="atLeast" w:line="240" w:before="0" w:after="0"/>
        <w:ind w:left="708"/>
        <w:jc w:val="both"/>
        <w:rPr/>
      </w:pPr>
      <w:r>
        <w:rPr/>
        <w:t xml:space="preserve">б. Разработка теоретических моделей тяжелых калибровочных бозонов с массами порядка нескольких ТэВ и поиск их сигналов в конечных состояниях с парой лептонов (М.Чижов, В.Бедняков, И.Елецких); участие в поиске тяжелых бозонов, распадающихся на </w:t>
      </w:r>
      <w:r>
        <w:rPr>
          <w:lang w:val="en-US"/>
        </w:rPr>
        <w:t>W</w:t>
      </w:r>
      <w:r>
        <w:rPr/>
        <w:t>/</w:t>
      </w:r>
      <w:r>
        <w:rPr>
          <w:lang w:val="en-US"/>
        </w:rPr>
        <w:t>Z</w:t>
      </w:r>
      <w:r>
        <w:rPr/>
        <w:t>/</w:t>
      </w:r>
      <w:r>
        <w:rPr>
          <w:lang w:val="en-US"/>
        </w:rPr>
        <w:t>H</w:t>
      </w:r>
      <w:r>
        <w:rPr/>
        <w:t>-бозон и гамма-квант (Е. Храмов); участие в поисках наблюдаемых проявлений суперсимметрии (В.Бедняков, Д.И.Казаков, А.В.Гладышев, Ю.А.Будагов, Д.И.Хубуа, Е.Храмов, С.Карпов, А.Солошенко); поиски квантовых черных дыр в протон-протонных столкновениях (С.Карпов, З.Карпова);</w:t>
      </w:r>
    </w:p>
    <w:p>
      <w:pPr>
        <w:pStyle w:val="Normal"/>
        <w:spacing w:lineRule="atLeast" w:line="240" w:before="0" w:after="0"/>
        <w:ind w:left="708"/>
        <w:jc w:val="both"/>
        <w:rPr/>
      </w:pPr>
      <w:r>
        <w:rPr/>
        <w:t>в. Исследования структуры протона, в том числе вклада внутреннего очарования и вклада поперечно поляризованных глюонов (Г.Лыкасов, В.Бедняков, А.Липатов);</w:t>
      </w:r>
    </w:p>
    <w:p>
      <w:pPr>
        <w:pStyle w:val="Normal"/>
        <w:spacing w:lineRule="atLeast" w:line="240" w:before="0" w:after="0"/>
        <w:ind w:left="708"/>
        <w:jc w:val="both"/>
        <w:rPr/>
      </w:pPr>
      <w:r>
        <w:rPr/>
        <w:t xml:space="preserve">г. Изучение свойств и спектров прелестных адронов и легких состояний, включая поиски и измерение свойств пентакварковых и тетракварковых состояний (Л.Гладилин, A.Васюков, </w:t>
      </w:r>
      <w:r>
        <w:rPr/>
        <w:t>И.Елецких</w:t>
      </w:r>
      <w:r>
        <w:rPr/>
        <w:t>), изучение парного резонансного рождения чармониев (</w:t>
      </w:r>
      <w:r>
        <w:rPr/>
        <w:t>И.</w:t>
      </w:r>
      <w:r>
        <w:rPr/>
        <w:t xml:space="preserve">Елецких, </w:t>
      </w:r>
      <w:r>
        <w:rPr/>
        <w:t>А.</w:t>
      </w:r>
      <w:r>
        <w:rPr/>
        <w:t xml:space="preserve">Диденко </w:t>
      </w:r>
      <w:r>
        <w:rPr/>
        <w:t>Л.Гладилин</w:t>
      </w:r>
      <w:r>
        <w:rPr/>
        <w:t xml:space="preserve">), изучение распадов </w:t>
      </w:r>
      <w:r>
        <w:rPr>
          <w:i/>
          <w:iCs/>
          <w:lang w:val="en-US"/>
        </w:rPr>
        <w:t>B</w:t>
      </w:r>
      <w:r>
        <w:rPr>
          <w:i/>
          <w:iCs/>
          <w:vertAlign w:val="subscript"/>
          <w:lang w:val="en-US"/>
        </w:rPr>
        <w:t>c</w:t>
      </w:r>
      <w:r>
        <w:rPr/>
        <w:t xml:space="preserve">-мезонов (Л.Гладилин, </w:t>
      </w:r>
      <w:r>
        <w:rPr/>
        <w:t>Т.Любушкина</w:t>
      </w:r>
      <w:r>
        <w:rPr/>
        <w:t>), измерения дифференциальных сечений рождения прелестных и очарованных адронов (Л.Гладилин);</w:t>
      </w:r>
    </w:p>
    <w:p>
      <w:pPr>
        <w:pStyle w:val="Normal"/>
        <w:spacing w:lineRule="atLeast" w:line="240" w:before="0" w:after="0"/>
        <w:ind w:left="708"/>
        <w:jc w:val="both"/>
        <w:rPr/>
      </w:pPr>
      <w:r>
        <w:rPr/>
        <w:t xml:space="preserve">д. Измерение ассоциативного рождения пар векторных бозонов с системой двух струй большой инвариантной массы (Е.Солдатов); измерение ассоциативного рождения </w:t>
      </w:r>
      <w:r>
        <w:rPr>
          <w:lang w:val="en-US"/>
        </w:rPr>
        <w:t>Z</w:t>
      </w:r>
      <w:r>
        <w:rPr/>
        <w:t>-бозонов и тяжелых адронных струй (С.Турчихин);</w:t>
      </w:r>
    </w:p>
    <w:p>
      <w:pPr>
        <w:pStyle w:val="Normal"/>
        <w:spacing w:lineRule="atLeast" w:line="240" w:before="0" w:after="0"/>
        <w:ind w:left="708"/>
        <w:jc w:val="both"/>
        <w:rPr/>
      </w:pPr>
      <w:r>
        <w:rPr/>
        <w:t xml:space="preserve">е. Измерение бозэ-эйнштеновских корреляций в событиях с большой множественностью треков (Ю.Кульчицкий, </w:t>
      </w:r>
      <w:r>
        <w:rPr/>
        <w:t>П.Терешко, Е.Плотникова</w:t>
      </w:r>
      <w:r>
        <w:rPr/>
        <w:t>);</w:t>
      </w:r>
    </w:p>
    <w:p>
      <w:pPr>
        <w:pStyle w:val="Normal"/>
        <w:spacing w:lineRule="atLeast" w:line="240" w:before="0" w:after="0"/>
        <w:ind w:left="708"/>
        <w:jc w:val="both"/>
        <w:rPr/>
      </w:pPr>
      <w:r>
        <w:rPr/>
        <w:t>ж. Участие в контроле качества данных, измерение качества реконструкции различных типов объектов в детекторе (мюонов, электронов, фотонов, адронных струй) (С.Турчихин, Е.Солдатов);</w:t>
      </w:r>
    </w:p>
    <w:p>
      <w:pPr>
        <w:pStyle w:val="Normal"/>
        <w:spacing w:lineRule="atLeast" w:line="240" w:before="0" w:after="0"/>
        <w:ind w:left="708"/>
        <w:jc w:val="both"/>
        <w:rPr/>
      </w:pPr>
      <w:r>
        <w:rPr/>
        <w:t>з. Разработка Монте-Карло генераторов (</w:t>
      </w:r>
      <w:r>
        <w:rPr>
          <w:lang w:val="en-US"/>
        </w:rPr>
        <w:t>SANC</w:t>
      </w:r>
      <w:r>
        <w:rPr/>
        <w:t xml:space="preserve">, </w:t>
      </w:r>
      <w:r>
        <w:rPr>
          <w:lang w:val="en-US"/>
        </w:rPr>
        <w:t>ReneSANCe</w:t>
      </w:r>
      <w:r>
        <w:rPr/>
        <w:t xml:space="preserve">), теоретическое описание экспериментально наблюдаемых процессов (Л.Калиновская, </w:t>
      </w:r>
      <w:r>
        <w:rPr/>
        <w:t>Е.Дыдышко, В.Ермольчик, С.Бондаренко</w:t>
      </w:r>
      <w:r>
        <w:rPr/>
        <w:t>).</w:t>
      </w:r>
    </w:p>
    <w:p>
      <w:pPr>
        <w:pStyle w:val="Normal"/>
        <w:spacing w:lineRule="atLeast" w:line="240" w:before="0" w:after="0"/>
        <w:ind w:left="708"/>
        <w:jc w:val="both"/>
        <w:rPr/>
      </w:pPr>
      <w:r>
        <w:rPr/>
      </w:r>
    </w:p>
    <w:p>
      <w:pPr>
        <w:pStyle w:val="Normal"/>
        <w:spacing w:lineRule="atLeast" w:line="240" w:before="0" w:after="0"/>
        <w:jc w:val="both"/>
        <w:rPr/>
      </w:pPr>
      <w:r>
        <w:rPr/>
        <w:tab/>
        <w:t>Мотивация продолжения работ и исследований в рамках коллаборации ATLAS основывается на  ключевых положениях долговременного плана развития ОИЯИ (дорожная карта ОИЯИ). В частности, этот план включает основные направления современного развития физики частиц и наиболее актуальные на данный момент проблемы этого направления. Несмотря на способность Стандартной модели с высокой точностью описывать наблюдаемые экспериментально явления вплоть до ТэВ-ных областей энергии, очевидно, что она не является замкнутой теорией, а представляет из себя лишь низкоэнергетическое приближение более общей теории, включающей гравитационное взаимодействие и предоставляющей описание физических явлений вплоть до планковских масс. Наиболее актуальные вопросы, ответы на которые не дает Стандартная модель, должны быть адресованы физическим исследованиям ближайшего будущего:</w:t>
      </w:r>
    </w:p>
    <w:p>
      <w:pPr>
        <w:pStyle w:val="Normal"/>
        <w:spacing w:lineRule="atLeast" w:line="240" w:before="0" w:after="0"/>
        <w:jc w:val="both"/>
        <w:rPr/>
      </w:pPr>
      <w:r>
        <w:rPr/>
        <w:tab/>
        <w:t>1.  Существует ли новые фундаментальные явления в области энергий между масштабом электрослабого объединения (несколько сотен ГэВ) и планковским масштабом, определяющие границы применимости Стандартной модели? Существует ли энергетический масштаб объединения фундаментальных взаимодействий и каков он?</w:t>
      </w:r>
    </w:p>
    <w:p>
      <w:pPr>
        <w:pStyle w:val="Normal"/>
        <w:spacing w:lineRule="atLeast" w:line="240" w:before="0" w:after="0"/>
        <w:jc w:val="both"/>
        <w:rPr/>
      </w:pPr>
      <w:r>
        <w:rPr/>
        <w:tab/>
        <w:t>2.  Какова природа возниконовения масс элементарных частиц, какова их иерархии в Стандартной модели? Являются ли параметры Стандартной модели «тонко настроенными»?</w:t>
      </w:r>
    </w:p>
    <w:p>
      <w:pPr>
        <w:pStyle w:val="Normal"/>
        <w:spacing w:lineRule="atLeast" w:line="240" w:before="0" w:after="0"/>
        <w:jc w:val="both"/>
        <w:rPr/>
      </w:pPr>
      <w:r>
        <w:rPr/>
        <w:tab/>
        <w:t>3.  Какова физическая природа темной материи и темной энергии, и существует ли возможность их исследования на ускорителях частиц?</w:t>
      </w:r>
    </w:p>
    <w:p>
      <w:pPr>
        <w:pStyle w:val="Normal"/>
        <w:spacing w:lineRule="atLeast" w:line="240" w:before="0" w:after="0"/>
        <w:jc w:val="both"/>
        <w:rPr/>
      </w:pPr>
      <w:r>
        <w:rPr/>
        <w:tab/>
        <w:t>4.  Какова природа барионной асимметрии Вселенной?</w:t>
      </w:r>
    </w:p>
    <w:p>
      <w:pPr>
        <w:pStyle w:val="Normal"/>
        <w:spacing w:lineRule="atLeast" w:line="240" w:before="0" w:after="0"/>
        <w:jc w:val="both"/>
        <w:rPr/>
      </w:pPr>
      <w:r>
        <w:rPr/>
        <w:tab/>
        <w:t>5.  Существуют ли дополнительные пространственно-временные измерения и связанные с ними взаимодействия и фундаментальные симметрии?</w:t>
      </w:r>
    </w:p>
    <w:p>
      <w:pPr>
        <w:pStyle w:val="Normal"/>
        <w:spacing w:lineRule="atLeast" w:line="240" w:before="0" w:after="0"/>
        <w:jc w:val="both"/>
        <w:rPr/>
      </w:pPr>
      <w:r>
        <w:rPr/>
        <w:tab/>
        <w:t xml:space="preserve">Помимо этого, крайне актуальными остаются задачи по исследованию структуры протонов при энергиях </w:t>
      </w:r>
      <w:r>
        <w:rPr>
          <w:lang w:val="en-US"/>
        </w:rPr>
        <w:t>LHC</w:t>
      </w:r>
      <w:r>
        <w:rPr/>
        <w:t xml:space="preserve">. Эти уникальные энергии позволяют оставлять весьма значимым направление по изучению уже известных частиц Стандартной модели, в особенности таких массивных как топ-кварк и бозон Хиггса. Тщательное исследование этих объектов позволит не только уточнить их важные характеристики, но и приоткрыть путь за рамки Стандартной модели. </w:t>
      </w:r>
    </w:p>
    <w:p>
      <w:pPr>
        <w:pStyle w:val="Normal"/>
        <w:spacing w:lineRule="atLeast" w:line="240" w:before="0" w:after="0"/>
        <w:jc w:val="both"/>
        <w:rPr/>
      </w:pPr>
      <w:r>
        <w:rPr/>
        <w:tab/>
        <w:t>Ответы на эти и ряд связанных с ними вопросов является основной задачей физики элементарных частиц ближайшего будущего. Основные перспективные направления исследований связаны с ускорительной физикой с одной стороны (в том числе с увеличением энергий, а также точностью реконструкции и светимостей ускорителей) и с наблюдательной астрофизикой с другой стороны. Увеличение энергии ускорителей вплоть до сотен ТэВ сделает возможным прямые поиски новой физики на соответствующих масштабах. Увеличение светимости существующих ускорителей и повышение точности реконструируемых процессов делает возможным поиски проявлений новой физики посредством поправок к наблюдаемым явлениям, например, - константам связи и фазам взаимодействий частиц.</w:t>
      </w:r>
    </w:p>
    <w:p>
      <w:pPr>
        <w:pStyle w:val="Normal"/>
        <w:spacing w:lineRule="atLeast" w:line="240" w:before="0" w:after="0"/>
        <w:jc w:val="both"/>
        <w:rPr/>
      </w:pPr>
      <w:r>
        <w:rPr/>
      </w:r>
    </w:p>
    <w:p>
      <w:pPr>
        <w:pStyle w:val="Normal"/>
        <w:spacing w:lineRule="atLeast" w:line="240" w:before="0" w:after="0"/>
        <w:ind w:hanging="426" w:left="426"/>
        <w:jc w:val="both"/>
        <w:rPr>
          <w:u w:val="single"/>
        </w:rPr>
      </w:pPr>
      <w:r>
        <w:rPr>
          <w:u w:val="single"/>
        </w:rPr>
        <w:t>Планы участия ОИЯИ в проведении физических исследованиях в 202</w:t>
      </w:r>
      <w:r>
        <w:rPr>
          <w:u w:val="single"/>
        </w:rPr>
        <w:t>6</w:t>
      </w:r>
      <w:r>
        <w:rPr>
          <w:u w:val="single"/>
        </w:rPr>
        <w:t>-20</w:t>
      </w:r>
      <w:r>
        <w:rPr>
          <w:u w:val="single"/>
        </w:rPr>
        <w:t>30</w:t>
      </w:r>
      <w:r>
        <w:rPr>
          <w:u w:val="single"/>
        </w:rPr>
        <w:t xml:space="preserve"> гг.</w:t>
      </w:r>
    </w:p>
    <w:p>
      <w:pPr>
        <w:pStyle w:val="Normal"/>
        <w:spacing w:lineRule="atLeast" w:line="240" w:before="0" w:after="0"/>
        <w:ind w:hanging="426" w:left="426"/>
        <w:jc w:val="both"/>
        <w:rPr>
          <w:u w:val="single"/>
        </w:rPr>
      </w:pPr>
      <w:r>
        <w:rPr>
          <w:u w:val="single"/>
        </w:rPr>
      </w:r>
    </w:p>
    <w:p>
      <w:pPr>
        <w:pStyle w:val="Normal"/>
        <w:spacing w:lineRule="atLeast" w:line="240" w:before="0" w:after="0"/>
        <w:ind w:firstLine="426"/>
        <w:jc w:val="both"/>
        <w:rPr>
          <w:b/>
          <w:bCs/>
        </w:rPr>
      </w:pPr>
      <w:r>
        <w:rPr/>
        <w:t>В течение ближайших пяти лет основными направлениями деятельности группы ОИЯИ в рамках проекта ATLAS, помимо участия в модернизации самого детектора, будут следующие:</w:t>
      </w:r>
    </w:p>
    <w:p>
      <w:pPr>
        <w:pStyle w:val="Normal"/>
        <w:spacing w:lineRule="atLeast" w:line="240" w:before="0" w:after="0"/>
        <w:ind w:hanging="426" w:left="426"/>
        <w:jc w:val="both"/>
        <w:rPr>
          <w:b/>
          <w:bCs/>
        </w:rPr>
      </w:pPr>
      <w:r>
        <w:rPr/>
        <w:t>1. Участие в работах по эксплуатации и управлению экспериментальной установкой (M&amp;O, Shifts, Common Operation Tasks);</w:t>
      </w:r>
    </w:p>
    <w:p>
      <w:pPr>
        <w:pStyle w:val="Normal"/>
        <w:spacing w:lineRule="atLeast" w:line="240" w:before="0" w:after="0"/>
        <w:ind w:hanging="426" w:left="426"/>
        <w:jc w:val="both"/>
        <w:rPr>
          <w:b/>
          <w:bCs/>
        </w:rPr>
      </w:pPr>
      <w:r>
        <w:rPr/>
        <w:t>2. Физические исследования (подготовка данных, анализ данных, моделирование, теоретическая поддержка);</w:t>
      </w:r>
    </w:p>
    <w:p>
      <w:pPr>
        <w:pStyle w:val="Normal"/>
        <w:spacing w:lineRule="atLeast" w:line="240" w:before="0" w:after="0"/>
        <w:ind w:hanging="426" w:left="426"/>
        <w:jc w:val="both"/>
        <w:rPr>
          <w:b/>
          <w:bCs/>
        </w:rPr>
      </w:pPr>
      <w:r>
        <w:rPr/>
        <w:t>3. Участие в разработке и поддержке программного обеспечения эксперимента.</w:t>
      </w:r>
    </w:p>
    <w:p>
      <w:pPr>
        <w:pStyle w:val="Normal"/>
        <w:spacing w:lineRule="atLeast" w:line="240" w:before="0" w:after="0"/>
        <w:ind w:hanging="426" w:left="426"/>
        <w:jc w:val="both"/>
        <w:rPr>
          <w:i/>
          <w:i/>
          <w:iCs/>
          <w:u w:val="single"/>
        </w:rPr>
      </w:pPr>
      <w:r>
        <w:rPr>
          <w:i/>
          <w:iCs/>
          <w:u w:val="single"/>
        </w:rPr>
      </w:r>
    </w:p>
    <w:p>
      <w:pPr>
        <w:pStyle w:val="Normal"/>
        <w:spacing w:lineRule="atLeast" w:line="240" w:before="0" w:after="0"/>
        <w:ind w:hanging="426" w:left="426"/>
        <w:jc w:val="both"/>
        <w:rPr>
          <w:i/>
          <w:i/>
          <w:iCs/>
          <w:u w:val="single"/>
        </w:rPr>
      </w:pPr>
      <w:r>
        <w:rPr>
          <w:i/>
          <w:iCs/>
          <w:u w:val="single"/>
        </w:rPr>
        <w:t>Участие ОИЯИ в эксплуатации и управлении экспериментом ATLAS</w:t>
      </w:r>
    </w:p>
    <w:p>
      <w:pPr>
        <w:pStyle w:val="Normal"/>
        <w:spacing w:lineRule="atLeast" w:line="240" w:before="0" w:after="0"/>
        <w:ind w:firstLine="426"/>
        <w:jc w:val="both"/>
        <w:rPr/>
      </w:pPr>
      <w:r>
        <w:rPr/>
        <w:t xml:space="preserve">Сотрудники ОИЯИ продолжат участвовать в работах по эксплуатации экспериментальной установки ATLAS. Эти работы включают участие в сменах на диспетчерских пунктах контроля и управления установкой, сменах дежурных специалистов, работах по контролю за качеством данных и т.д. </w:t>
      </w:r>
    </w:p>
    <w:p>
      <w:pPr>
        <w:pStyle w:val="Normal"/>
        <w:spacing w:lineRule="atLeast" w:line="240" w:before="0" w:after="0"/>
        <w:ind w:hanging="426" w:left="426"/>
        <w:jc w:val="both"/>
        <w:rPr/>
      </w:pPr>
      <w:r>
        <w:rPr/>
        <w:t>1. Планируется продолжить участие в управлении работой адронного сцинтилляционного калориметра (И.Минашвили).</w:t>
      </w:r>
    </w:p>
    <w:p>
      <w:pPr>
        <w:pStyle w:val="Normal"/>
        <w:spacing w:lineRule="atLeast" w:line="240" w:before="0" w:after="0"/>
        <w:ind w:hanging="426" w:left="426"/>
        <w:jc w:val="both"/>
        <w:rPr/>
      </w:pPr>
      <w:r>
        <w:rPr/>
        <w:t>2. Планируется продолжить участие группы ОИЯИ в эксплуатационных работах жидко-аргонного калориметра. Обязательства ОИЯИ включают ремонт и введение в строй блоков электроники, мониторирование качества каналов считывания, участие в сменах дежурных экспертов и т.д.</w:t>
      </w:r>
    </w:p>
    <w:p>
      <w:pPr>
        <w:pStyle w:val="Normal"/>
        <w:spacing w:lineRule="atLeast" w:line="240" w:before="0" w:after="0"/>
        <w:ind w:hanging="426" w:left="426"/>
        <w:jc w:val="both"/>
        <w:rPr/>
      </w:pPr>
      <w:r>
        <w:rPr/>
        <w:t>3. В ближайшие годы сотрудники ОИЯИ будут продолжать работы по поддержке распределенных вычислений для эксперимента ATLAS.</w:t>
      </w:r>
    </w:p>
    <w:p>
      <w:pPr>
        <w:pStyle w:val="Normal"/>
        <w:spacing w:lineRule="atLeast" w:line="240" w:before="0" w:after="0"/>
        <w:ind w:hanging="426" w:left="426"/>
        <w:jc w:val="both"/>
        <w:rPr/>
      </w:pPr>
      <w:r>
        <w:rPr/>
        <w:t>4.  ОИЯИ планирует продолжить участие в работах по обеспечению безопасности на установке. Сотрудники ОИЯИ (В.Батусов. И.Костюхина, М.Шиякова) будут выполнять работы в качестве реководителей смен по обеспечению безопасности (SLIMOS, Shift Leader in Matter of Safety). Таже они будут осуществлять работы по радиационной безопасности и контролю над соответствующим пропускным режимом в шахте установки ATLAS.</w:t>
      </w:r>
    </w:p>
    <w:p>
      <w:pPr>
        <w:pStyle w:val="Normal"/>
        <w:spacing w:lineRule="atLeast" w:line="240" w:before="0" w:after="0"/>
        <w:ind w:hanging="426" w:left="426"/>
        <w:jc w:val="both"/>
        <w:rPr/>
      </w:pPr>
      <w:r>
        <w:rPr/>
      </w:r>
    </w:p>
    <w:p>
      <w:pPr>
        <w:pStyle w:val="Normal"/>
        <w:spacing w:lineRule="atLeast" w:line="240" w:before="0" w:after="0"/>
        <w:ind w:hanging="426" w:left="426"/>
        <w:jc w:val="both"/>
        <w:rPr>
          <w:i/>
          <w:i/>
          <w:iCs/>
          <w:u w:val="single"/>
        </w:rPr>
      </w:pPr>
      <w:r>
        <w:rPr>
          <w:i/>
          <w:iCs/>
          <w:u w:val="single"/>
        </w:rPr>
        <w:t>Участие ОИЯИ в физических исследованиях эксперимента АТЛАС</w:t>
      </w:r>
    </w:p>
    <w:p>
      <w:pPr>
        <w:pStyle w:val="Normal"/>
        <w:spacing w:lineRule="atLeast" w:line="240" w:before="0" w:after="0"/>
        <w:ind w:firstLine="426"/>
        <w:jc w:val="both"/>
        <w:rPr/>
      </w:pPr>
      <w:r>
        <w:rPr/>
        <w:t xml:space="preserve">В ближайшие годы планируется продолжение участия группы ОИЯИ во всех основных направлениях физической программы </w:t>
      </w:r>
      <w:r>
        <w:rPr>
          <w:lang w:val="en-US"/>
        </w:rPr>
        <w:t>ATLAS</w:t>
      </w:r>
      <w:r>
        <w:rPr/>
        <w:t>. Анализ данных, набранных установкой в 2022-2025 гг. и планируемых к набору в дальнейшем, позволит значительно увеличить чувствительность к наблюдаемым параметрам или к пределам на их значения в ряде физических исследований. Основные направления физических исследований следующие:</w:t>
      </w:r>
    </w:p>
    <w:p>
      <w:pPr>
        <w:pStyle w:val="Normal"/>
        <w:spacing w:lineRule="atLeast" w:line="240" w:before="0" w:after="0"/>
        <w:ind w:hanging="426" w:left="426"/>
        <w:jc w:val="both"/>
        <w:rPr/>
      </w:pPr>
      <w:r>
        <w:rPr/>
        <w:t xml:space="preserve">1.  Поиск сигнала рождения бозона Хиггса в ассоциации с топ-кварком (Н.Гусейнов, И.Бойко, А.Диденко, О.Доловова, А.Тропина и др.) в канале распада бозона Хиггса на пару </w:t>
      </w:r>
      <w:r>
        <w:rPr>
          <w:i/>
          <w:iCs/>
        </w:rPr>
        <w:t>b</w:t>
      </w:r>
      <w:r>
        <w:rPr/>
        <w:t>-струй. Здесь планируется получить и проанализировать данные, напрямую чувствительные к модулю и фазе константы связи бозона Хиггса и топ-кварка. Предсказываемая Стандартной моделью разность фаз между константами связи WH и tH обуславливает деструктивную интерференцию для различных вкладов в процесс рождения бозона Хиггса в ассоциации с топ кварком и приводит к подавлению сечения этого процесса. Возможные поправки к этой разности фаз от эффектов за рамками Стандартной модели могут привести к росту наблюдаемого сечения в несколько раз.</w:t>
      </w:r>
    </w:p>
    <w:p>
      <w:pPr>
        <w:pStyle w:val="Normal"/>
        <w:spacing w:lineRule="atLeast" w:line="240" w:before="0" w:after="0"/>
        <w:ind w:hanging="426" w:left="426"/>
        <w:jc w:val="both"/>
        <w:rPr/>
      </w:pPr>
      <w:r>
        <w:rPr/>
        <w:t>2.   Изучение рождения бозона Хиггса в процессе слияния глюонов и векторных бозонов (Е.Рамакоти). Как и в случае других измерений свойств бозона Хиггса, это измерение является важным тестом Стандартной модели и чувствительно к потенциальным отклонениям от её предсказаний.</w:t>
      </w:r>
    </w:p>
    <w:p>
      <w:pPr>
        <w:pStyle w:val="Normal"/>
        <w:spacing w:lineRule="atLeast" w:line="240" w:before="0" w:after="0"/>
        <w:ind w:hanging="426" w:left="426"/>
        <w:jc w:val="both"/>
        <w:rPr/>
      </w:pPr>
      <w:r>
        <w:rPr/>
        <w:t>3.  Измерения сечений рождения бозона Хиггса в каналах рождения с калибровочными бозонами (Ф.Ахмадов). Ожидается, что новые данные позволят существенно уточнить проведенные ранее измерения, в частности, с лучшей точностью измерить величины констант связи бозона Хиггса с прелестными и очарованными кварками.</w:t>
      </w:r>
    </w:p>
    <w:p>
      <w:pPr>
        <w:pStyle w:val="Normal"/>
        <w:spacing w:lineRule="atLeast" w:line="240" w:before="0" w:after="0"/>
        <w:ind w:hanging="426" w:left="426"/>
        <w:jc w:val="both"/>
        <w:rPr/>
      </w:pPr>
      <w:r>
        <w:rPr/>
        <w:t>4.  Поиск физических проявлений ряда моделей за рамками Стандартной модели, в частности, - поиск рождения квантовых черных дыр (QBH, Quantum Black Holes) в канале с лептоном и струей (С.Карпов, З.Карпова). Анализ новых данных в этом канале позволит получить новые ограничения на параметры моделей, предсказывающих существование QBH, а также представляет из себя важный тест как применимости Стандартной модели в области энергий в несколько ТэВ, так и качества существующих методов моделирования;</w:t>
      </w:r>
    </w:p>
    <w:p>
      <w:pPr>
        <w:pStyle w:val="Normal"/>
        <w:spacing w:lineRule="atLeast" w:line="240" w:before="0" w:after="0"/>
        <w:ind w:hanging="426" w:left="426"/>
        <w:jc w:val="both"/>
        <w:rPr/>
      </w:pPr>
      <w:r>
        <w:rPr/>
        <w:t xml:space="preserve">5.  Исследование свойств и спектров возбужденных </w:t>
      </w:r>
      <w:r>
        <w:rPr>
          <w:i/>
          <w:iCs/>
        </w:rPr>
        <w:t>B</w:t>
      </w:r>
      <w:r>
        <w:rPr>
          <w:i/>
          <w:iCs/>
          <w:vertAlign w:val="subscript"/>
        </w:rPr>
        <w:t>с</w:t>
      </w:r>
      <w:r>
        <w:rPr/>
        <w:t xml:space="preserve">-мезонов (Т.Любушкина) представляет значительный интерес с точки зрения понимания физики взаимодействия тяжелых кварков и их связанных состояний. </w:t>
      </w:r>
    </w:p>
    <w:p>
      <w:pPr>
        <w:pStyle w:val="Normal"/>
        <w:spacing w:lineRule="atLeast" w:line="240" w:before="0" w:after="0"/>
        <w:ind w:hanging="426" w:left="426"/>
        <w:jc w:val="both"/>
        <w:rPr/>
      </w:pPr>
      <w:r>
        <w:rPr/>
        <w:t>6.  Измерение CP-нарушающей фазы в распадах B</w:t>
      </w:r>
      <w:r>
        <w:rPr>
          <w:vertAlign w:val="subscript"/>
        </w:rPr>
        <w:t>s</w:t>
      </w:r>
      <w:r>
        <w:rPr/>
        <w:t>-мезонов (В.Любушкин). Источником нарушения CP-инвариантности в распадах B</w:t>
      </w:r>
      <w:r>
        <w:rPr>
          <w:vertAlign w:val="subscript"/>
        </w:rPr>
        <w:t>s</w:t>
      </w:r>
      <w:r>
        <w:rPr/>
        <w:t>→J/</w:t>
      </w:r>
      <w:r>
        <w:rPr>
          <w:rFonts w:eastAsia="Calibri" w:ascii="OpenSymbol" w:hAnsi="OpenSymbol"/>
        </w:rPr>
        <w:t>Ψφ</w:t>
      </w:r>
      <w:r>
        <w:rPr/>
        <w:t>, являются эффекты интерференции прямого распада и распада, в котором происходят осцилляции между B</w:t>
      </w:r>
      <w:r>
        <w:rPr>
          <w:vertAlign w:val="subscript"/>
        </w:rPr>
        <w:t>s</w:t>
      </w:r>
      <w:r>
        <w:rPr/>
        <w:t xml:space="preserve"> и anti-B</w:t>
      </w:r>
      <w:r>
        <w:rPr>
          <w:vertAlign w:val="subscript"/>
        </w:rPr>
        <w:t>s</w:t>
      </w:r>
      <w:r>
        <w:rPr/>
        <w:t xml:space="preserve"> мезонами. Стандартная модель предсказывает малую величину этой фазы (</w:t>
      </w:r>
      <w:r>
        <w:rPr>
          <w:rFonts w:ascii="OpenSymbol" w:hAnsi="OpenSymbol"/>
        </w:rPr>
        <w:t>φ</w:t>
      </w:r>
      <w:r>
        <w:rPr>
          <w:vertAlign w:val="subscript"/>
        </w:rPr>
        <w:t>s</w:t>
      </w:r>
      <w:r>
        <w:rPr/>
        <w:t xml:space="preserve"> ~ -0.04), определяемую углами смешивания Каббибо-Кобаяши-Маскавы. Новые физические явления за рамками Стандартной модели могут вносить существенный вклад в наблюдаемую величину фазы </w:t>
      </w:r>
      <w:r>
        <w:rPr>
          <w:rFonts w:ascii="OpenSymbol" w:hAnsi="OpenSymbol"/>
        </w:rPr>
        <w:t>φ</w:t>
      </w:r>
      <w:r>
        <w:rPr>
          <w:vertAlign w:val="subscript"/>
        </w:rPr>
        <w:t>s</w:t>
      </w:r>
      <w:r>
        <w:rPr/>
        <w:t xml:space="preserve">. Дополнительный интерес к этим исследованиям связан с тем, что в настоящее время измерения фазы </w:t>
      </w:r>
      <w:r>
        <w:rPr>
          <w:rFonts w:ascii="OpenSymbol" w:hAnsi="OpenSymbol"/>
        </w:rPr>
        <w:t>φ</w:t>
      </w:r>
      <w:r>
        <w:rPr>
          <w:vertAlign w:val="subscript"/>
        </w:rPr>
        <w:t>s</w:t>
      </w:r>
      <w:r>
        <w:rPr/>
        <w:t>, проведенные разными экспериментами, плохо согласуются между собой и требуют дальнейшего уточнения.</w:t>
      </w:r>
    </w:p>
    <w:p>
      <w:pPr>
        <w:pStyle w:val="Normal"/>
        <w:spacing w:lineRule="atLeast" w:line="240" w:before="0" w:after="0"/>
        <w:ind w:hanging="426" w:left="426"/>
        <w:jc w:val="both"/>
        <w:rPr/>
      </w:pPr>
      <w:r>
        <w:rPr/>
        <w:t xml:space="preserve">7.  Изучение свойств тетракварковых и пентакварковых состояний в распадах B-мезонов (А.Васюков, </w:t>
      </w:r>
      <w:r>
        <w:rPr>
          <w:rFonts w:eastAsia="Calibri"/>
        </w:rPr>
        <w:t>И.</w:t>
      </w:r>
      <w:r>
        <w:rPr/>
        <w:t>Елецких). В последнее время активно ведутся экспериментальные исследования тетракварковых (Z</w:t>
      </w:r>
      <w:r>
        <w:rPr>
          <w:vertAlign w:val="subscript"/>
        </w:rPr>
        <w:t>c</w:t>
      </w:r>
      <w:r>
        <w:rPr/>
        <w:t>, Z</w:t>
      </w:r>
      <w:r>
        <w:rPr>
          <w:vertAlign w:val="subscript"/>
        </w:rPr>
        <w:t>cs</w:t>
      </w:r>
      <w:r>
        <w:rPr/>
        <w:t>) и пентакварковых (P</w:t>
      </w:r>
      <w:r>
        <w:rPr>
          <w:vertAlign w:val="subscript"/>
        </w:rPr>
        <w:t>c</w:t>
      </w:r>
      <w:r>
        <w:rPr/>
        <w:t>, P</w:t>
      </w:r>
      <w:r>
        <w:rPr>
          <w:vertAlign w:val="subscript"/>
        </w:rPr>
        <w:t>cs</w:t>
      </w:r>
      <w:r>
        <w:rPr/>
        <w:t xml:space="preserve">) состояний со скрытым очарованием. Вклад петакварковых состояний в цепочки распада </w:t>
      </w:r>
      <w:r>
        <w:rPr>
          <w:rFonts w:ascii="OpenSymbol" w:hAnsi="OpenSymbol"/>
        </w:rPr>
        <w:t>Λ</w:t>
      </w:r>
      <w:r>
        <w:rPr>
          <w:vertAlign w:val="subscript"/>
        </w:rPr>
        <w:t>b</w:t>
      </w:r>
      <w:r>
        <w:rPr/>
        <w:t>-бариона впервые обнаружен в 2015 г. в эксперименте LHCb и подтвержден в данных установки ATLAS. Исследованиями состояний Z</w:t>
      </w:r>
      <w:r>
        <w:rPr>
          <w:vertAlign w:val="subscript"/>
        </w:rPr>
        <w:t>c</w:t>
      </w:r>
      <w:r>
        <w:rPr/>
        <w:t>, Z</w:t>
      </w:r>
      <w:r>
        <w:rPr>
          <w:vertAlign w:val="subscript"/>
        </w:rPr>
        <w:t>cs</w:t>
      </w:r>
      <w:r>
        <w:rPr/>
        <w:t xml:space="preserve"> занимались несколько экспериментальных коллабораций, начиная с 2014 г. На текущий момент задача экспериментальных исследований этих состояний заключается в более точном измерении их параметров, достоверном определении их спинов и четностей, обнаружении новых каналов распада и новых состояний в спектрах, что может пролить свет на внутреннюю структуру пентакварков и тетракварков и особенности взаимодействий, ответственных за формирование их спектров.</w:t>
      </w:r>
    </w:p>
    <w:p>
      <w:pPr>
        <w:pStyle w:val="Normal"/>
        <w:spacing w:lineRule="atLeast" w:line="240" w:before="0" w:after="0"/>
        <w:ind w:hanging="426" w:left="426"/>
        <w:jc w:val="both"/>
        <w:rPr/>
      </w:pPr>
      <w:r>
        <w:rPr/>
        <w:t>8. Исследование совместного рождения пар чармониев, изучение свойств полностью очарованных тетракварковых состояний (И.Елецких, А.Диденко). В 2021-2022 гг. в трех основных экспериментах LHC был открыт спектр резонансов, лежащих вблизи порога рождения пар J/</w:t>
      </w:r>
      <w:r>
        <w:rPr>
          <w:rFonts w:eastAsia="Calibri" w:ascii="OpenSymbol" w:hAnsi="OpenSymbol"/>
        </w:rPr>
        <w:t>Ψ</w:t>
      </w:r>
      <w:r>
        <w:rPr/>
        <w:t>-мезонов и системы J/</w:t>
      </w:r>
      <w:r>
        <w:rPr>
          <w:rFonts w:eastAsia="Calibri" w:ascii="OpenSymbol" w:hAnsi="OpenSymbol"/>
        </w:rPr>
        <w:t>Ψ</w:t>
      </w:r>
      <w:r>
        <w:rPr/>
        <w:t>-</w:t>
      </w:r>
      <w:r>
        <w:rPr>
          <w:rFonts w:eastAsia="Calibri" w:ascii="OpenSymbol" w:hAnsi="OpenSymbol"/>
        </w:rPr>
        <w:t>Ψ</w:t>
      </w:r>
      <w:r>
        <w:rPr/>
        <w:t>(2S)-мезонов. Существование этого спектра согласуется с гипотезой существования полностью очарованных тетракварков. Совершенствование методов моделирования изучаемых спектров, привлечение угловых распределений к анализу наблюдаемых сигналов и измерение их спина-четности являются актуальными экспериментальными задачами на ближайшее будущее. Поскольку точность этих измерений напрямую связана со статистикой отобранных пар чармониев, анализ новых данных установки ATLAS позволит существенно увеличить чувствительность измерений.</w:t>
      </w:r>
    </w:p>
    <w:p>
      <w:pPr>
        <w:pStyle w:val="Normal"/>
        <w:spacing w:lineRule="atLeast" w:line="240" w:before="0" w:after="0"/>
        <w:ind w:hanging="426" w:left="426"/>
        <w:jc w:val="both"/>
        <w:rPr/>
      </w:pPr>
      <w:r>
        <w:rPr/>
        <w:t xml:space="preserve">9.  Измерение дифференциальных сечений рождения </w:t>
      </w:r>
      <w:r>
        <w:rPr>
          <w:i/>
          <w:iCs/>
        </w:rPr>
        <w:t>B</w:t>
      </w:r>
      <w:r>
        <w:rPr>
          <w:i/>
          <w:iCs/>
          <w:vertAlign w:val="superscript"/>
        </w:rPr>
        <w:t>+</w:t>
      </w:r>
      <w:r>
        <w:rPr/>
        <w:t>-мезонов (Л.Гладилин). Это важная задача для понимания механизмов рождения и адронизации тяжелых мезонов.</w:t>
      </w:r>
    </w:p>
    <w:p>
      <w:pPr>
        <w:pStyle w:val="Normal"/>
        <w:spacing w:lineRule="atLeast" w:line="240" w:before="0" w:after="0"/>
        <w:ind w:hanging="426" w:left="426"/>
        <w:jc w:val="both"/>
        <w:rPr/>
      </w:pPr>
      <w:r>
        <w:rPr/>
        <w:t>10. Исследование структуры протона при энергиях LHC (Г.Лыкасов, А.Липатов), в частности, исследования вклада внутренного очарования в функции распределения партонов, а также исследования вклада поляризованных глюонов. Измерения дифференциальных спектров рождения векторных электрослабых бозонов в ассоциации с тяжелыми струями, измерения угловых распределений в процессах рождения тяжелых прелестных и очарованных адронов, а также тяжелых струй позволят извлечь параметры теоретических моделей для структуры протона, предложенных в ОИЯИ.</w:t>
      </w:r>
    </w:p>
    <w:p>
      <w:pPr>
        <w:pStyle w:val="Normal"/>
        <w:spacing w:lineRule="atLeast" w:line="240" w:before="0" w:after="0"/>
        <w:ind w:hanging="426" w:left="426"/>
        <w:jc w:val="both"/>
        <w:rPr/>
      </w:pPr>
      <w:r>
        <w:rPr/>
        <w:t>11. Поиск распада W-бозона в канале J/</w:t>
      </w:r>
      <w:r>
        <w:rPr>
          <w:rFonts w:eastAsia="Calibri" w:ascii="OpenSymbol" w:hAnsi="OpenSymbol"/>
        </w:rPr>
        <w:t>Ψ</w:t>
      </w:r>
      <w:r>
        <w:rPr>
          <w:rFonts w:eastAsia="Calibri" w:ascii="OpenSymbol" w:hAnsi="OpenSymbol"/>
        </w:rPr>
        <w:t>+</w:t>
      </w:r>
      <w:r>
        <w:rPr>
          <w:rFonts w:eastAsia="Calibri" w:ascii="Liberation Serif" w:hAnsi="Liberation Serif"/>
        </w:rPr>
        <w:t>π</w:t>
      </w:r>
      <w:r>
        <w:rPr/>
        <w:t xml:space="preserve"> (Л.Гладилин);</w:t>
      </w:r>
    </w:p>
    <w:p>
      <w:pPr>
        <w:pStyle w:val="Normal"/>
        <w:spacing w:lineRule="atLeast" w:line="240" w:before="0" w:after="0"/>
        <w:ind w:hanging="426" w:left="426"/>
        <w:jc w:val="both"/>
        <w:rPr/>
      </w:pPr>
      <w:r>
        <w:rPr/>
        <w:t>12. Новые измерения дифференциальных сечений одиночного и парного рождения Z-бозонов (Е.Солдатов)</w:t>
      </w:r>
    </w:p>
    <w:p>
      <w:pPr>
        <w:pStyle w:val="Normal"/>
        <w:spacing w:lineRule="atLeast" w:line="240" w:before="0" w:after="0"/>
        <w:ind w:hanging="426" w:left="426"/>
        <w:jc w:val="both"/>
        <w:rPr/>
      </w:pPr>
      <w:r>
        <w:rPr/>
        <w:t>13. Работы по контролю качества данных, контроль качества реконструкции различных типов объектов в детекторе (Е. Солдатов)</w:t>
      </w:r>
    </w:p>
    <w:p>
      <w:pPr>
        <w:pStyle w:val="Normal"/>
        <w:spacing w:lineRule="atLeast" w:line="240" w:before="0" w:after="0"/>
        <w:ind w:hanging="426" w:left="426"/>
        <w:jc w:val="both"/>
        <w:rPr/>
      </w:pPr>
      <w:r>
        <w:rPr/>
        <w:t>14. Измерения полных и дифференциальных сечений ассоциированного рождения W-бозонов и пар топ-кварков (А.Масленников)</w:t>
      </w:r>
    </w:p>
    <w:p>
      <w:pPr>
        <w:pStyle w:val="Normal"/>
        <w:spacing w:lineRule="atLeast" w:line="240" w:before="0" w:after="0"/>
        <w:ind w:hanging="426" w:left="426"/>
        <w:jc w:val="both"/>
        <w:rPr/>
      </w:pPr>
      <w:r>
        <w:rPr/>
      </w:r>
    </w:p>
    <w:p>
      <w:pPr>
        <w:pStyle w:val="Normal"/>
        <w:spacing w:lineRule="atLeast" w:line="240" w:before="0" w:after="0"/>
        <w:rPr>
          <w:i/>
          <w:i/>
          <w:iCs/>
          <w:u w:val="single"/>
        </w:rPr>
      </w:pPr>
      <w:r>
        <w:rPr>
          <w:i/>
          <w:iCs/>
          <w:u w:val="single"/>
        </w:rPr>
        <w:t>Участие ОИЯИ в разработке и поддержке программного обеспечения и теоретической поддержке эксперимента ATLAS</w:t>
      </w:r>
    </w:p>
    <w:p>
      <w:pPr>
        <w:pStyle w:val="Normal"/>
        <w:spacing w:lineRule="atLeast" w:line="240" w:before="0" w:after="0"/>
        <w:ind w:firstLine="426"/>
        <w:jc w:val="both"/>
        <w:rPr/>
      </w:pPr>
      <w:r>
        <w:rPr/>
        <w:t>В последние годы участие ОИЯИ в разработке и поддержке программного обеспечения эксперимента ATLAS активно расширяется. Эффективность программ реконструкции, моделирования, тригерования, отбора и анализа экспериментальных событий напрямую влияет на результаты физических исследований. В период 2025-2029 гг. планируется продолжение участия сотрудников ОИЯИ в основных направлениях разработки ПО и расширение этого участия:</w:t>
      </w:r>
    </w:p>
    <w:p>
      <w:pPr>
        <w:pStyle w:val="Normal"/>
        <w:spacing w:lineRule="atLeast" w:line="240" w:before="0" w:after="0"/>
        <w:ind w:hanging="426" w:left="426"/>
        <w:jc w:val="both"/>
        <w:rPr/>
      </w:pPr>
      <w:r>
        <w:rPr/>
        <w:t>1. Разработка Монте-Карло генератора ReneSANCe, в рамках которой планируется расчет поправок и уточнение моделирования ряда физических процессов, исследуемых на LHC, в частности, теоретические вычисления радиационных поправок к рождению W-бозонов в протон-протонных столкновениях с учетом поляризации конечного состояния.</w:t>
      </w:r>
    </w:p>
    <w:p>
      <w:pPr>
        <w:pStyle w:val="Normal"/>
        <w:spacing w:lineRule="atLeast" w:line="240" w:before="0" w:after="0"/>
        <w:ind w:hanging="426" w:left="426"/>
        <w:jc w:val="both"/>
        <w:rPr/>
      </w:pPr>
      <w:r>
        <w:rPr/>
        <w:t>2. Теоретические исследования структуры протона при энергиях LHC, в частности, вклада внутреннего очарования и вклада поперечно-поляризованных глюонов в протоне в различные наблюдаемые экспериментально процессы; расчеты асимметрии в угловых распределениях в процессах рождения пар D-мезонов;</w:t>
      </w:r>
    </w:p>
    <w:p>
      <w:pPr>
        <w:pStyle w:val="Normal"/>
        <w:spacing w:lineRule="atLeast" w:line="240" w:before="0" w:after="0"/>
        <w:ind w:hanging="426" w:left="426"/>
        <w:jc w:val="both"/>
        <w:rPr/>
      </w:pPr>
      <w:r>
        <w:rPr/>
        <w:t>3. Разработка и поддержка баз данных экспериментальных событий (EventIndex). Эта база данных активно используется в ряде физических исследований, где требуется применение нестандартных алгоритмов реконструкции событий, например, в анализе возбужденных состояний Вс-мезонов, проводимого с определяющим вкладом сотрудников ОИЯИ; в рамках этих работ также решаются задачи контроля за целостностью и возможными повреждениями данных, дублированием событий, зарегистрированных разными триггерами и т.д.</w:t>
      </w:r>
    </w:p>
    <w:p>
      <w:pPr>
        <w:pStyle w:val="Normal"/>
        <w:spacing w:lineRule="atLeast" w:line="240" w:before="0" w:after="0"/>
        <w:ind w:hanging="426" w:left="426"/>
        <w:jc w:val="both"/>
        <w:rPr/>
      </w:pPr>
      <w:r>
        <w:rPr/>
        <w:t>4. Продолжение работ и открытие новых направлений по поддержке программного обеспечения системы калориметров ATLAS, в частности, моделирования отклика калориметров, калибровки калориметров, участие в разработке и поддержке ПО баз данных состояния детектора;</w:t>
      </w:r>
    </w:p>
    <w:p>
      <w:pPr>
        <w:pStyle w:val="Normal"/>
        <w:spacing w:lineRule="atLeast" w:line="240" w:before="0" w:after="0"/>
        <w:ind w:hanging="426" w:left="426"/>
        <w:jc w:val="both"/>
        <w:rPr/>
      </w:pPr>
      <w:r>
        <w:rPr/>
        <w:t>5.   Поддержка ПО системы триггеров ATLAS;</w:t>
      </w:r>
    </w:p>
    <w:p>
      <w:pPr>
        <w:pStyle w:val="Normal"/>
        <w:spacing w:lineRule="atLeast" w:line="240" w:before="0" w:after="0"/>
        <w:ind w:hanging="426" w:left="426"/>
        <w:jc w:val="both"/>
        <w:rPr/>
      </w:pPr>
      <w:r>
        <w:rPr/>
        <w:t>6. Разработка ряда утилит для статистического анализа данных, в частности, создание генератора псевдоданных, учитывающего особенности многомерного анализа наблюдаемых кинематических спектров;</w:t>
      </w:r>
    </w:p>
    <w:p>
      <w:pPr>
        <w:pStyle w:val="Normal"/>
        <w:spacing w:lineRule="atLeast" w:line="240" w:before="0" w:after="0"/>
        <w:ind w:hanging="426" w:left="426"/>
        <w:jc w:val="both"/>
        <w:rPr/>
      </w:pPr>
      <w:r>
        <w:rPr/>
        <w:t>7. Создание и тестирование программного обеспечения для мультивариантивного анализа данных, в частности, создание собственных математических моделей, алгоритмов обучения и контроля нейронных сетей, учитывающих особенности анализа экспериментальных данных физики высоких энергий.</w:t>
      </w:r>
    </w:p>
    <w:p>
      <w:pPr>
        <w:pStyle w:val="Normal"/>
        <w:spacing w:lineRule="atLeast" w:line="240" w:before="0" w:after="0"/>
        <w:ind w:hanging="426" w:left="426"/>
        <w:jc w:val="both"/>
        <w:rPr/>
      </w:pPr>
      <w:r>
        <w:rPr/>
      </w:r>
    </w:p>
    <w:p>
      <w:pPr>
        <w:pStyle w:val="Normal"/>
        <w:spacing w:lineRule="atLeast" w:line="240" w:before="0" w:after="0"/>
        <w:jc w:val="center"/>
        <w:rPr>
          <w:b/>
          <w:bCs/>
        </w:rPr>
      </w:pPr>
      <w:r>
        <w:rPr>
          <w:b/>
          <w:bCs/>
        </w:rPr>
        <w:t>Участие ОИЯИ в программе модернизации детектора АТЛАС</w:t>
      </w:r>
    </w:p>
    <w:p>
      <w:pPr>
        <w:pStyle w:val="Normal"/>
        <w:spacing w:lineRule="atLeast" w:line="240" w:before="0" w:after="0"/>
        <w:jc w:val="both"/>
        <w:rPr/>
      </w:pPr>
      <w:r>
        <w:rPr/>
      </w:r>
    </w:p>
    <w:p>
      <w:pPr>
        <w:pStyle w:val="Normal"/>
        <w:spacing w:lineRule="atLeast" w:line="240" w:before="0" w:after="0"/>
        <w:ind w:firstLine="360"/>
        <w:jc w:val="both"/>
        <w:rPr/>
      </w:pPr>
      <w:r>
        <w:rPr/>
        <w:t>Эксперименты ATLAS и CMS на LHC являются уникальными драйверами фундаментального понимания природы на границе энергий. С набранной светимостью 3</w:t>
      </w:r>
      <w:r>
        <w:rPr>
          <w:lang w:val="en-US"/>
        </w:rPr>
        <w:t> </w:t>
      </w:r>
      <w:r>
        <w:rPr/>
        <w:t>ab</w:t>
      </w:r>
      <w:r>
        <w:rPr>
          <w:vertAlign w:val="superscript"/>
        </w:rPr>
        <w:t>−1</w:t>
      </w:r>
      <w:r>
        <w:rPr/>
        <w:t xml:space="preserve"> на эксперимент, ATLAS и CMS могут достичь, в частности [ATL-PHYS-PUB-2025-018, CMS-HIG-25-002]:</w:t>
      </w:r>
    </w:p>
    <w:p>
      <w:pPr>
        <w:pStyle w:val="ListParagraph"/>
        <w:numPr>
          <w:ilvl w:val="0"/>
          <w:numId w:val="9"/>
        </w:numPr>
        <w:spacing w:lineRule="atLeast" w:line="240" w:before="0" w:after="0"/>
        <w:contextualSpacing/>
        <w:jc w:val="both"/>
        <w:rPr/>
      </w:pPr>
      <w:r>
        <w:rPr/>
        <w:t>Наблюдение редких процессов H→μ+μ− и H→Zγ и определение соответствующих констант связи с точностью 3% и 7%;</w:t>
      </w:r>
    </w:p>
    <w:p>
      <w:pPr>
        <w:pStyle w:val="ListParagraph"/>
        <w:numPr>
          <w:ilvl w:val="0"/>
          <w:numId w:val="9"/>
        </w:numPr>
        <w:spacing w:lineRule="atLeast" w:line="240" w:before="0" w:after="0"/>
        <w:contextualSpacing/>
        <w:jc w:val="both"/>
        <w:rPr/>
      </w:pPr>
      <w:r>
        <w:rPr/>
        <w:t>Измерение других основных констант связи бозона Хиггса с фермионами и векторными бозонами с точностью от 1,6% до 3,6%;</w:t>
      </w:r>
    </w:p>
    <w:p>
      <w:pPr>
        <w:pStyle w:val="ListParagraph"/>
        <w:numPr>
          <w:ilvl w:val="0"/>
          <w:numId w:val="9"/>
        </w:numPr>
        <w:spacing w:lineRule="atLeast" w:line="240" w:before="0" w:after="0"/>
        <w:contextualSpacing/>
        <w:jc w:val="both"/>
        <w:rPr/>
      </w:pPr>
      <w:r>
        <w:rPr/>
        <w:t>Наблюдение рождения дибозона Хиггса SM со значимостью, превышающей 7σ;</w:t>
      </w:r>
    </w:p>
    <w:p>
      <w:pPr>
        <w:pStyle w:val="ListParagraph"/>
        <w:numPr>
          <w:ilvl w:val="0"/>
          <w:numId w:val="9"/>
        </w:numPr>
        <w:spacing w:lineRule="atLeast" w:line="240" w:before="0" w:after="0"/>
        <w:contextualSpacing/>
        <w:jc w:val="both"/>
        <w:rPr/>
      </w:pPr>
      <w:r>
        <w:rPr/>
        <w:t>Измерение трилинейной самосвязи бозона Хиггса λ3 с точностью лучше 30%;</w:t>
      </w:r>
    </w:p>
    <w:p>
      <w:pPr>
        <w:pStyle w:val="ListParagraph"/>
        <w:numPr>
          <w:ilvl w:val="0"/>
          <w:numId w:val="9"/>
        </w:numPr>
        <w:spacing w:lineRule="atLeast" w:line="240" w:before="0" w:after="0"/>
        <w:contextualSpacing/>
        <w:jc w:val="both"/>
        <w:rPr/>
      </w:pPr>
      <w:r>
        <w:rPr/>
        <w:t>Измерения чрезвычайно редких процессов, таких как одновременное рождение четырех топ-кварков, с точностью 6%;</w:t>
      </w:r>
    </w:p>
    <w:p>
      <w:pPr>
        <w:pStyle w:val="ListParagraph"/>
        <w:numPr>
          <w:ilvl w:val="0"/>
          <w:numId w:val="9"/>
        </w:numPr>
        <w:spacing w:lineRule="atLeast" w:line="240" w:before="0" w:after="0"/>
        <w:contextualSpacing/>
        <w:jc w:val="both"/>
        <w:rPr/>
      </w:pPr>
      <w:r>
        <w:rPr/>
        <w:t xml:space="preserve">Ограничения на аномальные взаимодействия между топ-кварком и Z-бозоном, </w:t>
      </w:r>
      <w:r>
        <w:rPr/>
        <w:t xml:space="preserve">поиски </w:t>
      </w:r>
      <w:r>
        <w:rPr/>
        <w:t xml:space="preserve">новой физики </w:t>
      </w:r>
      <w:r>
        <w:rPr/>
        <w:t>в этих процессах</w:t>
      </w:r>
      <w:r>
        <w:rPr/>
        <w:t xml:space="preserve"> </w:t>
      </w:r>
      <w:r>
        <w:rPr/>
        <w:t>с</w:t>
      </w:r>
      <w:r>
        <w:rPr/>
        <w:t xml:space="preserve"> энергетически</w:t>
      </w:r>
      <w:r>
        <w:rPr/>
        <w:t>ми</w:t>
      </w:r>
      <w:r>
        <w:rPr/>
        <w:t xml:space="preserve"> масштаба</w:t>
      </w:r>
      <w:r>
        <w:rPr/>
        <w:t>ми</w:t>
      </w:r>
      <w:r>
        <w:rPr/>
        <w:t xml:space="preserve"> до 2 ТэВ и т.д.</w:t>
      </w:r>
    </w:p>
    <w:p>
      <w:pPr>
        <w:pStyle w:val="Normal"/>
        <w:spacing w:lineRule="atLeast" w:line="240" w:before="0" w:after="0"/>
        <w:ind w:firstLine="360"/>
        <w:jc w:val="both"/>
        <w:rPr/>
      </w:pPr>
      <w:r>
        <w:rPr/>
        <w:t>Для достижения таких точностей требуется большая статистическая выборка экспериментальных данных, поэтому ведутся работы по увеличению светимости LHC, что требует модернизации детекторов и элементов ускорительного комплекса ЦЕРНа. Первый этап модернизации детекторов (Фаза 1) был проведен во время второй длительной остановки LHC (LS2), в результате мгновенная светимость LHC увеличилась более чем вдвое (рис. 1); после LS3 и завершения Фазы 2 модернизации LHC и детекторов светимость увеличится в пять раз по сравнению с номинальным значением 10</w:t>
      </w:r>
      <w:r>
        <w:rPr>
          <w:vertAlign w:val="superscript"/>
        </w:rPr>
        <w:t>34</w:t>
      </w:r>
      <w:r>
        <w:rPr/>
        <w:t xml:space="preserve"> см</w:t>
      </w:r>
      <w:r>
        <w:rPr>
          <w:vertAlign w:val="superscript"/>
        </w:rPr>
        <w:t>-2</w:t>
      </w:r>
      <w:r>
        <w:rPr/>
        <w:t xml:space="preserve"> с</w:t>
      </w:r>
      <w:r>
        <w:rPr>
          <w:vertAlign w:val="superscript"/>
        </w:rPr>
        <w:t>-1</w:t>
      </w:r>
      <w:r>
        <w:rPr/>
        <w:t>.</w:t>
      </w:r>
    </w:p>
    <w:p>
      <w:pPr>
        <w:pStyle w:val="Normal"/>
        <w:spacing w:lineRule="atLeast" w:line="240" w:before="0" w:after="0"/>
        <w:jc w:val="both"/>
        <w:rPr/>
      </w:pPr>
      <w:r>
        <w:rPr/>
      </w:r>
    </w:p>
    <w:p>
      <w:pPr>
        <w:pStyle w:val="Normal"/>
        <w:spacing w:lineRule="atLeast" w:line="240" w:before="0" w:after="0"/>
        <w:jc w:val="both"/>
        <w:rPr>
          <w:b/>
          <w:bCs/>
          <w:i/>
          <w:i/>
          <w:iCs/>
          <w:u w:val="single"/>
        </w:rPr>
      </w:pPr>
      <w:r>
        <w:rPr>
          <w:b/>
          <w:bCs/>
          <w:i/>
          <w:iCs/>
          <w:u w:val="single"/>
        </w:rPr>
        <w:t>Фаза 1 модернизации детектора ATLAS</w:t>
      </w:r>
    </w:p>
    <w:p>
      <w:pPr>
        <w:pStyle w:val="Normal"/>
        <w:spacing w:lineRule="atLeast" w:line="240" w:before="0" w:after="0"/>
        <w:ind w:firstLine="708"/>
        <w:jc w:val="both"/>
        <w:rPr/>
      </w:pPr>
      <w:r>
        <w:rPr/>
        <w:t>Предварительный график реализации проекта LHC, обновленный в марте 2025 года, представлен на рис. 1.</w:t>
      </w:r>
    </w:p>
    <w:p>
      <w:pPr>
        <w:pStyle w:val="Normal"/>
        <w:spacing w:lineRule="atLeast" w:line="240" w:before="0" w:after="0"/>
        <w:jc w:val="both"/>
        <w:rPr/>
      </w:pPr>
      <w:r>
        <w:rPr/>
        <w:drawing>
          <wp:inline distT="0" distB="0" distL="0" distR="0">
            <wp:extent cx="6297930" cy="2908300"/>
            <wp:effectExtent l="0" t="0" r="0" b="0"/>
            <wp:docPr id="1"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
                    <pic:cNvPicPr>
                      <a:picLocks noChangeAspect="1" noChangeArrowheads="1"/>
                    </pic:cNvPicPr>
                  </pic:nvPicPr>
                  <pic:blipFill>
                    <a:blip r:embed="rId2"/>
                    <a:stretch>
                      <a:fillRect/>
                    </a:stretch>
                  </pic:blipFill>
                  <pic:spPr bwMode="auto">
                    <a:xfrm>
                      <a:off x="0" y="0"/>
                      <a:ext cx="6297930" cy="2908300"/>
                    </a:xfrm>
                    <a:prstGeom prst="rect">
                      <a:avLst/>
                    </a:prstGeom>
                  </pic:spPr>
                </pic:pic>
              </a:graphicData>
            </a:graphic>
          </wp:inline>
        </w:drawing>
      </w:r>
    </w:p>
    <w:p>
      <w:pPr>
        <w:pStyle w:val="Normal"/>
        <w:spacing w:lineRule="atLeast" w:line="240" w:before="0" w:after="0"/>
        <w:jc w:val="both"/>
        <w:rPr>
          <w:rFonts w:ascii="Arial" w:hAnsi="Arial" w:cs="Arial"/>
          <w:i/>
          <w:i/>
          <w:iCs/>
          <w:sz w:val="20"/>
          <w:szCs w:val="20"/>
        </w:rPr>
      </w:pPr>
      <w:r>
        <w:rPr>
          <w:rFonts w:cs="Arial" w:ascii="Arial" w:hAnsi="Arial"/>
          <w:i/>
          <w:iCs/>
          <w:sz w:val="20"/>
          <w:szCs w:val="20"/>
        </w:rPr>
        <w:t xml:space="preserve">Рис. 1: Предварительный график, показывающий пиковую (интегральную) светимость красным (фиолетовым) цветом в зависимости от года. Периоды длительных остановок показаны синими полосами. Номинальный сценарий (светло-фиолетовый, открытый красный круг) в Run 5 соответствует среднему числу взаимодействий </w:t>
      </w:r>
      <w:r>
        <w:rPr>
          <w:rFonts w:cs="Cambria Math" w:ascii="Cambria Math" w:hAnsi="Cambria Math"/>
          <w:i/>
          <w:iCs/>
          <w:sz w:val="20"/>
          <w:szCs w:val="20"/>
        </w:rPr>
        <w:t>𝑝𝑝</w:t>
      </w:r>
      <w:r>
        <w:rPr>
          <w:rFonts w:cs="Arial" w:ascii="Arial" w:hAnsi="Arial"/>
          <w:i/>
          <w:iCs/>
          <w:sz w:val="20"/>
          <w:szCs w:val="20"/>
        </w:rPr>
        <w:t xml:space="preserve"> на пересечение пучка (наложение событий, pileup) около 173, а окончательный сценарий (темно-фиолетовый, сплошной красный круг) соответствует наложению 200 событий. Оба сценария Run 5 включают набор данных по тяжелым ионам.</w:t>
      </w:r>
    </w:p>
    <w:p>
      <w:pPr>
        <w:pStyle w:val="Normal"/>
        <w:spacing w:lineRule="atLeast" w:line="240" w:before="0" w:after="0"/>
        <w:jc w:val="both"/>
        <w:rPr/>
      </w:pPr>
      <w:r>
        <w:rPr/>
      </w:r>
    </w:p>
    <w:p>
      <w:pPr>
        <w:pStyle w:val="Normal"/>
        <w:spacing w:lineRule="atLeast" w:line="240" w:before="0" w:after="0"/>
        <w:ind w:firstLine="708"/>
        <w:jc w:val="both"/>
        <w:rPr/>
      </w:pPr>
      <w:r>
        <w:rPr/>
        <w:t>Первая фаза (фаза 1) модернизации детектора ATLAS была завершена к концу 2022 года. Команда ОИЯИ сыграла важную роль в реализации проекта New Small Wheel (NSW) для мюонного спектрометра, мы внесли вклад в разработку Демонстратора для считывающей электроники калориметра Tile. Для подсистемы Tile мы также провели радиационные испытания новых сцинтилляторов и внесли вклад в производство и сборку новых модулей. Наши инженеры спроектировали базовую плату для крейтов считывающей электроники и спроектировали плату предварительного формирователя для триггерной электроники LAr. Радиационные испытания были проведены для печатных плат, кабелей и оптических коммутационных шнуров на импульсном нейтронном реакторе ИБР-2м.</w:t>
      </w:r>
    </w:p>
    <w:p>
      <w:pPr>
        <w:pStyle w:val="Normal"/>
        <w:spacing w:lineRule="atLeast" w:line="240" w:before="0" w:after="0"/>
        <w:jc w:val="both"/>
        <w:rPr/>
      </w:pPr>
      <w:r>
        <w:rPr/>
      </w:r>
    </w:p>
    <w:p>
      <w:pPr>
        <w:pStyle w:val="Normal"/>
        <w:spacing w:lineRule="atLeast" w:line="240" w:before="0" w:after="0"/>
        <w:jc w:val="both"/>
        <w:rPr>
          <w:i/>
          <w:i/>
          <w:iCs/>
          <w:u w:val="single"/>
        </w:rPr>
      </w:pPr>
      <w:r>
        <w:rPr>
          <w:i/>
          <w:iCs/>
          <w:u w:val="single"/>
        </w:rPr>
        <w:t>Мюонный спектрометр (фаза 1)</w:t>
      </w:r>
    </w:p>
    <w:p>
      <w:pPr>
        <w:pStyle w:val="Normal"/>
        <w:spacing w:lineRule="atLeast" w:line="240" w:before="0" w:after="0"/>
        <w:ind w:firstLine="708"/>
        <w:jc w:val="both"/>
        <w:rPr/>
      </w:pPr>
      <w:r>
        <w:rPr/>
        <w:t>Наиболее значительный вклад ОИЯИ в рамках фазы 1 проекта модернизации ATLAS был сделан для мюонного спектрометра. Группа ОИЯИ отвечала за изготовление и тестирование модулей Micromegas (ММ) для внешней части больших секторов NSW - LM2 (см. рис. 2). Все 64 (плюс 4 дополнительных запасных) панели считывания общей площадью 384 м</w:t>
      </w:r>
      <w:r>
        <w:rPr>
          <w:vertAlign w:val="superscript"/>
        </w:rPr>
        <w:t>2</w:t>
      </w:r>
      <w:r>
        <w:rPr/>
        <w:t xml:space="preserve"> из 1200 м</w:t>
      </w:r>
      <w:r>
        <w:rPr>
          <w:vertAlign w:val="superscript"/>
        </w:rPr>
        <w:t>2</w:t>
      </w:r>
      <w:r>
        <w:rPr/>
        <w:t xml:space="preserve"> для NSW были изготовлены и протестированы в ОИЯИ. Используя дрейфовые панели, изготовленные в Университете Аристотеля в Салониках, Греция (AUTh), группа изготовила и протестировала все 32 модуля Micromegas (плюс 1 запасной модуль).</w:t>
      </w:r>
    </w:p>
    <w:p>
      <w:pPr>
        <w:pStyle w:val="Normal"/>
        <w:spacing w:lineRule="atLeast" w:line="240" w:before="0" w:after="0"/>
        <w:jc w:val="both"/>
        <w:rPr/>
      </w:pPr>
      <w:r>
        <w:rPr/>
      </w:r>
    </w:p>
    <w:p>
      <w:pPr>
        <w:pStyle w:val="Normal"/>
        <w:spacing w:lineRule="atLeast" w:line="240" w:before="0" w:after="0"/>
        <w:jc w:val="center"/>
        <w:rPr/>
      </w:pPr>
      <w:r>
        <w:rPr/>
        <w:drawing>
          <wp:inline distT="0" distB="0" distL="0" distR="0">
            <wp:extent cx="3383280" cy="2767965"/>
            <wp:effectExtent l="0" t="0" r="0" b="0"/>
            <wp:docPr id="2"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
                    <pic:cNvPicPr>
                      <a:picLocks noChangeAspect="1" noChangeArrowheads="1"/>
                    </pic:cNvPicPr>
                  </pic:nvPicPr>
                  <pic:blipFill>
                    <a:blip r:embed="rId3"/>
                    <a:stretch>
                      <a:fillRect/>
                    </a:stretch>
                  </pic:blipFill>
                  <pic:spPr bwMode="auto">
                    <a:xfrm>
                      <a:off x="0" y="0"/>
                      <a:ext cx="3383280" cy="2767965"/>
                    </a:xfrm>
                    <a:prstGeom prst="rect">
                      <a:avLst/>
                    </a:prstGeom>
                  </pic:spPr>
                </pic:pic>
              </a:graphicData>
            </a:graphic>
          </wp:inline>
        </w:drawing>
      </w:r>
    </w:p>
    <w:p>
      <w:pPr>
        <w:pStyle w:val="Normal"/>
        <w:spacing w:lineRule="atLeast" w:line="240" w:before="0" w:after="0"/>
        <w:jc w:val="both"/>
        <w:rPr/>
      </w:pPr>
      <w:r>
        <w:rPr/>
      </w:r>
    </w:p>
    <w:p>
      <w:pPr>
        <w:pStyle w:val="Normal"/>
        <w:spacing w:lineRule="atLeast" w:line="240" w:before="0" w:after="0"/>
        <w:jc w:val="both"/>
        <w:rPr>
          <w:rFonts w:ascii="Arial" w:hAnsi="Arial" w:cs="Arial"/>
          <w:i/>
          <w:i/>
          <w:iCs/>
          <w:sz w:val="20"/>
          <w:szCs w:val="20"/>
        </w:rPr>
      </w:pPr>
      <w:r>
        <w:rPr>
          <w:rFonts w:cs="Arial" w:ascii="Arial" w:hAnsi="Arial"/>
          <w:i/>
          <w:iCs/>
          <w:sz w:val="20"/>
          <w:szCs w:val="20"/>
        </w:rPr>
        <w:t>Рис. 2. Схематическое изображение малых и больших секторных клиньев NSW. Размеры указаны в мм.</w:t>
      </w:r>
    </w:p>
    <w:p>
      <w:pPr>
        <w:pStyle w:val="Normal"/>
        <w:spacing w:lineRule="atLeast" w:line="240" w:before="0" w:after="0"/>
        <w:jc w:val="both"/>
        <w:rPr/>
      </w:pPr>
      <w:r>
        <w:rPr/>
      </w:r>
    </w:p>
    <w:p>
      <w:pPr>
        <w:pStyle w:val="Normal"/>
        <w:spacing w:lineRule="atLeast" w:line="240" w:before="0" w:after="0"/>
        <w:ind w:firstLine="708"/>
        <w:jc w:val="both"/>
        <w:rPr/>
      </w:pPr>
      <w:r>
        <w:rPr/>
        <w:t xml:space="preserve">Для выполнения этих обязательств в Лаборатории ядерной физики им. Джелепова были построены два специализированных цеха (рис. 3). Первая линия использовалась для производства и тестирования камер/квадруплетов ММ для NSW мюонного спектрометра ATLAS, вторая линия — линия полного цикла производства Micromegas, используемая для НИОКР и производства малых партий детекторов ММ для различных применений (рис. 4). </w:t>
      </w:r>
    </w:p>
    <w:p>
      <w:pPr>
        <w:pStyle w:val="Normal"/>
        <w:spacing w:lineRule="atLeast" w:line="240" w:before="0" w:after="0"/>
        <w:jc w:val="center"/>
        <w:rPr>
          <w:rFonts w:ascii="Arial" w:hAnsi="Arial" w:cs="Arial"/>
          <w:i/>
          <w:i/>
          <w:iCs/>
          <w:sz w:val="20"/>
          <w:szCs w:val="20"/>
        </w:rPr>
      </w:pPr>
      <w:r>
        <w:rPr>
          <w:rFonts w:cs="Arial" w:ascii="Arial" w:hAnsi="Arial"/>
          <w:i/>
          <w:iCs/>
          <w:sz w:val="20"/>
          <w:szCs w:val="20"/>
        </w:rPr>
        <w:drawing>
          <wp:anchor behindDoc="0" distT="0" distB="0" distL="0" distR="114300" simplePos="0" locked="0" layoutInCell="0" allowOverlap="1" relativeHeight="27">
            <wp:simplePos x="0" y="0"/>
            <wp:positionH relativeFrom="margin">
              <wp:align>left</wp:align>
            </wp:positionH>
            <wp:positionV relativeFrom="paragraph">
              <wp:posOffset>48260</wp:posOffset>
            </wp:positionV>
            <wp:extent cx="3952875" cy="2171065"/>
            <wp:effectExtent l="0" t="0" r="0" b="0"/>
            <wp:wrapSquare wrapText="bothSides"/>
            <wp:docPr id="3"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
                    <pic:cNvPicPr>
                      <a:picLocks noChangeAspect="1" noChangeArrowheads="1"/>
                    </pic:cNvPicPr>
                  </pic:nvPicPr>
                  <pic:blipFill>
                    <a:blip r:embed="rId4"/>
                    <a:stretch>
                      <a:fillRect/>
                    </a:stretch>
                  </pic:blipFill>
                  <pic:spPr bwMode="auto">
                    <a:xfrm>
                      <a:off x="0" y="0"/>
                      <a:ext cx="3952875" cy="2171065"/>
                    </a:xfrm>
                    <a:prstGeom prst="rect">
                      <a:avLst/>
                    </a:prstGeom>
                  </pic:spPr>
                </pic:pic>
              </a:graphicData>
            </a:graphic>
          </wp:anchor>
        </w:drawing>
      </w:r>
    </w:p>
    <w:p>
      <w:pPr>
        <w:pStyle w:val="Normal"/>
        <w:spacing w:lineRule="atLeast" w:line="240" w:before="0" w:after="0"/>
        <w:jc w:val="both"/>
        <w:rPr>
          <w:rFonts w:ascii="Arial" w:hAnsi="Arial" w:cs="Arial"/>
          <w:i/>
          <w:i/>
          <w:iCs/>
          <w:sz w:val="20"/>
          <w:szCs w:val="20"/>
        </w:rPr>
      </w:pPr>
      <w:r>
        <w:rPr>
          <w:rFonts w:cs="Arial" w:ascii="Arial" w:hAnsi="Arial"/>
          <w:i/>
          <w:iCs/>
          <w:sz w:val="20"/>
          <w:szCs w:val="20"/>
        </w:rPr>
      </w:r>
    </w:p>
    <w:p>
      <w:pPr>
        <w:pStyle w:val="Normal"/>
        <w:spacing w:lineRule="atLeast" w:line="240" w:before="0" w:after="0"/>
        <w:jc w:val="both"/>
        <w:rPr>
          <w:rFonts w:ascii="Arial" w:hAnsi="Arial" w:cs="Arial"/>
          <w:i/>
          <w:i/>
          <w:iCs/>
          <w:sz w:val="20"/>
          <w:szCs w:val="20"/>
        </w:rPr>
      </w:pPr>
      <w:r>
        <w:rPr>
          <w:rFonts w:cs="Arial" w:ascii="Arial" w:hAnsi="Arial"/>
          <w:i/>
          <w:iCs/>
          <w:sz w:val="20"/>
          <w:szCs w:val="20"/>
        </w:rPr>
        <w:t>Рис. 3. Линии производства ММ: 1 – производство панелей, 2 – космический стенд, 3 – испытания на герметичность, 4 – сборка и испытания квадруплетов, 5 – помещение для мойки панелей, 6 – «Дубненская лаборатория массового производства».</w:t>
      </w:r>
    </w:p>
    <w:p>
      <w:pPr>
        <w:pStyle w:val="Normal"/>
        <w:spacing w:lineRule="atLeast" w:line="240" w:before="0" w:after="0"/>
        <w:jc w:val="both"/>
        <w:rPr>
          <w:rFonts w:ascii="Arial" w:hAnsi="Arial" w:cs="Arial"/>
          <w:i/>
          <w:i/>
          <w:iCs/>
          <w:sz w:val="20"/>
          <w:szCs w:val="20"/>
        </w:rPr>
      </w:pPr>
      <w:r>
        <w:rPr>
          <w:rFonts w:cs="Arial" w:ascii="Arial" w:hAnsi="Arial"/>
          <w:i/>
          <w:iCs/>
          <w:sz w:val="20"/>
          <w:szCs w:val="20"/>
        </w:rPr>
      </w:r>
    </w:p>
    <w:p>
      <w:pPr>
        <w:pStyle w:val="Normal"/>
        <w:spacing w:lineRule="atLeast" w:line="240" w:before="0" w:after="0"/>
        <w:jc w:val="both"/>
        <w:rPr>
          <w:rFonts w:ascii="Arial" w:hAnsi="Arial" w:cs="Arial"/>
          <w:i/>
          <w:i/>
          <w:iCs/>
          <w:sz w:val="20"/>
          <w:szCs w:val="20"/>
        </w:rPr>
      </w:pPr>
      <w:r>
        <w:rPr>
          <w:rFonts w:cs="Arial" w:ascii="Arial" w:hAnsi="Arial"/>
          <w:i/>
          <w:iCs/>
          <w:sz w:val="20"/>
          <w:szCs w:val="20"/>
        </w:rPr>
      </w:r>
    </w:p>
    <w:p>
      <w:pPr>
        <w:pStyle w:val="Normal"/>
        <w:spacing w:lineRule="atLeast" w:line="240" w:before="0" w:after="0"/>
        <w:jc w:val="both"/>
        <w:rPr>
          <w:rFonts w:ascii="Arial" w:hAnsi="Arial" w:cs="Arial"/>
          <w:i/>
          <w:i/>
          <w:iCs/>
          <w:sz w:val="20"/>
          <w:szCs w:val="20"/>
        </w:rPr>
      </w:pPr>
      <w:r>
        <w:rPr/>
        <w:drawing>
          <wp:inline distT="0" distB="0" distL="0" distR="0">
            <wp:extent cx="5940425" cy="2826385"/>
            <wp:effectExtent l="0" t="0" r="0" b="0"/>
            <wp:docPr id="4"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
                    <pic:cNvPicPr>
                      <a:picLocks noChangeAspect="1" noChangeArrowheads="1"/>
                    </pic:cNvPicPr>
                  </pic:nvPicPr>
                  <pic:blipFill>
                    <a:blip r:embed="rId5"/>
                    <a:stretch>
                      <a:fillRect/>
                    </a:stretch>
                  </pic:blipFill>
                  <pic:spPr bwMode="auto">
                    <a:xfrm>
                      <a:off x="0" y="0"/>
                      <a:ext cx="5940425" cy="2826385"/>
                    </a:xfrm>
                    <a:prstGeom prst="rect">
                      <a:avLst/>
                    </a:prstGeom>
                  </pic:spPr>
                </pic:pic>
              </a:graphicData>
            </a:graphic>
          </wp:inline>
        </w:drawing>
      </w:r>
    </w:p>
    <w:p>
      <w:pPr>
        <w:pStyle w:val="Normal"/>
        <w:spacing w:lineRule="atLeast" w:line="240" w:before="0" w:after="0"/>
        <w:jc w:val="both"/>
        <w:rPr>
          <w:rFonts w:ascii="Arial" w:hAnsi="Arial" w:cs="Arial"/>
          <w:i/>
          <w:i/>
          <w:iCs/>
          <w:sz w:val="20"/>
          <w:szCs w:val="20"/>
        </w:rPr>
      </w:pPr>
      <w:r>
        <w:rPr>
          <w:rFonts w:cs="Arial" w:ascii="Arial" w:hAnsi="Arial"/>
          <w:i/>
          <w:iCs/>
          <w:sz w:val="20"/>
          <w:szCs w:val="20"/>
        </w:rPr>
        <w:t>Рис. 4. Различные этапы производства и тестирования панелей и модулей RO, а также новые прототипы.</w:t>
      </w:r>
    </w:p>
    <w:p>
      <w:pPr>
        <w:pStyle w:val="Normal"/>
        <w:spacing w:lineRule="atLeast" w:line="240" w:before="0" w:after="0"/>
        <w:jc w:val="both"/>
        <w:rPr/>
      </w:pPr>
      <w:r>
        <w:rPr/>
      </w:r>
    </w:p>
    <w:p>
      <w:pPr>
        <w:pStyle w:val="Normal"/>
        <w:spacing w:lineRule="atLeast" w:line="240" w:before="0" w:after="0"/>
        <w:ind w:firstLine="708"/>
        <w:jc w:val="both"/>
        <w:rPr/>
      </w:pPr>
      <w:r>
        <w:rPr/>
        <w:t>После производства и тестирования модули MM были отправлены в ЦЕРН, где они были протестированы, интегрированы в структуры NSW и введены в эксплуатацию группой ЛЯП ОИЯИ (рис. 5). В настоящее время модули MM успешно работают в мюонном спектрометре ATLAS. К маю 2024 года триггер MM был полностью интегрирован, достигнув эффективности &gt;95% во всех секторах NSW и еще больше снизив уровень ложных срабатываний. Частота ложных срабатываний триггера MM теперь находится на уровне ниже 1%.</w:t>
      </w:r>
    </w:p>
    <w:p>
      <w:pPr>
        <w:pStyle w:val="Normal"/>
        <w:spacing w:lineRule="atLeast" w:line="240" w:before="0" w:after="0"/>
        <w:jc w:val="both"/>
        <w:rPr/>
      </w:pPr>
      <w:r>
        <w:rPr/>
      </w:r>
    </w:p>
    <w:p>
      <w:pPr>
        <w:pStyle w:val="Normal"/>
        <w:spacing w:lineRule="atLeast" w:line="240" w:before="0" w:after="0"/>
        <w:jc w:val="center"/>
        <w:rPr/>
      </w:pPr>
      <w:r>
        <w:rPr/>
        <w:drawing>
          <wp:inline distT="0" distB="0" distL="0" distR="0">
            <wp:extent cx="3886200" cy="2124075"/>
            <wp:effectExtent l="0" t="0" r="0" b="0"/>
            <wp:docPr id="5" name="Pictu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
                    <pic:cNvPicPr>
                      <a:picLocks noChangeAspect="1" noChangeArrowheads="1"/>
                    </pic:cNvPicPr>
                  </pic:nvPicPr>
                  <pic:blipFill>
                    <a:blip r:embed="rId6"/>
                    <a:stretch>
                      <a:fillRect/>
                    </a:stretch>
                  </pic:blipFill>
                  <pic:spPr bwMode="auto">
                    <a:xfrm>
                      <a:off x="0" y="0"/>
                      <a:ext cx="3886200" cy="2124075"/>
                    </a:xfrm>
                    <a:prstGeom prst="rect">
                      <a:avLst/>
                    </a:prstGeom>
                  </pic:spPr>
                </pic:pic>
              </a:graphicData>
            </a:graphic>
          </wp:inline>
        </w:drawing>
      </w:r>
      <w:r>
        <w:rPr/>
        <w:t xml:space="preserve">  </w:t>
      </w:r>
      <w:r>
        <w:rPr/>
        <w:drawing>
          <wp:inline distT="0" distB="0" distL="0" distR="0">
            <wp:extent cx="1752600" cy="2112645"/>
            <wp:effectExtent l="0" t="0" r="0" b="0"/>
            <wp:docPr id="6" name="Pictur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
                    <pic:cNvPicPr>
                      <a:picLocks noChangeAspect="1" noChangeArrowheads="1"/>
                    </pic:cNvPicPr>
                  </pic:nvPicPr>
                  <pic:blipFill>
                    <a:blip r:embed="rId7"/>
                    <a:stretch>
                      <a:fillRect/>
                    </a:stretch>
                  </pic:blipFill>
                  <pic:spPr bwMode="auto">
                    <a:xfrm>
                      <a:off x="0" y="0"/>
                      <a:ext cx="1752600" cy="2112645"/>
                    </a:xfrm>
                    <a:prstGeom prst="rect">
                      <a:avLst/>
                    </a:prstGeom>
                  </pic:spPr>
                </pic:pic>
              </a:graphicData>
            </a:graphic>
          </wp:inline>
        </w:drawing>
      </w:r>
    </w:p>
    <w:p>
      <w:pPr>
        <w:pStyle w:val="Normal"/>
        <w:spacing w:lineRule="atLeast" w:line="240" w:before="0" w:after="0"/>
        <w:jc w:val="center"/>
        <w:rPr/>
      </w:pPr>
      <w:r>
        <w:rPr/>
      </w:r>
    </w:p>
    <w:p>
      <w:pPr>
        <w:pStyle w:val="Normal"/>
        <w:spacing w:lineRule="atLeast" w:line="240" w:before="0" w:after="0"/>
        <w:jc w:val="both"/>
        <w:rPr>
          <w:rFonts w:ascii="Arial" w:hAnsi="Arial" w:cs="Arial"/>
          <w:i/>
          <w:i/>
          <w:iCs/>
          <w:sz w:val="20"/>
          <w:szCs w:val="20"/>
        </w:rPr>
      </w:pPr>
      <w:r>
        <w:rPr>
          <w:rFonts w:cs="Arial" w:ascii="Arial" w:hAnsi="Arial"/>
          <w:i/>
          <w:iCs/>
          <w:sz w:val="20"/>
          <w:szCs w:val="20"/>
        </w:rPr>
        <w:t>Рис. 5. Члены команды ЛЯП ОИЯИ во время интеграции модулей LM1 и LM2 (зона BB5 в ЦЕРН) и перед полностью собранным колесом NSW.</w:t>
      </w:r>
    </w:p>
    <w:p>
      <w:pPr>
        <w:pStyle w:val="Normal"/>
        <w:spacing w:lineRule="atLeast" w:line="240" w:before="0" w:after="0"/>
        <w:jc w:val="both"/>
        <w:rPr/>
      </w:pPr>
      <w:r>
        <w:rPr/>
      </w:r>
    </w:p>
    <w:p>
      <w:pPr>
        <w:pStyle w:val="Normal"/>
        <w:spacing w:lineRule="atLeast" w:line="240" w:before="0" w:after="0"/>
        <w:ind w:firstLine="708"/>
        <w:jc w:val="both"/>
        <w:rPr/>
      </w:pPr>
      <w:r>
        <w:rPr>
          <w:b/>
          <w:bCs/>
        </w:rPr>
        <w:t>Таким образом, современная технология Micromegas была внедрена в ОИЯИ</w:t>
      </w:r>
      <w:r>
        <w:rPr/>
        <w:t>. В настоящее время две производственные линии для камер Micromegas используются для НИОКР ATLAS и предоставляют сотрудникам института возможность использовать камеры в различных физических экспериментах и прикладных исследованиях, включая эксперименты на комплексе NICA.</w:t>
      </w:r>
    </w:p>
    <w:p>
      <w:pPr>
        <w:pStyle w:val="Normal"/>
        <w:spacing w:lineRule="atLeast" w:line="240" w:before="0" w:after="0"/>
        <w:jc w:val="both"/>
        <w:rPr/>
      </w:pPr>
      <w:r>
        <w:rPr/>
      </w:r>
    </w:p>
    <w:p>
      <w:pPr>
        <w:pStyle w:val="Normal"/>
        <w:spacing w:lineRule="atLeast" w:line="240" w:before="0" w:after="0"/>
        <w:jc w:val="both"/>
        <w:rPr>
          <w:i/>
          <w:i/>
          <w:iCs/>
          <w:u w:val="single"/>
        </w:rPr>
      </w:pPr>
      <w:r>
        <w:rPr>
          <w:i/>
          <w:iCs/>
          <w:u w:val="single"/>
        </w:rPr>
        <w:t>Жидкоаргоновые калориметры (фаза 1)</w:t>
      </w:r>
    </w:p>
    <w:p>
      <w:pPr>
        <w:pStyle w:val="Normal"/>
        <w:spacing w:lineRule="atLeast" w:line="240" w:before="0" w:after="0"/>
        <w:ind w:firstLine="708"/>
        <w:jc w:val="both"/>
        <w:rPr/>
      </w:pPr>
      <w:r>
        <w:rPr/>
        <w:t>Содержание проекта модернизации LAr Phase-I составило проектирование, изготовление и установка новой триггерной электроники считывания. Целью этой модернизации было предоставление более высокой гранулярности, разрешения и информации о продольном профиле ливня от калориметра к триггерным процессорам уровня 1. Десятикратное увеличение гранулярности улучшило энергетическое разрешение триггера и эффективность отбора электронов, фотонов, τ-лептонов, струй и недостающего поперечного импульса, одновременно улучшив дискриминацию фонов и ложных сигналов в условиях высокой мгновенной светимости.</w:t>
      </w:r>
    </w:p>
    <w:p>
      <w:pPr>
        <w:pStyle w:val="Normal"/>
        <w:spacing w:lineRule="atLeast" w:line="240" w:before="0" w:after="0"/>
        <w:ind w:firstLine="708"/>
        <w:jc w:val="both"/>
        <w:rPr/>
      </w:pPr>
      <w:r>
        <w:rPr/>
        <w:t>Модернизация ветви триггера системы LAr начинается с сигнала, который вырабатывается линейным смесителем во входной электронике, как показано на блок-схеме на рис. 6. Этот сигнал отправляется по базовой плате на новую плату оцифровки триггера LAr (LTDB), где он подвергается оцифровке.</w:t>
      </w:r>
    </w:p>
    <w:p>
      <w:pPr>
        <w:pStyle w:val="Normal"/>
        <w:spacing w:lineRule="atLeast" w:line="240" w:before="0" w:after="0"/>
        <w:jc w:val="both"/>
        <w:rPr/>
      </w:pPr>
      <w:r>
        <w:rPr/>
        <w:drawing>
          <wp:inline distT="0" distB="0" distL="0" distR="0">
            <wp:extent cx="6285230" cy="4145915"/>
            <wp:effectExtent l="0" t="0" r="0" b="0"/>
            <wp:docPr id="7"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
                    <pic:cNvPicPr>
                      <a:picLocks noChangeAspect="1" noChangeArrowheads="1"/>
                    </pic:cNvPicPr>
                  </pic:nvPicPr>
                  <pic:blipFill>
                    <a:blip r:embed="rId8"/>
                    <a:stretch>
                      <a:fillRect/>
                    </a:stretch>
                  </pic:blipFill>
                  <pic:spPr bwMode="auto">
                    <a:xfrm>
                      <a:off x="0" y="0"/>
                      <a:ext cx="6285230" cy="4145915"/>
                    </a:xfrm>
                    <a:prstGeom prst="rect">
                      <a:avLst/>
                    </a:prstGeom>
                  </pic:spPr>
                </pic:pic>
              </a:graphicData>
            </a:graphic>
          </wp:inline>
        </w:drawing>
      </w:r>
    </w:p>
    <w:p>
      <w:pPr>
        <w:pStyle w:val="Normal"/>
        <w:spacing w:lineRule="atLeast" w:line="240" w:before="0" w:after="0"/>
        <w:jc w:val="both"/>
        <w:rPr>
          <w:rFonts w:ascii="Arial" w:hAnsi="Arial" w:cs="Arial"/>
          <w:i/>
          <w:i/>
          <w:iCs/>
          <w:sz w:val="20"/>
          <w:szCs w:val="20"/>
        </w:rPr>
      </w:pPr>
      <w:r>
        <w:rPr>
          <w:rFonts w:cs="Arial" w:ascii="Arial" w:hAnsi="Arial"/>
          <w:i/>
          <w:iCs/>
          <w:sz w:val="20"/>
          <w:szCs w:val="20"/>
        </w:rPr>
        <w:t>Рис. 6. Принципиальная блок-схема архитектуры считывания триггера LAr для фазы I. Новые компоненты обозначены красными контурами и стрелками</w:t>
      </w:r>
    </w:p>
    <w:p>
      <w:pPr>
        <w:pStyle w:val="Normal"/>
        <w:spacing w:lineRule="atLeast" w:line="240" w:before="0" w:after="0"/>
        <w:jc w:val="both"/>
        <w:rPr/>
      </w:pPr>
      <w:r>
        <w:rPr/>
      </w:r>
    </w:p>
    <w:p>
      <w:pPr>
        <w:pStyle w:val="Normal"/>
        <w:spacing w:lineRule="atLeast" w:line="240" w:before="0" w:after="0"/>
        <w:ind w:firstLine="708"/>
        <w:jc w:val="both"/>
        <w:rPr/>
      </w:pPr>
      <w:r>
        <w:rPr/>
        <w:t>Базовая плата для крейта FE-электроники адронного калориметра - Hadronic Endcap Calorimeter (HEC) - была разработана командой ОИЯИ и изготовлена совместно с коллегами из TRIUMF (Канада). Мы также предложили конструкцию прототипа предварительного формирователя LTDB, он был изготовлен и успешно испытан (рис. 7).</w:t>
      </w:r>
    </w:p>
    <w:p>
      <w:pPr>
        <w:pStyle w:val="Normal"/>
        <w:spacing w:lineRule="atLeast" w:line="240" w:before="0" w:after="0"/>
        <w:jc w:val="both"/>
        <w:rPr/>
      </w:pPr>
      <w:r>
        <w:rPr/>
      </w:r>
    </w:p>
    <w:p>
      <w:pPr>
        <w:pStyle w:val="Normal"/>
        <w:spacing w:lineRule="atLeast" w:line="240" w:before="0" w:after="0"/>
        <w:jc w:val="center"/>
        <w:rPr/>
      </w:pPr>
      <w:r>
        <w:rPr/>
        <w:t xml:space="preserve">     </w:t>
      </w:r>
      <w:r>
        <w:rPr/>
        <w:drawing>
          <wp:inline distT="0" distB="0" distL="0" distR="0">
            <wp:extent cx="2042160" cy="774065"/>
            <wp:effectExtent l="0" t="0" r="0" b="0"/>
            <wp:docPr id="8" name="Pictur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
                    <pic:cNvPicPr>
                      <a:picLocks noChangeAspect="1" noChangeArrowheads="1"/>
                    </pic:cNvPicPr>
                  </pic:nvPicPr>
                  <pic:blipFill>
                    <a:blip r:embed="rId9"/>
                    <a:stretch>
                      <a:fillRect/>
                    </a:stretch>
                  </pic:blipFill>
                  <pic:spPr bwMode="auto">
                    <a:xfrm>
                      <a:off x="0" y="0"/>
                      <a:ext cx="2042160" cy="774065"/>
                    </a:xfrm>
                    <a:prstGeom prst="rect">
                      <a:avLst/>
                    </a:prstGeom>
                  </pic:spPr>
                </pic:pic>
              </a:graphicData>
            </a:graphic>
          </wp:inline>
        </w:drawing>
      </w:r>
      <w:r>
        <w:rPr/>
        <w:t xml:space="preserve">    </w:t>
      </w:r>
      <w:r>
        <w:rPr/>
        <w:drawing>
          <wp:inline distT="0" distB="0" distL="0" distR="0">
            <wp:extent cx="1918970" cy="808355"/>
            <wp:effectExtent l="0" t="0" r="0" b="0"/>
            <wp:docPr id="9" name="Pictur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
                    <pic:cNvPicPr>
                      <a:picLocks noChangeAspect="1" noChangeArrowheads="1"/>
                    </pic:cNvPicPr>
                  </pic:nvPicPr>
                  <pic:blipFill>
                    <a:blip r:embed="rId10"/>
                    <a:stretch>
                      <a:fillRect/>
                    </a:stretch>
                  </pic:blipFill>
                  <pic:spPr bwMode="auto">
                    <a:xfrm>
                      <a:off x="0" y="0"/>
                      <a:ext cx="1918970" cy="808355"/>
                    </a:xfrm>
                    <a:prstGeom prst="rect">
                      <a:avLst/>
                    </a:prstGeom>
                  </pic:spPr>
                </pic:pic>
              </a:graphicData>
            </a:graphic>
          </wp:inline>
        </w:drawing>
      </w:r>
    </w:p>
    <w:p>
      <w:pPr>
        <w:pStyle w:val="Normal"/>
        <w:spacing w:lineRule="atLeast" w:line="240" w:before="0" w:after="0"/>
        <w:jc w:val="both"/>
        <w:rPr>
          <w:rFonts w:ascii="Arial" w:hAnsi="Arial" w:cs="Arial"/>
          <w:i/>
          <w:i/>
          <w:iCs/>
          <w:sz w:val="20"/>
          <w:szCs w:val="20"/>
        </w:rPr>
      </w:pPr>
      <w:r>
        <w:rPr>
          <w:rFonts w:cs="Arial" w:ascii="Arial" w:hAnsi="Arial"/>
          <w:i/>
          <w:iCs/>
          <w:sz w:val="20"/>
          <w:szCs w:val="20"/>
        </w:rPr>
        <w:t>Рис. 7. Базовая плата и тестовая плата прототипа предварительного формирователя для LTDB.</w:t>
      </w:r>
    </w:p>
    <w:p>
      <w:pPr>
        <w:pStyle w:val="Normal"/>
        <w:spacing w:lineRule="atLeast" w:line="240" w:before="0" w:after="0"/>
        <w:jc w:val="both"/>
        <w:rPr/>
      </w:pPr>
      <w:r>
        <w:rPr/>
      </w:r>
    </w:p>
    <w:p>
      <w:pPr>
        <w:pStyle w:val="Normal"/>
        <w:spacing w:lineRule="atLeast" w:line="240" w:before="0" w:after="0"/>
        <w:ind w:firstLine="708"/>
        <w:jc w:val="both"/>
        <w:rPr/>
      </w:pPr>
      <w:r>
        <w:rPr/>
        <w:t>Серия радиационных испытаний плат считывания и кабелей калориметра LAr была проведена на канале облучения 3 реактора ИБР-2. Группа ОИЯИ принимала участие в сеансах с тестовым пучком на SPS CERN для изучения эффектов пространственного заряда с минимодулями переднего калориметра FCal.</w:t>
      </w:r>
    </w:p>
    <w:p>
      <w:pPr>
        <w:pStyle w:val="Normal"/>
        <w:spacing w:lineRule="atLeast" w:line="240" w:before="0" w:after="0"/>
        <w:jc w:val="both"/>
        <w:rPr/>
      </w:pPr>
      <w:r>
        <w:rPr/>
      </w:r>
    </w:p>
    <w:p>
      <w:pPr>
        <w:pStyle w:val="Normal"/>
        <w:spacing w:lineRule="atLeast" w:line="240" w:before="0" w:after="0"/>
        <w:jc w:val="both"/>
        <w:rPr>
          <w:b/>
          <w:bCs/>
          <w:i/>
          <w:i/>
          <w:iCs/>
        </w:rPr>
      </w:pPr>
      <w:r>
        <w:rPr>
          <w:b/>
          <w:bCs/>
          <w:i/>
          <w:iCs/>
        </w:rPr>
        <w:t>Фаза 2 модернизации детектора ATLAS</w:t>
      </w:r>
    </w:p>
    <w:p>
      <w:pPr>
        <w:pStyle w:val="Normal"/>
        <w:spacing w:lineRule="atLeast" w:line="240" w:before="0" w:after="0"/>
        <w:jc w:val="both"/>
        <w:rPr/>
      </w:pPr>
      <w:r>
        <w:rPr/>
      </w:r>
    </w:p>
    <w:p>
      <w:pPr>
        <w:pStyle w:val="Normal"/>
        <w:spacing w:lineRule="atLeast" w:line="240" w:before="0" w:after="0"/>
        <w:ind w:firstLine="708"/>
        <w:jc w:val="both"/>
        <w:rPr/>
      </w:pPr>
      <w:r>
        <w:rPr/>
        <w:t>Чтобы в полной мере использовать потенциал открытий HL-LHC, коллаборация ATLAS предложила программу модернизации детектора ATLAS, состоящую из модификаций и замен существующих подсистем, а также новых дополнений к детектору [CERN-LHCC-2015-020].</w:t>
      </w:r>
    </w:p>
    <w:p>
      <w:pPr>
        <w:pStyle w:val="Normal"/>
        <w:spacing w:lineRule="atLeast" w:line="240" w:before="0" w:after="0"/>
        <w:ind w:firstLine="708"/>
        <w:jc w:val="both"/>
        <w:rPr/>
      </w:pPr>
      <w:r>
        <w:rPr/>
        <w:t>Для работы установки в жестких условиях в HL-LHC, сотрудничество ATLAS модернизирует свои детекторы с помощью самых современных приборов и технологий. Эти новые детекторы должны выдерживать гораздо более суровые условия с высокой радиацией, высокой скоростью передачи данных, большими размерами событий и высокой загрузкой до 200 протон-протонных взаимодействий на пересечение протонных пучков. Ключевые улучшения включают изменения в системе триггера и сбора данных, совершенно новый полностью кремниевый внутренний трекер, новый кремниевый временнóй детектор, а также модернизацию электроники калориметра, дополнительных мюонных камер и электроники, и передних детекторов, как показано на рис. 8.</w:t>
      </w:r>
    </w:p>
    <w:p>
      <w:pPr>
        <w:pStyle w:val="Normal"/>
        <w:spacing w:lineRule="atLeast" w:line="240" w:before="0" w:after="0"/>
        <w:jc w:val="center"/>
        <w:rPr/>
      </w:pPr>
      <w:r>
        <w:rPr/>
        <w:drawing>
          <wp:inline distT="0" distB="0" distL="0" distR="0">
            <wp:extent cx="6291580" cy="2999740"/>
            <wp:effectExtent l="0" t="0" r="0" b="0"/>
            <wp:docPr id="10" name="Pictur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
                    <pic:cNvPicPr>
                      <a:picLocks noChangeAspect="1" noChangeArrowheads="1"/>
                    </pic:cNvPicPr>
                  </pic:nvPicPr>
                  <pic:blipFill>
                    <a:blip r:embed="rId11"/>
                    <a:stretch>
                      <a:fillRect/>
                    </a:stretch>
                  </pic:blipFill>
                  <pic:spPr bwMode="auto">
                    <a:xfrm>
                      <a:off x="0" y="0"/>
                      <a:ext cx="6291580" cy="2999740"/>
                    </a:xfrm>
                    <a:prstGeom prst="rect">
                      <a:avLst/>
                    </a:prstGeom>
                  </pic:spPr>
                </pic:pic>
              </a:graphicData>
            </a:graphic>
          </wp:inline>
        </w:drawing>
      </w:r>
    </w:p>
    <w:p>
      <w:pPr>
        <w:pStyle w:val="Normal"/>
        <w:spacing w:lineRule="atLeast" w:line="240" w:before="0" w:after="0"/>
        <w:jc w:val="both"/>
        <w:rPr>
          <w:rFonts w:ascii="Arial" w:hAnsi="Arial" w:cs="Arial"/>
          <w:i/>
          <w:i/>
          <w:iCs/>
          <w:sz w:val="20"/>
          <w:szCs w:val="20"/>
        </w:rPr>
      </w:pPr>
      <w:r>
        <w:rPr>
          <w:rFonts w:cs="Arial" w:ascii="Arial" w:hAnsi="Arial"/>
          <w:i/>
          <w:iCs/>
          <w:sz w:val="20"/>
          <w:szCs w:val="20"/>
        </w:rPr>
        <w:t>Рис. 8. Схема основных обновлений детектора ATLAS для эпохи HL-LHC, включая обновления триггера и сбора данных (DAQ) с увеличенной скоростью считывания, новый полностью кремниевый внутренний трекер (ITk), новый высокогранулягный временнóй детектор (HGTD), обновления электроники калориметра, новые мюонные камеры и электроника с улучшенным покрытием, а также новые и модернизированные передние детекторы и детекторы светимости [JINST 19 (2023) P05063].</w:t>
      </w:r>
    </w:p>
    <w:p>
      <w:pPr>
        <w:pStyle w:val="Normal"/>
        <w:spacing w:lineRule="atLeast" w:line="240" w:before="0" w:after="0"/>
        <w:jc w:val="both"/>
        <w:rPr/>
      </w:pPr>
      <w:r>
        <w:rPr/>
      </w:r>
    </w:p>
    <w:p>
      <w:pPr>
        <w:pStyle w:val="Normal"/>
        <w:spacing w:lineRule="atLeast" w:line="240" w:before="0" w:after="0"/>
        <w:ind w:firstLine="708"/>
        <w:jc w:val="both"/>
        <w:rPr/>
      </w:pPr>
      <w:r>
        <w:rPr/>
        <w:t>В 2019 году ОИЯИ подписал Меморандумы о взаимопонимании по сотрудничеству в модернизации детектора ATLAS (Модернизация фазы 2), которые определяют обязательства группы ОИЯИ по участию в модернизации мюонного спектрометра, жидкоаргонового калориметра и строительстве HGTD. Кроме того, предусмотрены закупки деталей и аппаратных компонентов для этих субдетекторов, а также для системы TDAQ. Общая стоимость CORE</w:t>
      </w:r>
      <w:r>
        <w:rPr>
          <w:rStyle w:val="FootnoteReference"/>
        </w:rPr>
        <w:footnoteReference w:id="2"/>
      </w:r>
      <w:r>
        <w:rPr/>
        <w:t xml:space="preserve"> всех позиций составляет около 2,7 млн шв. франков. Эти расходы предусмотрены в Семилетнем плане развития ОИЯИ (2024-2030). Наша цель - максимально увеличить «натуральный» (in-kind) вклад ОИЯИ.</w:t>
      </w:r>
    </w:p>
    <w:p>
      <w:pPr>
        <w:pStyle w:val="Normal"/>
        <w:spacing w:lineRule="atLeast" w:line="240" w:before="0" w:after="0"/>
        <w:jc w:val="both"/>
        <w:rPr/>
      </w:pPr>
      <w:r>
        <w:rPr/>
      </w:r>
    </w:p>
    <w:p>
      <w:pPr>
        <w:pStyle w:val="Normal"/>
        <w:spacing w:lineRule="atLeast" w:line="240" w:before="0" w:after="0"/>
        <w:jc w:val="both"/>
        <w:rPr>
          <w:i/>
          <w:i/>
          <w:iCs/>
          <w:u w:val="single"/>
        </w:rPr>
      </w:pPr>
      <w:r>
        <w:rPr>
          <w:i/>
          <w:iCs/>
          <w:u w:val="single"/>
        </w:rPr>
        <w:t>Резистивные плоские камеры (RPC) для мюонного спектрометра (фаза 2)</w:t>
      </w:r>
    </w:p>
    <w:p>
      <w:pPr>
        <w:pStyle w:val="Normal"/>
        <w:spacing w:lineRule="atLeast" w:line="240" w:before="0" w:after="0"/>
        <w:ind w:firstLine="360"/>
        <w:jc w:val="both"/>
        <w:rPr/>
      </w:pPr>
      <w:r>
        <w:rPr/>
        <w:t>В соответствии с Меморандумом о взаимопонимании по модернизации фазы 2 ATLAS группа ЛЯП ATLAS участвует в разработке и производстве новых резистивных плоских камер (RPC) для мюонного спектрометра ATLAS. Это включает в себя, в частности:</w:t>
      </w:r>
    </w:p>
    <w:p>
      <w:pPr>
        <w:pStyle w:val="ListParagraph"/>
        <w:numPr>
          <w:ilvl w:val="0"/>
          <w:numId w:val="8"/>
        </w:numPr>
        <w:spacing w:lineRule="atLeast" w:line="240" w:before="0" w:after="0"/>
        <w:contextualSpacing/>
        <w:jc w:val="both"/>
        <w:rPr/>
      </w:pPr>
      <w:r>
        <w:rPr/>
        <w:t>Сборку и тестирование RPC синглетов;</w:t>
      </w:r>
    </w:p>
    <w:p>
      <w:pPr>
        <w:pStyle w:val="ListParagraph"/>
        <w:numPr>
          <w:ilvl w:val="0"/>
          <w:numId w:val="8"/>
        </w:numPr>
        <w:spacing w:lineRule="atLeast" w:line="240" w:before="0" w:after="0"/>
        <w:contextualSpacing/>
        <w:jc w:val="both"/>
        <w:rPr/>
      </w:pPr>
      <w:r>
        <w:rPr/>
        <w:t>Производство и тестирование стриповых панелей;</w:t>
      </w:r>
    </w:p>
    <w:p>
      <w:pPr>
        <w:pStyle w:val="ListParagraph"/>
        <w:numPr>
          <w:ilvl w:val="0"/>
          <w:numId w:val="8"/>
        </w:numPr>
        <w:spacing w:lineRule="atLeast" w:line="240" w:before="0" w:after="0"/>
        <w:contextualSpacing/>
        <w:jc w:val="both"/>
        <w:rPr/>
      </w:pPr>
      <w:r>
        <w:rPr/>
        <w:t>Проектирование, производство, монтаж газовой системы;</w:t>
      </w:r>
    </w:p>
    <w:p>
      <w:pPr>
        <w:pStyle w:val="ListParagraph"/>
        <w:numPr>
          <w:ilvl w:val="0"/>
          <w:numId w:val="8"/>
        </w:numPr>
        <w:spacing w:lineRule="atLeast" w:line="240" w:before="0" w:after="0"/>
        <w:contextualSpacing/>
        <w:jc w:val="both"/>
        <w:rPr/>
      </w:pPr>
      <w:r>
        <w:rPr/>
        <w:t>Проектирование, производство и монтаж распределения электропитания;</w:t>
      </w:r>
    </w:p>
    <w:p>
      <w:pPr>
        <w:pStyle w:val="ListParagraph"/>
        <w:numPr>
          <w:ilvl w:val="0"/>
          <w:numId w:val="8"/>
        </w:numPr>
        <w:spacing w:lineRule="atLeast" w:line="240" w:before="0" w:after="0"/>
        <w:contextualSpacing/>
        <w:jc w:val="both"/>
        <w:rPr/>
      </w:pPr>
      <w:r>
        <w:rPr/>
        <w:t>Ввод детекторов в эксплуатацию на поверхности, монтаж в шахте и окончательный ввод в эксплуатацию.</w:t>
      </w:r>
    </w:p>
    <w:p>
      <w:pPr>
        <w:pStyle w:val="Normal"/>
        <w:spacing w:lineRule="atLeast" w:line="240" w:before="0" w:after="0"/>
        <w:ind w:firstLine="360"/>
        <w:jc w:val="both"/>
        <w:rPr/>
      </w:pPr>
      <w:r>
        <w:rPr/>
        <w:t>Работающая система ATLAS Resistive Plate Chamber (RPC) представляет собой триггер первого уровня в центральной части ATLAS. Она состоит из 6 концентрических цилиндрических слоев, обеспечивающих независимые измерения пространства-времени вдоль дорожки с разрешением 1 нс × 1 см. Для программы HL-LHC эта система подвергнется серьезной модернизации, которая будет заключаться в установке трех дополнительных слоев RPC следующего поколения с полным покрытием во внутренней области центральной части. Эта модернизация увеличит аксептанс триггера (с 78% до 92% и до 96% за счет требования соответствия внутренних и внешних слоев) и улучшит временнóе разрешение для измерений времени пролета (0,4 нс для новых тонкозазорных RPC и 1,1 нс для старых RPC). Новые тонкозазорные (1 мм) RPC займут площадь 472 м</w:t>
      </w:r>
      <w:r>
        <w:rPr>
          <w:vertAlign w:val="superscript"/>
        </w:rPr>
        <w:t>2</w:t>
      </w:r>
      <w:r>
        <w:rPr/>
        <w:t xml:space="preserve"> и будут организованы в 306 триплетов. Синглет (рис. 9) представляет собой сборку газового объема, заключенного между двумя считывающими панелями с полосами, параллельными длинной стороне камеры. В свою очередь, газовый объем резистивной плоской камеры состоит из газового зазора, заключенного между двумя пластинами из ламината высокого давления (HPL). На внешнюю поверхность каждой пластины HPL нанесен слой графита. Общая толщина газового объема составляет приблизительно 4,5 мм.</w:t>
      </w:r>
    </w:p>
    <w:p>
      <w:pPr>
        <w:pStyle w:val="Normal"/>
        <w:spacing w:lineRule="atLeast" w:line="240" w:before="0" w:after="0"/>
        <w:jc w:val="center"/>
        <w:rPr/>
      </w:pPr>
      <w:r>
        <w:rPr/>
        <w:drawing>
          <wp:inline distT="0" distB="0" distL="0" distR="0">
            <wp:extent cx="5663565" cy="1713230"/>
            <wp:effectExtent l="0" t="0" r="0" b="0"/>
            <wp:docPr id="11" name="Pictur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
                    <pic:cNvPicPr>
                      <a:picLocks noChangeAspect="1" noChangeArrowheads="1"/>
                    </pic:cNvPicPr>
                  </pic:nvPicPr>
                  <pic:blipFill>
                    <a:blip r:embed="rId12"/>
                    <a:stretch>
                      <a:fillRect/>
                    </a:stretch>
                  </pic:blipFill>
                  <pic:spPr bwMode="auto">
                    <a:xfrm>
                      <a:off x="0" y="0"/>
                      <a:ext cx="5663565" cy="1713230"/>
                    </a:xfrm>
                    <a:prstGeom prst="rect">
                      <a:avLst/>
                    </a:prstGeom>
                  </pic:spPr>
                </pic:pic>
              </a:graphicData>
            </a:graphic>
          </wp:inline>
        </w:drawing>
      </w:r>
    </w:p>
    <w:p>
      <w:pPr>
        <w:pStyle w:val="Normal"/>
        <w:spacing w:lineRule="atLeast" w:line="240" w:before="0" w:after="0"/>
        <w:jc w:val="both"/>
        <w:rPr>
          <w:rFonts w:ascii="Arial" w:hAnsi="Arial" w:cs="Arial"/>
          <w:i/>
          <w:i/>
          <w:iCs/>
          <w:sz w:val="20"/>
          <w:szCs w:val="20"/>
        </w:rPr>
      </w:pPr>
      <w:r>
        <w:rPr>
          <w:rFonts w:cs="Arial" w:ascii="Arial" w:hAnsi="Arial"/>
          <w:i/>
          <w:iCs/>
          <w:sz w:val="20"/>
          <w:szCs w:val="20"/>
        </w:rPr>
        <w:t>Рис. 9. Схематический вид RPC синглета.</w:t>
      </w:r>
    </w:p>
    <w:p>
      <w:pPr>
        <w:pStyle w:val="Normal"/>
        <w:spacing w:lineRule="atLeast" w:line="240" w:before="0" w:after="0"/>
        <w:jc w:val="both"/>
        <w:rPr/>
      </w:pPr>
      <w:r>
        <w:rPr/>
      </w:r>
    </w:p>
    <w:p>
      <w:pPr>
        <w:pStyle w:val="Normal"/>
        <w:spacing w:lineRule="atLeast" w:line="240" w:before="0" w:after="0"/>
        <w:ind w:firstLine="708"/>
        <w:jc w:val="both"/>
        <w:rPr/>
      </w:pPr>
      <w:r>
        <w:rPr/>
        <w:t>Производственная зона NSW LM2 Micromegas (Phase 1) была адаптирована для производства панелей считывания BI RPC. Для производства используется технология двух вакуумных столов. Эта технология позволяет склеивать обе стороны панелей за один проход, а толщина панели не зависит от изменения толщины материала (печатная плата + соты) (рис. 10).</w:t>
      </w:r>
    </w:p>
    <w:p>
      <w:pPr>
        <w:pStyle w:val="Normal"/>
        <w:spacing w:lineRule="atLeast" w:line="240" w:before="0" w:after="0"/>
        <w:jc w:val="center"/>
        <w:rPr/>
      </w:pPr>
      <w:r>
        <w:rPr/>
        <w:drawing>
          <wp:inline distT="0" distB="0" distL="0" distR="0">
            <wp:extent cx="2286000" cy="2670175"/>
            <wp:effectExtent l="0" t="0" r="0" b="0"/>
            <wp:docPr id="12" name="Pictur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
                    <pic:cNvPicPr>
                      <a:picLocks noChangeAspect="1" noChangeArrowheads="1"/>
                    </pic:cNvPicPr>
                  </pic:nvPicPr>
                  <pic:blipFill>
                    <a:blip r:embed="rId13"/>
                    <a:stretch>
                      <a:fillRect/>
                    </a:stretch>
                  </pic:blipFill>
                  <pic:spPr bwMode="auto">
                    <a:xfrm>
                      <a:off x="0" y="0"/>
                      <a:ext cx="2286000" cy="2670175"/>
                    </a:xfrm>
                    <a:prstGeom prst="rect">
                      <a:avLst/>
                    </a:prstGeom>
                  </pic:spPr>
                </pic:pic>
              </a:graphicData>
            </a:graphic>
          </wp:inline>
        </w:drawing>
      </w:r>
      <w:r>
        <w:rPr/>
        <w:drawing>
          <wp:inline distT="0" distB="0" distL="0" distR="0">
            <wp:extent cx="2200910" cy="2664460"/>
            <wp:effectExtent l="0" t="0" r="0" b="0"/>
            <wp:docPr id="13" name="Pictur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
                    <pic:cNvPicPr>
                      <a:picLocks noChangeAspect="1" noChangeArrowheads="1"/>
                    </pic:cNvPicPr>
                  </pic:nvPicPr>
                  <pic:blipFill>
                    <a:blip r:embed="rId14"/>
                    <a:stretch>
                      <a:fillRect/>
                    </a:stretch>
                  </pic:blipFill>
                  <pic:spPr bwMode="auto">
                    <a:xfrm>
                      <a:off x="0" y="0"/>
                      <a:ext cx="2200910" cy="2664460"/>
                    </a:xfrm>
                    <a:prstGeom prst="rect">
                      <a:avLst/>
                    </a:prstGeom>
                  </pic:spPr>
                </pic:pic>
              </a:graphicData>
            </a:graphic>
          </wp:inline>
        </w:drawing>
      </w:r>
    </w:p>
    <w:p>
      <w:pPr>
        <w:pStyle w:val="Normal"/>
        <w:spacing w:lineRule="atLeast" w:line="240" w:before="0" w:after="0"/>
        <w:jc w:val="both"/>
        <w:rPr/>
      </w:pPr>
      <w:r>
        <w:rPr/>
      </w:r>
    </w:p>
    <w:p>
      <w:pPr>
        <w:pStyle w:val="Normal"/>
        <w:spacing w:lineRule="atLeast" w:line="240" w:before="0" w:after="0"/>
        <w:jc w:val="both"/>
        <w:rPr>
          <w:rFonts w:ascii="Arial" w:hAnsi="Arial" w:cs="Arial"/>
          <w:i/>
          <w:i/>
          <w:iCs/>
          <w:sz w:val="20"/>
          <w:szCs w:val="20"/>
        </w:rPr>
      </w:pPr>
      <w:r>
        <w:rPr>
          <w:rFonts w:cs="Arial" w:ascii="Arial" w:hAnsi="Arial"/>
          <w:i/>
          <w:iCs/>
          <w:sz w:val="20"/>
          <w:szCs w:val="20"/>
        </w:rPr>
        <w:t>Рис. 10. Технологические этапы процесса производства панелей RPC</w:t>
      </w:r>
    </w:p>
    <w:p>
      <w:pPr>
        <w:pStyle w:val="Normal"/>
        <w:spacing w:lineRule="atLeast" w:line="240" w:before="0" w:after="0"/>
        <w:jc w:val="both"/>
        <w:rPr/>
      </w:pPr>
      <w:r>
        <w:rPr/>
      </w:r>
    </w:p>
    <w:p>
      <w:pPr>
        <w:pStyle w:val="Normal"/>
        <w:spacing w:lineRule="atLeast" w:line="240" w:before="0" w:after="0"/>
        <w:ind w:firstLine="708"/>
        <w:jc w:val="both"/>
        <w:rPr/>
      </w:pPr>
      <w:r>
        <w:rPr/>
        <w:t>Были изготовлены и проверены на геометрические характеристики три тестовые панели типа BIL. Испытания показали высокое качество изготовления (рис. 11). Все изготовленные панели с большим запасом удовлетворяют требованиям. Кроме того, трехосевой линейный модуль с измерительным оптическим зондом позволил измерить абсолютные размеры панели и полос на ней и подтвердил высокое качество.</w:t>
      </w:r>
    </w:p>
    <w:p>
      <w:pPr>
        <w:pStyle w:val="Normal"/>
        <w:spacing w:lineRule="atLeast" w:line="240" w:before="0" w:after="0"/>
        <w:jc w:val="center"/>
        <w:rPr/>
      </w:pPr>
      <w:r>
        <w:rPr/>
        <w:drawing>
          <wp:inline distT="0" distB="0" distL="0" distR="0">
            <wp:extent cx="5688330" cy="4511675"/>
            <wp:effectExtent l="0" t="0" r="0" b="0"/>
            <wp:docPr id="14" name="Picture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
                    <pic:cNvPicPr>
                      <a:picLocks noChangeAspect="1" noChangeArrowheads="1"/>
                    </pic:cNvPicPr>
                  </pic:nvPicPr>
                  <pic:blipFill>
                    <a:blip r:embed="rId15"/>
                    <a:stretch>
                      <a:fillRect/>
                    </a:stretch>
                  </pic:blipFill>
                  <pic:spPr bwMode="auto">
                    <a:xfrm>
                      <a:off x="0" y="0"/>
                      <a:ext cx="5688330" cy="4511675"/>
                    </a:xfrm>
                    <a:prstGeom prst="rect">
                      <a:avLst/>
                    </a:prstGeom>
                  </pic:spPr>
                </pic:pic>
              </a:graphicData>
            </a:graphic>
          </wp:inline>
        </w:drawing>
      </w:r>
    </w:p>
    <w:p>
      <w:pPr>
        <w:pStyle w:val="Normal"/>
        <w:spacing w:lineRule="atLeast" w:line="240" w:before="0" w:after="0"/>
        <w:jc w:val="both"/>
        <w:rPr>
          <w:rFonts w:ascii="Arial" w:hAnsi="Arial" w:cs="Arial"/>
          <w:i/>
          <w:i/>
          <w:iCs/>
          <w:sz w:val="20"/>
          <w:szCs w:val="20"/>
        </w:rPr>
      </w:pPr>
      <w:r>
        <w:rPr>
          <w:rFonts w:cs="Arial" w:ascii="Arial" w:hAnsi="Arial"/>
          <w:i/>
          <w:iCs/>
          <w:sz w:val="20"/>
          <w:szCs w:val="20"/>
        </w:rPr>
        <w:t>Рис. 11. Результаты измерения геометрических характеристик панелей.</w:t>
      </w:r>
    </w:p>
    <w:p>
      <w:pPr>
        <w:pStyle w:val="Normal"/>
        <w:spacing w:lineRule="atLeast" w:line="240" w:before="0" w:after="0"/>
        <w:jc w:val="both"/>
        <w:rPr/>
      </w:pPr>
      <w:r>
        <w:rPr/>
      </w:r>
    </w:p>
    <w:p>
      <w:pPr>
        <w:pStyle w:val="Normal"/>
        <w:spacing w:lineRule="atLeast" w:line="240" w:before="0" w:after="0"/>
        <w:ind w:firstLine="708"/>
        <w:jc w:val="both"/>
        <w:rPr/>
      </w:pPr>
      <w:r>
        <w:rPr/>
        <w:t>Пока реализация производства RPC в ОИЯИ остается неопределенной, в ЛЯП ОИЯИ создана первая в России и Восточной Европе площадка полного цикла производства по разработке и тестированию современных газовых высокоточных детекторов на основе Micromegas технологии – Micromegas Micro Pattern Gas Detectors (MPGD). Она дает возможность проводить новые разработки, изготавливать и тестировать прототипы и малые партии детекторов, а также эффективно участвовать в реализации крупных физических экспериментов, таких как проект AMBER на SPS в ЦЕРНе, эксперименты MPD и SPD на ускорительном комплексе NICA.</w:t>
      </w:r>
    </w:p>
    <w:p>
      <w:pPr>
        <w:pStyle w:val="Normal"/>
        <w:spacing w:lineRule="atLeast" w:line="240" w:before="0" w:after="0"/>
        <w:jc w:val="both"/>
        <w:rPr/>
      </w:pPr>
      <w:r>
        <w:rPr/>
      </w:r>
    </w:p>
    <w:p>
      <w:pPr>
        <w:pStyle w:val="Normal"/>
        <w:spacing w:lineRule="atLeast" w:line="240" w:before="0" w:after="0"/>
        <w:jc w:val="both"/>
        <w:rPr>
          <w:i/>
          <w:i/>
          <w:iCs/>
          <w:u w:val="single"/>
        </w:rPr>
      </w:pPr>
      <w:r>
        <w:rPr>
          <w:i/>
          <w:iCs/>
          <w:u w:val="single"/>
        </w:rPr>
        <w:t>Высокогранулированный временнóй детектор (фаза 2)</w:t>
      </w:r>
    </w:p>
    <w:p>
      <w:pPr>
        <w:pStyle w:val="Normal"/>
        <w:spacing w:lineRule="atLeast" w:line="240" w:before="0" w:after="0"/>
        <w:ind w:firstLine="708"/>
        <w:jc w:val="both"/>
        <w:rPr/>
      </w:pPr>
      <w:r>
        <w:rPr/>
        <w:t>Значительное увеличение наложений взаимодействий является одной из основных экспериментальных проблем для физической программы HL-LHC. Мощным новым способом смягчения эффектов наложения является использование высокоточной информации о времени для различения столкновений, происходящих близко в пространстве, но хорошо разделенных во времени. Поэтому для модернизации ATLAS фазы II предложен детектор времени высокой гранулярности, основанный на технологии лавинного детектора с низким коэффициентом усиления (рис. 12). Охватывая область псевдобыстроты между 2,4 и 4,0, это устройство улучшит физические характеристики детектора в передней области. Типичное количество хитов на трек в детекторе было оптимизировано таким образом, чтобы целевое среднее временное разрешение на трек для минимально ионизирующей частицы составляло 30 пс в начале работы, увеличиваясь до 50 пс в конце работы HL-LHC. Высокоточная информация о времени улучшает подавление наложений событий для улучшения реконструкции передних объектов, дополняя возможности модернизированного внутреннего трекера (ITk) в передних областях ATLAS и приводя к улучшению реконструкции как струй, так и лептонов.</w:t>
      </w:r>
    </w:p>
    <w:p>
      <w:pPr>
        <w:pStyle w:val="Normal"/>
        <w:spacing w:lineRule="atLeast" w:line="240" w:before="0" w:after="0"/>
        <w:jc w:val="both"/>
        <w:rPr/>
      </w:pPr>
      <w:r>
        <w:rPr/>
      </w:r>
    </w:p>
    <w:p>
      <w:pPr>
        <w:pStyle w:val="Normal"/>
        <w:spacing w:lineRule="atLeast" w:line="240" w:before="0" w:after="0"/>
        <w:jc w:val="center"/>
        <w:rPr/>
      </w:pPr>
      <w:r>
        <w:rPr/>
        <w:drawing>
          <wp:inline distT="0" distB="0" distL="0" distR="0">
            <wp:extent cx="5248910" cy="2932430"/>
            <wp:effectExtent l="0" t="0" r="0" b="0"/>
            <wp:docPr id="15" name="Pictur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
                    <pic:cNvPicPr>
                      <a:picLocks noChangeAspect="1" noChangeArrowheads="1"/>
                    </pic:cNvPicPr>
                  </pic:nvPicPr>
                  <pic:blipFill>
                    <a:blip r:embed="rId16"/>
                    <a:stretch>
                      <a:fillRect/>
                    </a:stretch>
                  </pic:blipFill>
                  <pic:spPr bwMode="auto">
                    <a:xfrm>
                      <a:off x="0" y="0"/>
                      <a:ext cx="5248910" cy="2932430"/>
                    </a:xfrm>
                    <a:prstGeom prst="rect">
                      <a:avLst/>
                    </a:prstGeom>
                  </pic:spPr>
                </pic:pic>
              </a:graphicData>
            </a:graphic>
          </wp:inline>
        </w:drawing>
      </w:r>
    </w:p>
    <w:p>
      <w:pPr>
        <w:pStyle w:val="Normal"/>
        <w:spacing w:lineRule="atLeast" w:line="240" w:before="0" w:after="0"/>
        <w:jc w:val="both"/>
        <w:rPr>
          <w:rFonts w:ascii="Arial" w:hAnsi="Arial" w:cs="Arial"/>
          <w:i/>
          <w:i/>
          <w:iCs/>
          <w:sz w:val="20"/>
          <w:szCs w:val="20"/>
        </w:rPr>
      </w:pPr>
      <w:r>
        <w:rPr>
          <w:rFonts w:cs="Arial" w:ascii="Arial" w:hAnsi="Arial"/>
          <w:i/>
          <w:iCs/>
          <w:sz w:val="20"/>
          <w:szCs w:val="20"/>
        </w:rPr>
        <w:t>Рис. 12. Общий вид HGTD, который будет установлен на каждом из двух торцевых калориметров. Показаны различные компоненты: герметичный сосуд (передняя и задняя крышки, внутренние и внешние кольца), два инструментированных двухсторонних слоя (установлены в двух охлаждающих дисках с датчиками спереди и сзади каждого охлаждающего диска), две детали замедлителя, размещенные внутри и снаружи герметичного сосуда.</w:t>
      </w:r>
    </w:p>
    <w:p>
      <w:pPr>
        <w:pStyle w:val="Normal"/>
        <w:spacing w:lineRule="atLeast" w:line="240" w:before="0" w:after="0"/>
        <w:jc w:val="both"/>
        <w:rPr/>
      </w:pPr>
      <w:r>
        <w:rPr/>
      </w:r>
    </w:p>
    <w:p>
      <w:pPr>
        <w:pStyle w:val="Normal"/>
        <w:spacing w:lineRule="atLeast" w:line="240" w:before="0" w:after="0"/>
        <w:ind w:firstLine="360"/>
        <w:jc w:val="both"/>
        <w:rPr/>
      </w:pPr>
      <w:r>
        <w:rPr/>
        <w:t>Группа ОИЯИ была вовлечена в проект HGTD с самого начала. Наши сотрудники занимают ряд координирующих позиций в коллаборации. Официальный меморандум о взаимопонимании по сотрудничеству в строительстве HGTD был подписан в 2022 году. Обязательства ОИЯИ включают:</w:t>
      </w:r>
    </w:p>
    <w:p>
      <w:pPr>
        <w:pStyle w:val="ListParagraph"/>
        <w:numPr>
          <w:ilvl w:val="1"/>
          <w:numId w:val="2"/>
        </w:numPr>
        <w:spacing w:lineRule="atLeast" w:line="240" w:before="0" w:after="0"/>
        <w:contextualSpacing/>
        <w:jc w:val="both"/>
        <w:rPr/>
      </w:pPr>
      <w:r>
        <w:rPr/>
        <w:t>Разработку и производство системы DCS;</w:t>
      </w:r>
    </w:p>
    <w:p>
      <w:pPr>
        <w:pStyle w:val="ListParagraph"/>
        <w:numPr>
          <w:ilvl w:val="1"/>
          <w:numId w:val="2"/>
        </w:numPr>
        <w:spacing w:lineRule="atLeast" w:line="240" w:before="0" w:after="0"/>
        <w:contextualSpacing/>
        <w:jc w:val="both"/>
        <w:rPr/>
      </w:pPr>
      <w:r>
        <w:rPr/>
        <w:t>Проектирование, разработка, производство и тестирование инструментального стенда для полудиска;</w:t>
      </w:r>
    </w:p>
    <w:p>
      <w:pPr>
        <w:pStyle w:val="ListParagraph"/>
        <w:numPr>
          <w:ilvl w:val="1"/>
          <w:numId w:val="2"/>
        </w:numPr>
        <w:spacing w:lineRule="atLeast" w:line="240" w:before="0" w:after="0"/>
        <w:contextualSpacing/>
        <w:jc w:val="both"/>
        <w:rPr/>
      </w:pPr>
      <w:r>
        <w:rPr/>
        <w:t>Проектирование, разработка, производство и тестирование приспособления для установки полудиска;</w:t>
      </w:r>
    </w:p>
    <w:p>
      <w:pPr>
        <w:pStyle w:val="ListParagraph"/>
        <w:numPr>
          <w:ilvl w:val="1"/>
          <w:numId w:val="2"/>
        </w:numPr>
        <w:spacing w:lineRule="atLeast" w:line="240" w:before="0" w:after="0"/>
        <w:contextualSpacing/>
        <w:jc w:val="both"/>
        <w:rPr/>
      </w:pPr>
      <w:r>
        <w:rPr/>
        <w:t>Участие в сеансах на испытательном пучке, сборке компонентов, монтажных и интеграционных работах.</w:t>
      </w:r>
    </w:p>
    <w:p>
      <w:pPr>
        <w:pStyle w:val="ListParagraph"/>
        <w:spacing w:lineRule="atLeast" w:line="240" w:before="0" w:after="0"/>
        <w:contextualSpacing/>
        <w:jc w:val="both"/>
        <w:rPr/>
      </w:pPr>
      <w:r>
        <w:rPr/>
      </w:r>
    </w:p>
    <w:p>
      <w:pPr>
        <w:pStyle w:val="Normal"/>
        <w:spacing w:lineRule="atLeast" w:line="240" w:before="0" w:after="0"/>
        <w:jc w:val="both"/>
        <w:rPr/>
      </w:pPr>
      <w:r>
        <w:rPr/>
        <w:drawing>
          <wp:inline distT="0" distB="0" distL="0" distR="0">
            <wp:extent cx="5940425" cy="3325495"/>
            <wp:effectExtent l="0" t="0" r="0" b="0"/>
            <wp:docPr id="16" name="Picture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
                    <pic:cNvPicPr>
                      <a:picLocks noChangeAspect="1" noChangeArrowheads="1"/>
                    </pic:cNvPicPr>
                  </pic:nvPicPr>
                  <pic:blipFill>
                    <a:blip r:embed="rId17"/>
                    <a:stretch>
                      <a:fillRect/>
                    </a:stretch>
                  </pic:blipFill>
                  <pic:spPr bwMode="auto">
                    <a:xfrm>
                      <a:off x="0" y="0"/>
                      <a:ext cx="5940425" cy="3325495"/>
                    </a:xfrm>
                    <a:prstGeom prst="rect">
                      <a:avLst/>
                    </a:prstGeom>
                  </pic:spPr>
                </pic:pic>
              </a:graphicData>
            </a:graphic>
          </wp:inline>
        </w:drawing>
      </w:r>
    </w:p>
    <w:p>
      <w:pPr>
        <w:pStyle w:val="Normal"/>
        <w:spacing w:lineRule="atLeast" w:line="240" w:before="0" w:after="0"/>
        <w:jc w:val="both"/>
        <w:rPr>
          <w:rFonts w:ascii="Arial" w:hAnsi="Arial" w:cs="Arial"/>
          <w:i/>
          <w:i/>
          <w:iCs/>
          <w:sz w:val="20"/>
          <w:szCs w:val="20"/>
        </w:rPr>
      </w:pPr>
      <w:r>
        <w:rPr>
          <w:rFonts w:cs="Arial" w:ascii="Arial" w:hAnsi="Arial"/>
          <w:i/>
          <w:iCs/>
          <w:sz w:val="20"/>
          <w:szCs w:val="20"/>
        </w:rPr>
        <w:t>Рис. 13. Детали сервисов HGTD, макет и прототип инструментального стенда полудиска HGTD.</w:t>
      </w:r>
    </w:p>
    <w:p>
      <w:pPr>
        <w:pStyle w:val="Normal"/>
        <w:spacing w:lineRule="atLeast" w:line="240" w:before="0" w:after="0"/>
        <w:jc w:val="both"/>
        <w:rPr/>
      </w:pPr>
      <w:r>
        <w:rPr/>
      </w:r>
    </w:p>
    <w:p>
      <w:pPr>
        <w:pStyle w:val="Normal"/>
        <w:spacing w:lineRule="atLeast" w:line="240" w:before="0" w:after="0"/>
        <w:ind w:firstLine="360"/>
        <w:jc w:val="both"/>
        <w:rPr/>
      </w:pPr>
      <w:r>
        <w:rPr/>
        <w:t>Команда ОИЯИ разработала оптимальную схему расположения модулей и периферийной электроники с целью максимального увеличения количества идентичных компонентов. Также была предложена и реализована в прототипе концепция внешнего кольца детектора и соединительных сервисов (рис. 13). Детектор HGTD включает в себя:</w:t>
      </w:r>
    </w:p>
    <w:p>
      <w:pPr>
        <w:pStyle w:val="ListParagraph"/>
        <w:numPr>
          <w:ilvl w:val="0"/>
          <w:numId w:val="3"/>
        </w:numPr>
        <w:spacing w:lineRule="atLeast" w:line="240" w:before="0" w:after="0"/>
        <w:contextualSpacing/>
        <w:jc w:val="both"/>
        <w:rPr/>
      </w:pPr>
      <w:r>
        <w:rPr/>
        <w:t>примерно 300 кабелей и 40 оптических кабелей, подключенных к каждому выходу на внешнем кольце</w:t>
      </w:r>
    </w:p>
    <w:p>
      <w:pPr>
        <w:pStyle w:val="ListParagraph"/>
        <w:numPr>
          <w:ilvl w:val="0"/>
          <w:numId w:val="3"/>
        </w:numPr>
        <w:spacing w:lineRule="atLeast" w:line="240" w:before="0" w:after="0"/>
        <w:contextualSpacing/>
        <w:jc w:val="both"/>
        <w:rPr/>
      </w:pPr>
      <w:r>
        <w:rPr/>
        <w:t>281 патч-кордов + 80 оптических разветвителей на выход, соединяющих платы периферийной электроники кабелями</w:t>
      </w:r>
    </w:p>
    <w:p>
      <w:pPr>
        <w:pStyle w:val="ListParagraph"/>
        <w:numPr>
          <w:ilvl w:val="0"/>
          <w:numId w:val="3"/>
        </w:numPr>
        <w:spacing w:lineRule="atLeast" w:line="240" w:before="0" w:after="0"/>
        <w:contextualSpacing/>
        <w:jc w:val="both"/>
        <w:rPr/>
      </w:pPr>
      <w:r>
        <w:rPr/>
        <w:t>Патч-корды HV, LV и NTC все идентичны, разветвители имеют одинаковую длину.</w:t>
      </w:r>
    </w:p>
    <w:p>
      <w:pPr>
        <w:pStyle w:val="Normal"/>
        <w:spacing w:lineRule="atLeast" w:line="240" w:before="0" w:after="0"/>
        <w:ind w:firstLine="360"/>
        <w:jc w:val="both"/>
        <w:rPr/>
      </w:pPr>
      <w:r>
        <w:rPr/>
        <w:t>Для оптимизации компоновки электрических и оптических сервисов внутри корпуса HGTD была разработана 3D-модель сервисов внутри корпуса детектора и изготовлен макет. С его помощью были определены места и размеры электрических и оптических сервисов для их дальнейшего изготовления.</w:t>
      </w:r>
    </w:p>
    <w:p>
      <w:pPr>
        <w:pStyle w:val="Normal"/>
        <w:spacing w:lineRule="atLeast" w:line="240" w:before="0" w:after="0"/>
        <w:ind w:firstLine="360"/>
        <w:jc w:val="both"/>
        <w:rPr/>
      </w:pPr>
      <w:r>
        <w:rPr/>
        <w:t>Команда ОИЯИ предложила концепцию и спроектировала стенд для инструментирования полудисков HGTD. Прототип стенда был изготовлен в ОИЯИ и готовится к отправке в ЦЕРН. Группа продолжает работу над разработкой системы управления DCS (аппаратной и программной). Мы участвуем в разработке HGTD Demonstrator. Модуль-0 состоит из 1 периферийной платы с 54 модулями (108 ALTIROC ASIC) и других систем детекторов – механики, охлаждения, HV, LV и т. д. Предусмотрены пучковые испытания модулей на SPS и DESY.</w:t>
      </w:r>
    </w:p>
    <w:p>
      <w:pPr>
        <w:pStyle w:val="Normal"/>
        <w:spacing w:lineRule="atLeast" w:line="240" w:before="0" w:after="0"/>
        <w:ind w:firstLine="360"/>
        <w:jc w:val="both"/>
        <w:rPr/>
      </w:pPr>
      <w:r>
        <w:rPr/>
        <w:t>Самым значительным in-kind вкладом группы ОИЯИ в проект станет изготовление дополнительных стоек и механических компонентов для опорной рамы HGTD с последующим участием в сборке полудисков HGTD с использованием стоек, изготовленных в Дубне.</w:t>
      </w:r>
    </w:p>
    <w:p>
      <w:pPr>
        <w:pStyle w:val="Normal"/>
        <w:spacing w:lineRule="atLeast" w:line="240" w:before="0" w:after="0"/>
        <w:jc w:val="both"/>
        <w:rPr/>
      </w:pPr>
      <w:r>
        <w:rPr/>
      </w:r>
    </w:p>
    <w:p>
      <w:pPr>
        <w:pStyle w:val="Normal"/>
        <w:spacing w:lineRule="atLeast" w:line="240" w:before="0" w:after="0"/>
        <w:jc w:val="both"/>
        <w:rPr>
          <w:i/>
          <w:i/>
          <w:iCs/>
          <w:u w:val="single"/>
        </w:rPr>
      </w:pPr>
      <w:r>
        <w:rPr>
          <w:i/>
          <w:iCs/>
          <w:u w:val="single"/>
        </w:rPr>
        <w:t>Жидкоаргоновые калориметры (Фаза 2)</w:t>
      </w:r>
    </w:p>
    <w:p>
      <w:pPr>
        <w:pStyle w:val="Normal"/>
        <w:spacing w:lineRule="atLeast" w:line="240" w:before="0" w:after="0"/>
        <w:ind w:firstLine="708"/>
        <w:jc w:val="both"/>
        <w:rPr/>
      </w:pPr>
      <w:r>
        <w:rPr/>
        <w:t>Меморандум по участию группы ОИЯИ в модернизации калориметров LAr включает:</w:t>
      </w:r>
    </w:p>
    <w:p>
      <w:pPr>
        <w:pStyle w:val="Normal"/>
        <w:spacing w:lineRule="atLeast" w:line="240" w:before="0" w:after="0"/>
        <w:ind w:left="708"/>
        <w:jc w:val="both"/>
        <w:rPr/>
      </w:pPr>
      <w:r>
        <w:rPr/>
        <w:t>- Разработка и тестирование специализированных микросхем предусилителя-формирователя и предварительного формирователя для НЕС;</w:t>
      </w:r>
    </w:p>
    <w:p>
      <w:pPr>
        <w:pStyle w:val="Normal"/>
        <w:spacing w:lineRule="atLeast" w:line="240" w:before="0" w:after="0"/>
        <w:ind w:left="708"/>
        <w:jc w:val="both"/>
        <w:rPr/>
      </w:pPr>
      <w:r>
        <w:rPr/>
        <w:t>- Производство и тестирование оптических патч-кордов;</w:t>
      </w:r>
    </w:p>
    <w:p>
      <w:pPr>
        <w:pStyle w:val="Normal"/>
        <w:spacing w:lineRule="atLeast" w:line="240" w:before="0" w:after="0"/>
        <w:ind w:left="708"/>
        <w:jc w:val="both"/>
        <w:rPr/>
      </w:pPr>
      <w:r>
        <w:rPr/>
        <w:t>- Разработка и тестирование аналоговой схемы.</w:t>
      </w:r>
    </w:p>
    <w:p>
      <w:pPr>
        <w:pStyle w:val="Normal"/>
        <w:spacing w:lineRule="atLeast" w:line="240" w:before="0" w:after="0"/>
        <w:ind w:firstLine="708"/>
        <w:jc w:val="both"/>
        <w:rPr/>
      </w:pPr>
      <w:r>
        <w:rPr/>
        <w:t>Помимо триггерной электроники (уже замененной в период Фазы 1) во время Фазы 2 будет завершена полная замена оставшейся считывающей электроники. Большая часть работ по модернизации электроники калориметра проводилась параллельно с нашими обязательствами для Фазы 1. В частности, была разработана тестовая плата для высокочастотных операционных усилителей аналоговой части триггерного оцифровщика LTDB (рис. 14). Усилители продемонстрировали хорошую линейность вплоть до 8 мкА входного тока.</w:t>
      </w:r>
    </w:p>
    <w:p>
      <w:pPr>
        <w:pStyle w:val="Normal"/>
        <w:spacing w:lineRule="atLeast" w:line="240" w:before="0" w:after="0"/>
        <w:jc w:val="center"/>
        <w:rPr/>
      </w:pPr>
      <w:r>
        <w:rPr/>
        <w:drawing>
          <wp:inline distT="0" distB="0" distL="0" distR="0">
            <wp:extent cx="2179955" cy="1296035"/>
            <wp:effectExtent l="0" t="0" r="0" b="0"/>
            <wp:docPr id="17" name="Picture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
                    <pic:cNvPicPr>
                      <a:picLocks noChangeAspect="1" noChangeArrowheads="1"/>
                    </pic:cNvPicPr>
                  </pic:nvPicPr>
                  <pic:blipFill>
                    <a:blip r:embed="rId18"/>
                    <a:stretch>
                      <a:fillRect/>
                    </a:stretch>
                  </pic:blipFill>
                  <pic:spPr bwMode="auto">
                    <a:xfrm>
                      <a:off x="0" y="0"/>
                      <a:ext cx="2179955" cy="1296035"/>
                    </a:xfrm>
                    <a:prstGeom prst="rect">
                      <a:avLst/>
                    </a:prstGeom>
                  </pic:spPr>
                </pic:pic>
              </a:graphicData>
            </a:graphic>
          </wp:inline>
        </w:drawing>
      </w:r>
      <w:r>
        <w:rPr/>
        <w:drawing>
          <wp:inline distT="0" distB="0" distL="0" distR="0">
            <wp:extent cx="2903855" cy="1304925"/>
            <wp:effectExtent l="0" t="0" r="0" b="0"/>
            <wp:docPr id="18" name="Picture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
                    <pic:cNvPicPr>
                      <a:picLocks noChangeAspect="1" noChangeArrowheads="1"/>
                    </pic:cNvPicPr>
                  </pic:nvPicPr>
                  <pic:blipFill>
                    <a:blip r:embed="rId19"/>
                    <a:stretch>
                      <a:fillRect/>
                    </a:stretch>
                  </pic:blipFill>
                  <pic:spPr bwMode="auto">
                    <a:xfrm>
                      <a:off x="0" y="0"/>
                      <a:ext cx="2903855" cy="1304925"/>
                    </a:xfrm>
                    <a:prstGeom prst="rect">
                      <a:avLst/>
                    </a:prstGeom>
                  </pic:spPr>
                </pic:pic>
              </a:graphicData>
            </a:graphic>
          </wp:inline>
        </w:drawing>
      </w:r>
    </w:p>
    <w:p>
      <w:pPr>
        <w:pStyle w:val="Normal"/>
        <w:spacing w:lineRule="atLeast" w:line="240" w:before="0" w:after="0"/>
        <w:jc w:val="both"/>
        <w:rPr>
          <w:rFonts w:ascii="Arial" w:hAnsi="Arial" w:cs="Arial"/>
          <w:i/>
          <w:i/>
          <w:iCs/>
          <w:sz w:val="20"/>
          <w:szCs w:val="20"/>
        </w:rPr>
      </w:pPr>
      <w:r>
        <w:rPr>
          <w:rFonts w:cs="Arial" w:ascii="Arial" w:hAnsi="Arial"/>
          <w:i/>
          <w:iCs/>
          <w:sz w:val="20"/>
          <w:szCs w:val="20"/>
        </w:rPr>
        <w:t>Рис. 14. Тестовая плата и результаты измерений линейности.</w:t>
      </w:r>
    </w:p>
    <w:p>
      <w:pPr>
        <w:pStyle w:val="Normal"/>
        <w:spacing w:lineRule="atLeast" w:line="240" w:before="0" w:after="0"/>
        <w:jc w:val="both"/>
        <w:rPr/>
      </w:pPr>
      <w:r>
        <w:rPr/>
      </w:r>
    </w:p>
    <w:p>
      <w:pPr>
        <w:pStyle w:val="Normal"/>
        <w:spacing w:lineRule="atLeast" w:line="240" w:before="0" w:after="0"/>
        <w:ind w:firstLine="708"/>
        <w:jc w:val="both"/>
        <w:rPr/>
      </w:pPr>
      <w:r>
        <w:rPr/>
        <w:t>На реакторе ИБР-2 мы продолжили программу облучения материалов и электроники калориметров LAr. Оптические патч-корды были подвергнуты воздействию потока быстрых нейтронов 8·10</w:t>
      </w:r>
      <w:r>
        <w:rPr>
          <w:vertAlign w:val="superscript"/>
        </w:rPr>
        <w:t>15</w:t>
      </w:r>
      <w:r>
        <w:rPr/>
        <w:t xml:space="preserve"> н/см</w:t>
      </w:r>
      <w:r>
        <w:rPr>
          <w:vertAlign w:val="superscript"/>
        </w:rPr>
        <w:t>2</w:t>
      </w:r>
      <w:r>
        <w:rPr/>
        <w:t>. Последующий анализ рефлектограмм не выявил отклонений от первоначальной формы. Мы разработали и испытали набор патч-кордов для испытательного стенда в ЦЕРНе, предназначенного для тестирования полной цепи считывающей электроники LAr. Эти кабели были изготовлены фирмой Unicord (Москва), доставлены в ЦЕРН и используются в стенде.</w:t>
      </w:r>
    </w:p>
    <w:p>
      <w:pPr>
        <w:pStyle w:val="Normal"/>
        <w:spacing w:lineRule="atLeast" w:line="240" w:before="0" w:after="0"/>
        <w:ind w:firstLine="708"/>
        <w:jc w:val="both"/>
        <w:rPr/>
      </w:pPr>
      <w:r>
        <w:rPr/>
        <w:t>На данный момент проектирование, тестирование и массовое производство оптических кабелей считается основным in-kind вкладом нашей команды в период второй фазы модернизации LAr. Мы также продолжаем участие в проекте R&amp;D FCalPulse.</w:t>
      </w:r>
    </w:p>
    <w:p>
      <w:pPr>
        <w:pStyle w:val="Normal"/>
        <w:spacing w:lineRule="atLeast" w:line="240" w:before="0" w:after="0"/>
        <w:ind w:firstLine="708"/>
        <w:jc w:val="both"/>
        <w:rPr/>
      </w:pPr>
      <w:r>
        <w:rPr/>
        <w:t xml:space="preserve">На HL-LHC энергетический отклик переднего калориметра ATLAS (FCal) будет искажен из-за чрезмерно высоких ионизационных загрузок. Импульсы тока будут уменьшаться, а форма искажаться в зависимости от светимости за предыдущие несколько миллисекунд и местоположения внутри модуля. Для контролируемой оценки деградации была предложен проект FCalPulse. В проекте используется один электрод, часть которого подвергается постоянному </w:t>
      </w:r>
      <w:r>
        <w:rPr>
          <w:rFonts w:cs="Cambria Math" w:ascii="Cambria Math" w:hAnsi="Cambria Math"/>
        </w:rPr>
        <w:t>𝛽</w:t>
      </w:r>
      <w:r>
        <w:rPr/>
        <w:t xml:space="preserve">-излучению для имитации потока заряженных частиц от наложения событий на HL-LHC. Этот электрод и контрольный электрод, который не подвергается воздействию </w:t>
      </w:r>
      <w:r>
        <w:rPr>
          <w:rFonts w:cs="Cambria Math" w:ascii="Cambria Math" w:hAnsi="Cambria Math"/>
        </w:rPr>
        <w:t>𝛽</w:t>
      </w:r>
      <w:r>
        <w:rPr/>
        <w:t xml:space="preserve">-электронов, затем помещаются в пучок электронов высокой энергии. Отклик регистрируется в различных условиях, что позволяет вывести поправочные коэффициенты, которые скорректируют большую часть потерянного сигнала. Мы помогли нашим коллегам из Университета Аризоны изготовить </w:t>
      </w:r>
      <w:r>
        <w:rPr>
          <w:rFonts w:cs="Cambria Math" w:ascii="Cambria Math" w:hAnsi="Cambria Math"/>
        </w:rPr>
        <w:t>𝛽</w:t>
      </w:r>
      <w:r>
        <w:rPr/>
        <w:t>-источник на 100 мКи Sr-90 в Обнинске и приняли участие в сеансе на тестовом пучке.</w:t>
      </w:r>
    </w:p>
    <w:p>
      <w:pPr>
        <w:pStyle w:val="Normal"/>
        <w:spacing w:lineRule="atLeast" w:line="240" w:before="0" w:after="0"/>
        <w:ind w:firstLine="708"/>
        <w:jc w:val="both"/>
        <w:rPr/>
      </w:pPr>
      <w:r>
        <w:rPr/>
        <w:t>Экспериментальные данные тестовых испытаний были набраны в канале пучка H2 северной зоны ЦЕРН в августе 2022 года. Модуль FCal был подвергнут воздействию пучка электронов с энергией 180 ГэВ (рис. 15).</w:t>
      </w:r>
    </w:p>
    <w:p>
      <w:pPr>
        <w:pStyle w:val="Normal"/>
        <w:spacing w:lineRule="atLeast" w:line="240" w:before="0" w:after="0"/>
        <w:jc w:val="both"/>
        <w:rPr/>
      </w:pPr>
      <w:r>
        <w:rPr/>
        <w:drawing>
          <wp:inline distT="0" distB="0" distL="0" distR="0">
            <wp:extent cx="6023610" cy="1835150"/>
            <wp:effectExtent l="0" t="0" r="0" b="0"/>
            <wp:docPr id="19" name="Picture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
                    <pic:cNvPicPr>
                      <a:picLocks noChangeAspect="1" noChangeArrowheads="1"/>
                    </pic:cNvPicPr>
                  </pic:nvPicPr>
                  <pic:blipFill>
                    <a:blip r:embed="rId20"/>
                    <a:stretch>
                      <a:fillRect/>
                    </a:stretch>
                  </pic:blipFill>
                  <pic:spPr bwMode="auto">
                    <a:xfrm>
                      <a:off x="0" y="0"/>
                      <a:ext cx="6023610" cy="1835150"/>
                    </a:xfrm>
                    <a:prstGeom prst="rect">
                      <a:avLst/>
                    </a:prstGeom>
                  </pic:spPr>
                </pic:pic>
              </a:graphicData>
            </a:graphic>
          </wp:inline>
        </w:drawing>
      </w:r>
    </w:p>
    <w:p>
      <w:pPr>
        <w:pStyle w:val="Normal"/>
        <w:spacing w:lineRule="atLeast" w:line="240" w:before="0" w:after="0"/>
        <w:jc w:val="both"/>
        <w:rPr/>
      </w:pPr>
      <w:r>
        <w:rPr/>
      </w:r>
    </w:p>
    <w:p>
      <w:pPr>
        <w:pStyle w:val="Normal"/>
        <w:spacing w:lineRule="atLeast" w:line="240" w:before="0" w:after="0"/>
        <w:jc w:val="both"/>
        <w:rPr>
          <w:rFonts w:ascii="Arial" w:hAnsi="Arial" w:cs="Arial"/>
          <w:i/>
          <w:i/>
          <w:iCs/>
          <w:sz w:val="20"/>
          <w:szCs w:val="20"/>
        </w:rPr>
      </w:pPr>
      <w:r>
        <w:rPr>
          <w:rFonts w:cs="Arial" w:ascii="Arial" w:hAnsi="Arial"/>
          <w:i/>
          <w:iCs/>
          <w:sz w:val="20"/>
          <w:szCs w:val="20"/>
        </w:rPr>
        <w:t>Рис. 15. Детали испытательной установки FCalPulse.</w:t>
      </w:r>
    </w:p>
    <w:p>
      <w:pPr>
        <w:pStyle w:val="Normal"/>
        <w:spacing w:lineRule="atLeast" w:line="240" w:before="0" w:after="0"/>
        <w:jc w:val="both"/>
        <w:rPr>
          <w:rFonts w:ascii="Arial" w:hAnsi="Arial" w:cs="Arial"/>
          <w:i/>
          <w:i/>
          <w:iCs/>
          <w:sz w:val="20"/>
          <w:szCs w:val="20"/>
        </w:rPr>
      </w:pPr>
      <w:r>
        <w:rPr>
          <w:rFonts w:cs="Arial" w:ascii="Arial" w:hAnsi="Arial"/>
          <w:i/>
          <w:iCs/>
          <w:sz w:val="20"/>
          <w:szCs w:val="20"/>
        </w:rPr>
      </w:r>
    </w:p>
    <w:p>
      <w:pPr>
        <w:pStyle w:val="Normal"/>
        <w:spacing w:lineRule="atLeast" w:line="240" w:before="0" w:after="0"/>
        <w:ind w:firstLine="708"/>
        <w:jc w:val="both"/>
        <w:rPr/>
      </w:pPr>
      <w:r>
        <w:rPr/>
        <w:t>Группа ОИЯИ обеспечивает GEANT4 симуляцию тестовых измерений на пучке ускорителя. Мы сравнили результаты нашей симуляции с расчетами, выполненными ранее в Аризоне для энергии, выделенной в зазоре LAr (трубке) в различных местах электронного пучка для энергии пучка 350 ГэВ (рис. 16).</w:t>
      </w:r>
    </w:p>
    <w:p>
      <w:pPr>
        <w:pStyle w:val="Normal"/>
        <w:spacing w:lineRule="atLeast" w:line="240" w:before="0" w:after="0"/>
        <w:jc w:val="both"/>
        <w:rPr/>
      </w:pPr>
      <w:r>
        <w:rPr/>
      </w:r>
    </w:p>
    <w:p>
      <w:pPr>
        <w:pStyle w:val="Normal"/>
        <w:spacing w:lineRule="atLeast" w:line="240" w:before="0" w:after="0"/>
        <w:jc w:val="center"/>
        <w:rPr/>
      </w:pPr>
      <w:r>
        <w:rPr/>
        <w:drawing>
          <wp:inline distT="0" distB="0" distL="0" distR="0">
            <wp:extent cx="3584575" cy="2999740"/>
            <wp:effectExtent l="0" t="0" r="0" b="0"/>
            <wp:docPr id="20" name="Picture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
                    <pic:cNvPicPr>
                      <a:picLocks noChangeAspect="1" noChangeArrowheads="1"/>
                    </pic:cNvPicPr>
                  </pic:nvPicPr>
                  <pic:blipFill>
                    <a:blip r:embed="rId21"/>
                    <a:stretch>
                      <a:fillRect/>
                    </a:stretch>
                  </pic:blipFill>
                  <pic:spPr bwMode="auto">
                    <a:xfrm>
                      <a:off x="0" y="0"/>
                      <a:ext cx="3584575" cy="2999740"/>
                    </a:xfrm>
                    <a:prstGeom prst="rect">
                      <a:avLst/>
                    </a:prstGeom>
                  </pic:spPr>
                </pic:pic>
              </a:graphicData>
            </a:graphic>
          </wp:inline>
        </w:drawing>
      </w:r>
    </w:p>
    <w:p>
      <w:pPr>
        <w:pStyle w:val="Normal"/>
        <w:spacing w:lineRule="atLeast" w:line="240" w:before="0" w:after="0"/>
        <w:jc w:val="both"/>
        <w:rPr/>
      </w:pPr>
      <w:r>
        <w:rPr/>
      </w:r>
    </w:p>
    <w:p>
      <w:pPr>
        <w:pStyle w:val="Normal"/>
        <w:spacing w:lineRule="atLeast" w:line="240" w:before="0" w:after="0"/>
        <w:jc w:val="both"/>
        <w:rPr>
          <w:rFonts w:ascii="Arial" w:hAnsi="Arial" w:cs="Arial"/>
          <w:i/>
          <w:i/>
          <w:iCs/>
          <w:sz w:val="20"/>
          <w:szCs w:val="20"/>
        </w:rPr>
      </w:pPr>
      <w:r>
        <w:rPr>
          <w:rFonts w:cs="Arial" w:ascii="Arial" w:hAnsi="Arial"/>
          <w:i/>
          <w:iCs/>
          <w:sz w:val="20"/>
          <w:szCs w:val="20"/>
        </w:rPr>
        <w:t>Рис. 16. Выделенная энергия в объеме LAr для различных положений электронного пучка 350 ГэВ и 180 ГэВ.</w:t>
      </w:r>
    </w:p>
    <w:p>
      <w:pPr>
        <w:pStyle w:val="Normal"/>
        <w:spacing w:lineRule="atLeast" w:line="240" w:before="0" w:after="0"/>
        <w:jc w:val="both"/>
        <w:rPr>
          <w:rFonts w:ascii="Arial" w:hAnsi="Arial" w:cs="Arial"/>
          <w:i/>
          <w:i/>
          <w:iCs/>
          <w:sz w:val="20"/>
          <w:szCs w:val="20"/>
        </w:rPr>
      </w:pPr>
      <w:r>
        <w:rPr>
          <w:rFonts w:cs="Arial" w:ascii="Arial" w:hAnsi="Arial"/>
          <w:i/>
          <w:iCs/>
          <w:sz w:val="20"/>
          <w:szCs w:val="20"/>
        </w:rPr>
      </w:r>
    </w:p>
    <w:p>
      <w:pPr>
        <w:pStyle w:val="Normal"/>
        <w:spacing w:lineRule="atLeast" w:line="240" w:before="0" w:after="0"/>
        <w:jc w:val="center"/>
        <w:rPr/>
      </w:pPr>
      <w:r>
        <w:rPr/>
        <w:drawing>
          <wp:inline distT="0" distB="0" distL="0" distR="0">
            <wp:extent cx="1664335" cy="1591310"/>
            <wp:effectExtent l="0" t="0" r="0" b="0"/>
            <wp:docPr id="21" name="Picture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
                    <pic:cNvPicPr>
                      <a:picLocks noChangeAspect="1" noChangeArrowheads="1"/>
                    </pic:cNvPicPr>
                  </pic:nvPicPr>
                  <pic:blipFill>
                    <a:blip r:embed="rId22"/>
                    <a:stretch>
                      <a:fillRect/>
                    </a:stretch>
                  </pic:blipFill>
                  <pic:spPr bwMode="auto">
                    <a:xfrm>
                      <a:off x="0" y="0"/>
                      <a:ext cx="1664335" cy="1591310"/>
                    </a:xfrm>
                    <a:prstGeom prst="rect">
                      <a:avLst/>
                    </a:prstGeom>
                  </pic:spPr>
                </pic:pic>
              </a:graphicData>
            </a:graphic>
          </wp:inline>
        </w:drawing>
      </w:r>
      <w:r>
        <w:rPr/>
        <w:drawing>
          <wp:inline distT="0" distB="0" distL="0" distR="0">
            <wp:extent cx="3115310" cy="1676400"/>
            <wp:effectExtent l="0" t="0" r="0" b="0"/>
            <wp:docPr id="22" name="Picture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
                    <pic:cNvPicPr>
                      <a:picLocks noChangeAspect="1" noChangeArrowheads="1"/>
                    </pic:cNvPicPr>
                  </pic:nvPicPr>
                  <pic:blipFill>
                    <a:blip r:embed="rId23"/>
                    <a:stretch>
                      <a:fillRect/>
                    </a:stretch>
                  </pic:blipFill>
                  <pic:spPr bwMode="auto">
                    <a:xfrm>
                      <a:off x="0" y="0"/>
                      <a:ext cx="3115310" cy="1676400"/>
                    </a:xfrm>
                    <a:prstGeom prst="rect">
                      <a:avLst/>
                    </a:prstGeom>
                  </pic:spPr>
                </pic:pic>
              </a:graphicData>
            </a:graphic>
          </wp:inline>
        </w:drawing>
      </w:r>
    </w:p>
    <w:p>
      <w:pPr>
        <w:pStyle w:val="Normal"/>
        <w:spacing w:lineRule="atLeast" w:line="240" w:before="0" w:after="0"/>
        <w:jc w:val="both"/>
        <w:rPr/>
      </w:pPr>
      <w:r>
        <w:rPr/>
      </w:r>
    </w:p>
    <w:p>
      <w:pPr>
        <w:pStyle w:val="Normal"/>
        <w:spacing w:lineRule="atLeast" w:line="240" w:before="0" w:after="0"/>
        <w:jc w:val="both"/>
        <w:rPr>
          <w:rFonts w:ascii="Arial" w:hAnsi="Arial" w:cs="Arial"/>
          <w:i/>
          <w:i/>
          <w:iCs/>
          <w:sz w:val="20"/>
          <w:szCs w:val="20"/>
        </w:rPr>
      </w:pPr>
      <w:r>
        <w:rPr>
          <w:rFonts w:cs="Arial" w:ascii="Arial" w:hAnsi="Arial"/>
          <w:i/>
          <w:iCs/>
          <w:sz w:val="20"/>
          <w:szCs w:val="20"/>
        </w:rPr>
        <w:t>Рис. 17. Профиль тестового пучка и результаты моделирования GEANT4 (исходный спектр источника Sr-90 и выделенная энергия).</w:t>
      </w:r>
    </w:p>
    <w:p>
      <w:pPr>
        <w:pStyle w:val="Normal"/>
        <w:spacing w:lineRule="atLeast" w:line="240" w:before="0" w:after="0"/>
        <w:jc w:val="both"/>
        <w:rPr/>
      </w:pPr>
      <w:r>
        <w:rPr/>
      </w:r>
    </w:p>
    <w:p>
      <w:pPr>
        <w:pStyle w:val="Normal"/>
        <w:spacing w:lineRule="atLeast" w:line="240" w:before="0" w:after="0"/>
        <w:ind w:firstLine="708"/>
        <w:jc w:val="both"/>
        <w:rPr/>
      </w:pPr>
      <w:r>
        <w:rPr/>
        <w:t>Моделирование Монте-Карло продолжается с реальными параметрами электронного пучка (рис. 17). Было показано, что около 30% β-электронов выделяют энергию в зазоре LAr. Анализ продолжается с целью публикации в ближайшем будущем.</w:t>
      </w:r>
    </w:p>
    <w:p>
      <w:pPr>
        <w:pStyle w:val="Normal"/>
        <w:spacing w:lineRule="atLeast" w:line="240" w:before="0" w:after="0"/>
        <w:jc w:val="both"/>
        <w:rPr/>
      </w:pPr>
      <w:r>
        <w:rPr/>
      </w:r>
    </w:p>
    <w:p>
      <w:pPr>
        <w:pStyle w:val="Normal"/>
        <w:spacing w:lineRule="atLeast" w:line="240" w:before="0" w:after="0"/>
        <w:jc w:val="both"/>
        <w:rPr>
          <w:rFonts w:ascii="Arial" w:hAnsi="Arial" w:cs="Arial"/>
          <w:i/>
          <w:i/>
          <w:iCs/>
          <w:u w:val="single"/>
        </w:rPr>
      </w:pPr>
      <w:r>
        <w:rPr>
          <w:i/>
          <w:iCs/>
          <w:u w:val="single"/>
        </w:rPr>
        <w:t>Участие в проекте NICA в ОИЯИ</w:t>
      </w:r>
    </w:p>
    <w:p>
      <w:pPr>
        <w:pStyle w:val="Normal"/>
        <w:spacing w:lineRule="atLeast" w:line="240" w:before="0" w:after="0"/>
        <w:ind w:firstLine="708"/>
        <w:jc w:val="both"/>
        <w:rPr/>
      </w:pPr>
      <w:r>
        <w:rPr/>
        <w:t>Мегасайенс-проект комплекса сверхпроводящих колец на встречных пучках тяжелых ионов является флагманским проектом ОИЯИ, направленным на изучение ядерной материи в состоянии максимальной барионной плотности, недоступном для исследований в других лабораториях мира. Изучение спиновой структуры протона и дейтрона и других спин-связанных явлений с поляризованными протонными и дейтронными пучками является одной из основных тем экспериментальной программы NICA. Эти амбициозные цели будут достигнуты путем проведения экспериментов с использованием самых современных детекторных технологий. Многие технологии детекторов, принятые в эксперименте ATLAS, применимы для использования в экспериментах NICA.</w:t>
      </w:r>
    </w:p>
    <w:p>
      <w:pPr>
        <w:pStyle w:val="Normal"/>
        <w:spacing w:lineRule="atLeast" w:line="240" w:before="0" w:after="0"/>
        <w:ind w:firstLine="708"/>
        <w:jc w:val="both"/>
        <w:rPr/>
      </w:pPr>
      <w:r>
        <w:rPr/>
        <w:t>В рамках будущей модернизации камер TPC для MPD NICA была исследована устойчивость нового резистивного покрытия (DLC) к разрядам. Устойчивость детектора к электрическим разрядам была продемонстрирована путем накопления около 10</w:t>
      </w:r>
      <w:r>
        <w:rPr>
          <w:vertAlign w:val="superscript"/>
        </w:rPr>
        <w:t>4</w:t>
      </w:r>
      <w:r>
        <w:rPr/>
        <w:t xml:space="preserve"> событий разряда при газовом усилении 4×10</w:t>
      </w:r>
      <w:r>
        <w:rPr>
          <w:vertAlign w:val="superscript"/>
        </w:rPr>
        <w:t>4</w:t>
      </w:r>
      <w:r>
        <w:rPr/>
        <w:t xml:space="preserve"> без какого-либо видимого влияния на работу детектора.</w:t>
      </w:r>
    </w:p>
    <w:p>
      <w:pPr>
        <w:pStyle w:val="Normal"/>
        <w:spacing w:lineRule="atLeast" w:line="240" w:before="0" w:after="0"/>
        <w:ind w:firstLine="708"/>
        <w:jc w:val="both"/>
        <w:rPr/>
      </w:pPr>
      <w:r>
        <w:rPr/>
        <w:t>Команда ОИЯИ участвует в проекте центрального трекера (MCT) на базе Micromegas для SPD NICA. MCT будет расположен как можно ближе к области взаимодействия пучка и улучшит разрешение импульса и эффективность поиска треков при отсутствии вершинного детектора в первоначальной конфигурации SPD. На сегодняшний день проведено исследование по моделированию и оптимизации газовой смеси, а также определены основные и резервные решения. Протестировано сопротивление разряда защитного слоя DLC, усовершенствована технология и построен первый цилиндрический прототип (рис. 18). Было испытано несколько прототипов различной конфигурации и определены основные параметры будущего детектора.</w:t>
      </w:r>
    </w:p>
    <w:p>
      <w:pPr>
        <w:pStyle w:val="Normal"/>
        <w:spacing w:lineRule="atLeast" w:line="240" w:before="0" w:after="0"/>
        <w:jc w:val="both"/>
        <w:rPr/>
      </w:pPr>
      <w:r>
        <w:rPr/>
        <w:drawing>
          <wp:inline distT="0" distB="0" distL="0" distR="0">
            <wp:extent cx="2883535" cy="2023745"/>
            <wp:effectExtent l="0" t="0" r="0" b="0"/>
            <wp:docPr id="23" name="Picture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
                    <pic:cNvPicPr>
                      <a:picLocks noChangeAspect="1" noChangeArrowheads="1"/>
                    </pic:cNvPicPr>
                  </pic:nvPicPr>
                  <pic:blipFill>
                    <a:blip r:embed="rId24"/>
                    <a:stretch>
                      <a:fillRect/>
                    </a:stretch>
                  </pic:blipFill>
                  <pic:spPr bwMode="auto">
                    <a:xfrm>
                      <a:off x="0" y="0"/>
                      <a:ext cx="2883535" cy="2023745"/>
                    </a:xfrm>
                    <a:prstGeom prst="rect">
                      <a:avLst/>
                    </a:prstGeom>
                  </pic:spPr>
                </pic:pic>
              </a:graphicData>
            </a:graphic>
          </wp:inline>
        </w:drawing>
      </w:r>
      <w:r>
        <w:rPr/>
        <w:t xml:space="preserve">  </w:t>
      </w:r>
      <w:r>
        <w:rPr/>
        <w:drawing>
          <wp:inline distT="0" distB="0" distL="0" distR="0">
            <wp:extent cx="2969260" cy="2066925"/>
            <wp:effectExtent l="0" t="0" r="0" b="0"/>
            <wp:docPr id="24" name="Picture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
                    <pic:cNvPicPr>
                      <a:picLocks noChangeAspect="1" noChangeArrowheads="1"/>
                    </pic:cNvPicPr>
                  </pic:nvPicPr>
                  <pic:blipFill>
                    <a:blip r:embed="rId25"/>
                    <a:stretch>
                      <a:fillRect/>
                    </a:stretch>
                  </pic:blipFill>
                  <pic:spPr bwMode="auto">
                    <a:xfrm>
                      <a:off x="0" y="0"/>
                      <a:ext cx="2969260" cy="2066925"/>
                    </a:xfrm>
                    <a:prstGeom prst="rect">
                      <a:avLst/>
                    </a:prstGeom>
                  </pic:spPr>
                </pic:pic>
              </a:graphicData>
            </a:graphic>
          </wp:inline>
        </w:drawing>
      </w:r>
    </w:p>
    <w:p>
      <w:pPr>
        <w:pStyle w:val="Normal"/>
        <w:spacing w:lineRule="atLeast" w:line="240" w:before="0" w:after="0"/>
        <w:jc w:val="both"/>
        <w:rPr>
          <w:rFonts w:ascii="Arial" w:hAnsi="Arial" w:cs="Arial"/>
          <w:i/>
          <w:i/>
          <w:iCs/>
          <w:sz w:val="20"/>
          <w:szCs w:val="20"/>
        </w:rPr>
      </w:pPr>
      <w:r>
        <w:rPr>
          <w:rFonts w:cs="Arial" w:ascii="Arial" w:hAnsi="Arial"/>
          <w:i/>
          <w:iCs/>
          <w:sz w:val="20"/>
          <w:szCs w:val="20"/>
        </w:rPr>
        <w:t>Рис. 18. Общий вид полуцилиндрического прототипа MCT (слева) и напряжение пробоя (справа), измеренное отдельно для всех площадок. Красная линия представляет рабочее напряжение для газового усиления 10</w:t>
      </w:r>
      <w:r>
        <w:rPr>
          <w:rFonts w:cs="Arial" w:ascii="Arial" w:hAnsi="Arial"/>
          <w:i/>
          <w:iCs/>
          <w:sz w:val="20"/>
          <w:szCs w:val="20"/>
          <w:vertAlign w:val="superscript"/>
        </w:rPr>
        <w:t>4</w:t>
      </w:r>
      <w:r>
        <w:rPr>
          <w:rFonts w:cs="Arial" w:ascii="Arial" w:hAnsi="Arial"/>
          <w:i/>
          <w:iCs/>
          <w:sz w:val="20"/>
          <w:szCs w:val="20"/>
        </w:rPr>
        <w:t>.</w:t>
      </w:r>
    </w:p>
    <w:p>
      <w:pPr>
        <w:pStyle w:val="Normal"/>
        <w:spacing w:lineRule="atLeast" w:line="240" w:before="0" w:after="0"/>
        <w:jc w:val="both"/>
        <w:rPr/>
      </w:pPr>
      <w:r>
        <w:rPr/>
      </w:r>
    </w:p>
    <w:p>
      <w:pPr>
        <w:pStyle w:val="Normal"/>
        <w:spacing w:lineRule="atLeast" w:line="240" w:before="0" w:after="0"/>
        <w:ind w:firstLine="708"/>
        <w:jc w:val="both"/>
        <w:rPr/>
      </w:pPr>
      <w:r>
        <w:rPr/>
        <w:t xml:space="preserve">Для прототипирования системы TOF детектора SPD было изготовлено четыре камеры MRPC. Аналоговая фронтальная электроника на основе метода дискриминации постоянной фракции была разработана и оптимизирована для временных измерений MRPC. Общее временное разрешение </w:t>
      </w:r>
      <w:r>
        <w:rPr>
          <w:rFonts w:cs="Cambria Math" w:ascii="Cambria Math" w:hAnsi="Cambria Math"/>
        </w:rPr>
        <w:t xml:space="preserve">примерно </w:t>
      </w:r>
      <w:r>
        <w:rPr/>
        <w:t>40 пикосекунд было достигнуто для MRPC с 10-ю и 12-ю зазорами с использованием космической испытательной установки и мюонного пучка на ускорителе У-70 ИФВЭ в Протвино (рис. 19). Полученный результат удовлетворяет требованиям эксперимента SPD на NICA (60 пикосекунд).</w:t>
      </w:r>
    </w:p>
    <w:p>
      <w:pPr>
        <w:pStyle w:val="Normal"/>
        <w:spacing w:lineRule="atLeast" w:line="240" w:before="0" w:after="0"/>
        <w:jc w:val="both"/>
        <w:rPr/>
      </w:pPr>
      <w:r>
        <w:rPr/>
      </w:r>
    </w:p>
    <w:p>
      <w:pPr>
        <w:pStyle w:val="Normal"/>
        <w:spacing w:lineRule="atLeast" w:line="240" w:before="0" w:after="0"/>
        <w:jc w:val="both"/>
        <w:rPr/>
      </w:pPr>
      <w:r>
        <w:rPr/>
      </w:r>
    </w:p>
    <w:p>
      <w:pPr>
        <w:pStyle w:val="Normal"/>
        <w:spacing w:lineRule="atLeast" w:line="240" w:before="0" w:after="0"/>
        <w:jc w:val="center"/>
        <w:rPr/>
      </w:pPr>
      <w:r>
        <w:rPr/>
        <w:drawing>
          <wp:inline distT="0" distB="0" distL="0" distR="0">
            <wp:extent cx="2512060" cy="2517775"/>
            <wp:effectExtent l="0" t="0" r="0" b="0"/>
            <wp:docPr id="25" name="Picture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
                    <pic:cNvPicPr>
                      <a:picLocks noChangeAspect="1" noChangeArrowheads="1"/>
                    </pic:cNvPicPr>
                  </pic:nvPicPr>
                  <pic:blipFill>
                    <a:blip r:embed="rId26"/>
                    <a:stretch>
                      <a:fillRect/>
                    </a:stretch>
                  </pic:blipFill>
                  <pic:spPr bwMode="auto">
                    <a:xfrm>
                      <a:off x="0" y="0"/>
                      <a:ext cx="2512060" cy="2517775"/>
                    </a:xfrm>
                    <a:prstGeom prst="rect">
                      <a:avLst/>
                    </a:prstGeom>
                  </pic:spPr>
                </pic:pic>
              </a:graphicData>
            </a:graphic>
          </wp:inline>
        </w:drawing>
      </w:r>
      <w:r>
        <w:rPr/>
        <w:drawing>
          <wp:inline distT="0" distB="0" distL="0" distR="0">
            <wp:extent cx="3267710" cy="2536190"/>
            <wp:effectExtent l="0" t="0" r="0" b="0"/>
            <wp:docPr id="26" name="Picture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
                    <pic:cNvPicPr>
                      <a:picLocks noChangeAspect="1" noChangeArrowheads="1"/>
                    </pic:cNvPicPr>
                  </pic:nvPicPr>
                  <pic:blipFill>
                    <a:blip r:embed="rId27"/>
                    <a:stretch>
                      <a:fillRect/>
                    </a:stretch>
                  </pic:blipFill>
                  <pic:spPr bwMode="auto">
                    <a:xfrm>
                      <a:off x="0" y="0"/>
                      <a:ext cx="3267710" cy="2536190"/>
                    </a:xfrm>
                    <a:prstGeom prst="rect">
                      <a:avLst/>
                    </a:prstGeom>
                  </pic:spPr>
                </pic:pic>
              </a:graphicData>
            </a:graphic>
          </wp:inline>
        </w:drawing>
      </w:r>
    </w:p>
    <w:p>
      <w:pPr>
        <w:pStyle w:val="Normal"/>
        <w:spacing w:lineRule="atLeast" w:line="240" w:before="0" w:after="0"/>
        <w:jc w:val="both"/>
        <w:rPr>
          <w:rFonts w:ascii="Arial" w:hAnsi="Arial" w:cs="Arial"/>
          <w:i/>
          <w:i/>
          <w:iCs/>
          <w:sz w:val="20"/>
          <w:szCs w:val="20"/>
        </w:rPr>
      </w:pPr>
      <w:r>
        <w:rPr>
          <w:rFonts w:cs="Arial" w:ascii="Arial" w:hAnsi="Arial"/>
          <w:i/>
          <w:iCs/>
          <w:sz w:val="20"/>
          <w:szCs w:val="20"/>
        </w:rPr>
        <w:t>Рис. 19. Испытательный стенд на космическом излучении (слева) и испытательная установка MRPC (справа) на мюонном пучке ускорителя У-70.</w:t>
      </w:r>
    </w:p>
    <w:p>
      <w:pPr>
        <w:pStyle w:val="Normal"/>
        <w:spacing w:lineRule="atLeast" w:line="240" w:before="0" w:after="0"/>
        <w:jc w:val="both"/>
        <w:rPr/>
      </w:pPr>
      <w:r>
        <w:rPr/>
      </w:r>
    </w:p>
    <w:p>
      <w:pPr>
        <w:pStyle w:val="Normal"/>
        <w:spacing w:lineRule="atLeast" w:line="240" w:before="0" w:after="0"/>
        <w:ind w:firstLine="708"/>
        <w:jc w:val="both"/>
        <w:rPr/>
      </w:pPr>
      <w:r>
        <w:rPr/>
        <w:t>Группа ОИЯИ продолжает участвовать в модернизации и обслуживании сверхпроводящих тороидов магнитной системы ATLAS. В период LS3 запланированы замена криогенного насоса, модернизация токонесущих шин, установка лесов и другие работы в шахте ATLAS для служб технического координатора.</w:t>
      </w:r>
    </w:p>
    <w:p>
      <w:pPr>
        <w:pStyle w:val="Normal"/>
        <w:spacing w:lineRule="atLeast" w:line="240" w:before="0" w:after="0"/>
        <w:jc w:val="both"/>
        <w:rPr/>
      </w:pPr>
      <w:r>
        <w:rPr/>
      </w:r>
    </w:p>
    <w:p>
      <w:pPr>
        <w:pStyle w:val="Normal"/>
        <w:spacing w:lineRule="atLeast" w:line="240" w:before="0" w:after="0"/>
        <w:jc w:val="both"/>
        <w:rPr>
          <w:b/>
          <w:bCs/>
          <w:i/>
          <w:i/>
          <w:iCs/>
        </w:rPr>
      </w:pPr>
      <w:r>
        <w:rPr>
          <w:b/>
          <w:bCs/>
          <w:i/>
          <w:iCs/>
        </w:rPr>
        <w:t>Сопутстующие риски (</w:t>
      </w:r>
      <w:r>
        <w:rPr>
          <w:b/>
          <w:bCs/>
          <w:i/>
          <w:iCs/>
          <w:lang w:val="en-US"/>
        </w:rPr>
        <w:t>SWOT</w:t>
      </w:r>
      <w:r>
        <w:rPr>
          <w:b/>
          <w:bCs/>
          <w:i/>
          <w:iCs/>
        </w:rPr>
        <w:t xml:space="preserve"> анализ)</w:t>
      </w:r>
    </w:p>
    <w:p>
      <w:pPr>
        <w:pStyle w:val="Normal"/>
        <w:spacing w:lineRule="atLeast" w:line="240" w:before="0" w:after="0"/>
        <w:jc w:val="both"/>
        <w:rPr>
          <w:b/>
          <w:bCs/>
          <w:i/>
          <w:i/>
          <w:iCs/>
        </w:rPr>
      </w:pPr>
      <w:r>
        <w:rPr>
          <w:b/>
          <w:bCs/>
          <w:i/>
          <w:iCs/>
        </w:rPr>
      </w:r>
    </w:p>
    <w:p>
      <w:pPr>
        <w:pStyle w:val="Normal"/>
        <w:spacing w:lineRule="atLeast" w:line="240" w:before="0" w:after="0"/>
        <w:jc w:val="both"/>
        <w:rPr>
          <w:i/>
          <w:i/>
          <w:iCs/>
        </w:rPr>
      </w:pPr>
      <w:r>
        <w:rPr>
          <w:i/>
          <w:iCs/>
        </w:rPr>
        <w:t>Сильные стороны</w:t>
      </w:r>
    </w:p>
    <w:p>
      <w:pPr>
        <w:pStyle w:val="ListParagraph"/>
        <w:numPr>
          <w:ilvl w:val="0"/>
          <w:numId w:val="4"/>
        </w:numPr>
        <w:spacing w:lineRule="atLeast" w:line="240" w:before="0" w:after="0"/>
        <w:contextualSpacing/>
        <w:jc w:val="both"/>
        <w:rPr/>
      </w:pPr>
      <w:r>
        <w:rPr/>
        <w:t>Участие в крупном и сложном международном проекте в конкурентной и высокотехнологичной, ориентированной на международный уровень исследовательской сфере.</w:t>
      </w:r>
    </w:p>
    <w:p>
      <w:pPr>
        <w:pStyle w:val="ListParagraph"/>
        <w:numPr>
          <w:ilvl w:val="0"/>
          <w:numId w:val="4"/>
        </w:numPr>
        <w:spacing w:lineRule="atLeast" w:line="240" w:before="0" w:after="0"/>
        <w:contextualSpacing/>
        <w:jc w:val="both"/>
        <w:rPr/>
      </w:pPr>
      <w:r>
        <w:rPr/>
        <w:t>Отличные научные публикации и показатели цитирования.</w:t>
      </w:r>
    </w:p>
    <w:p>
      <w:pPr>
        <w:pStyle w:val="ListParagraph"/>
        <w:numPr>
          <w:ilvl w:val="0"/>
          <w:numId w:val="4"/>
        </w:numPr>
        <w:spacing w:lineRule="atLeast" w:line="240" w:before="0" w:after="0"/>
        <w:contextualSpacing/>
        <w:jc w:val="both"/>
        <w:rPr/>
      </w:pPr>
      <w:r>
        <w:rPr/>
        <w:t>Сотрудничество с группами в ведущем международном ускорительном центре (ЦЕРН) и других физических лабораториях.</w:t>
      </w:r>
    </w:p>
    <w:p>
      <w:pPr>
        <w:pStyle w:val="ListParagraph"/>
        <w:numPr>
          <w:ilvl w:val="0"/>
          <w:numId w:val="4"/>
        </w:numPr>
        <w:spacing w:lineRule="atLeast" w:line="240" w:before="0" w:after="0"/>
        <w:contextualSpacing/>
        <w:jc w:val="both"/>
        <w:rPr/>
      </w:pPr>
      <w:r>
        <w:rPr/>
        <w:t>Большой интерес со стороны общественности и СМИ.</w:t>
      </w:r>
    </w:p>
    <w:p>
      <w:pPr>
        <w:pStyle w:val="Normal"/>
        <w:spacing w:lineRule="atLeast" w:line="240" w:before="0" w:after="0"/>
        <w:jc w:val="both"/>
        <w:rPr>
          <w:i/>
          <w:i/>
          <w:iCs/>
        </w:rPr>
      </w:pPr>
      <w:r>
        <w:rPr>
          <w:i/>
          <w:iCs/>
        </w:rPr>
        <w:t>Слабые стороны</w:t>
      </w:r>
    </w:p>
    <w:p>
      <w:pPr>
        <w:pStyle w:val="ListParagraph"/>
        <w:numPr>
          <w:ilvl w:val="0"/>
          <w:numId w:val="5"/>
        </w:numPr>
        <w:spacing w:lineRule="atLeast" w:line="240" w:before="0" w:after="0"/>
        <w:contextualSpacing/>
        <w:jc w:val="both"/>
        <w:rPr/>
      </w:pPr>
      <w:r>
        <w:rPr/>
        <w:t>Старение штатных ученых и инженеров.</w:t>
      </w:r>
    </w:p>
    <w:p>
      <w:pPr>
        <w:pStyle w:val="ListParagraph"/>
        <w:numPr>
          <w:ilvl w:val="0"/>
          <w:numId w:val="5"/>
        </w:numPr>
        <w:spacing w:lineRule="atLeast" w:line="240" w:before="0" w:after="0"/>
        <w:contextualSpacing/>
        <w:jc w:val="both"/>
        <w:rPr/>
      </w:pPr>
      <w:r>
        <w:rPr/>
        <w:t>Трудности с регистрацией новых людей в ЦЕРН.</w:t>
      </w:r>
    </w:p>
    <w:p>
      <w:pPr>
        <w:pStyle w:val="Normal"/>
        <w:spacing w:lineRule="atLeast" w:line="240" w:before="0" w:after="0"/>
        <w:jc w:val="both"/>
        <w:rPr>
          <w:i/>
          <w:i/>
          <w:iCs/>
        </w:rPr>
      </w:pPr>
      <w:r>
        <w:rPr>
          <w:i/>
          <w:iCs/>
        </w:rPr>
        <w:t>Возможности</w:t>
      </w:r>
    </w:p>
    <w:p>
      <w:pPr>
        <w:pStyle w:val="ListParagraph"/>
        <w:numPr>
          <w:ilvl w:val="0"/>
          <w:numId w:val="6"/>
        </w:numPr>
        <w:spacing w:lineRule="atLeast" w:line="240" w:before="0" w:after="0"/>
        <w:contextualSpacing/>
        <w:jc w:val="both"/>
        <w:rPr/>
      </w:pPr>
      <w:r>
        <w:rPr/>
        <w:t>LHC демонстрирует огромный потенциал для открытий, что привлекает ученых всех уровней (магистрантов, аспирантов, постдоков и штатных физиков).</w:t>
      </w:r>
    </w:p>
    <w:p>
      <w:pPr>
        <w:pStyle w:val="ListParagraph"/>
        <w:numPr>
          <w:ilvl w:val="0"/>
          <w:numId w:val="6"/>
        </w:numPr>
        <w:spacing w:lineRule="atLeast" w:line="240" w:before="0" w:after="0"/>
        <w:contextualSpacing/>
        <w:jc w:val="both"/>
        <w:rPr/>
      </w:pPr>
      <w:r>
        <w:rPr/>
        <w:t>Эксперименты ОИЯИ часто требуют совершенно новых и сложных технологий, а ATLAS предлагает нашим техническим отделам возможности и контакты с новыми исследовательскими сообществами. Новая технология Micromegas уже внедрена в ОИЯИ.</w:t>
      </w:r>
    </w:p>
    <w:p>
      <w:pPr>
        <w:pStyle w:val="ListParagraph"/>
        <w:numPr>
          <w:ilvl w:val="0"/>
          <w:numId w:val="6"/>
        </w:numPr>
        <w:spacing w:lineRule="atLeast" w:line="240" w:before="0" w:after="0"/>
        <w:contextualSpacing/>
        <w:jc w:val="both"/>
        <w:rPr/>
      </w:pPr>
      <w:r>
        <w:rPr/>
        <w:t>Опыт, полученный в эксперименте ATLAS, мы передаем коллегам из проекта NICA и другим проектам с участием ОИЯИ.</w:t>
      </w:r>
    </w:p>
    <w:p>
      <w:pPr>
        <w:pStyle w:val="ListParagraph"/>
        <w:numPr>
          <w:ilvl w:val="0"/>
          <w:numId w:val="6"/>
        </w:numPr>
        <w:spacing w:lineRule="atLeast" w:line="240" w:before="0" w:after="0"/>
        <w:contextualSpacing/>
        <w:jc w:val="both"/>
        <w:rPr/>
      </w:pPr>
      <w:r>
        <w:rPr/>
        <w:t>BiG Grid — проект электронной научной сети JINR-LCG2 — предоставляет исследователям ОИЯИ самые современные вычислительные сервисы и возможность устанавливать контакты и/или сотрудничать со многими другими исследовательскими дисциплинами.</w:t>
      </w:r>
    </w:p>
    <w:p>
      <w:pPr>
        <w:pStyle w:val="Normal"/>
        <w:spacing w:lineRule="atLeast" w:line="240" w:before="0" w:after="0"/>
        <w:jc w:val="both"/>
        <w:rPr>
          <w:i/>
          <w:i/>
          <w:iCs/>
        </w:rPr>
      </w:pPr>
      <w:r>
        <w:rPr>
          <w:i/>
          <w:iCs/>
        </w:rPr>
        <w:t>Угрозы</w:t>
      </w:r>
    </w:p>
    <w:p>
      <w:pPr>
        <w:pStyle w:val="ListParagraph"/>
        <w:numPr>
          <w:ilvl w:val="0"/>
          <w:numId w:val="7"/>
        </w:numPr>
        <w:spacing w:lineRule="atLeast" w:line="240" w:before="0" w:after="0"/>
        <w:contextualSpacing/>
        <w:jc w:val="both"/>
        <w:rPr/>
      </w:pPr>
      <w:r>
        <w:rPr/>
        <w:t>Дорогая и сложная логистика, крайне затруднительные банковские транзакции.</w:t>
      </w:r>
    </w:p>
    <w:p>
      <w:pPr>
        <w:pStyle w:val="Normal"/>
        <w:spacing w:lineRule="atLeast" w:line="240" w:before="0" w:after="0"/>
        <w:ind w:firstLine="360"/>
        <w:jc w:val="both"/>
        <w:rPr/>
      </w:pPr>
      <w:r>
        <w:rPr/>
        <w:t>В 2024 году ЦЕРН расторг соглашения о сотрудничестве с институтами из России и Беларуси, а в соглашение с ОИЯИ были введены ограничения. Еще до этого, из-за неопределенности ситуации, коллаборация ATLAS приняла решение пересмотреть обязательства ОИЯИ по участию в Фазе 2, часть из которых была перераспределена между другими институтами. В настоящее время ведутся переговоры по уточнению обязательств ОИЯИ и подготовке нового Меморандума о взаимопонимании.</w:t>
      </w:r>
    </w:p>
    <w:p>
      <w:pPr>
        <w:pStyle w:val="Normal"/>
        <w:spacing w:lineRule="atLeast" w:line="240" w:before="0" w:after="0"/>
        <w:ind w:firstLine="360"/>
        <w:jc w:val="both"/>
        <w:rPr/>
      </w:pPr>
      <w:r>
        <w:rPr/>
      </w:r>
    </w:p>
    <w:p>
      <w:pPr>
        <w:pStyle w:val="Normal"/>
        <w:spacing w:lineRule="atLeast" w:line="240" w:before="0" w:after="0"/>
        <w:jc w:val="both"/>
        <w:rPr>
          <w:bCs/>
        </w:rPr>
      </w:pPr>
      <w:r>
        <w:rPr>
          <w:b/>
        </w:rPr>
        <w:t>2.3. Предполагаемый срок выполнения -</w:t>
      </w:r>
      <w:r>
        <w:rPr>
          <w:bCs/>
        </w:rPr>
        <w:t xml:space="preserve"> 2030 год.</w:t>
      </w:r>
    </w:p>
    <w:p>
      <w:pPr>
        <w:pStyle w:val="Normal"/>
        <w:spacing w:lineRule="atLeast" w:line="240" w:before="0" w:after="0"/>
        <w:jc w:val="both"/>
        <w:rPr>
          <w:bCs/>
        </w:rPr>
      </w:pPr>
      <w:r>
        <w:rPr>
          <w:bCs/>
        </w:rPr>
      </w:r>
    </w:p>
    <w:p>
      <w:pPr>
        <w:pStyle w:val="Normal"/>
        <w:spacing w:lineRule="atLeast" w:line="240" w:before="0" w:after="0"/>
        <w:ind w:firstLine="708"/>
        <w:jc w:val="both"/>
        <w:rPr>
          <w:bCs/>
        </w:rPr>
      </w:pPr>
      <w:r>
        <w:rPr>
          <w:bCs/>
        </w:rPr>
        <w:t>Начало длительной остановки LS3 для LHC теперь запланировано на начало июля 2026 г., на семь с половиной месяцев позже запланированного. Общая продолжительность остановки увеличится примерно на четыре месяца. В совокупности эти мероприятия сдвинут старт ускорителя High-Luminosity LHC (HL-LHC) (Run 4) примерно на год, на июнь 2030 года. К этому времени будет завершено изготовление, сборка и наладка всех подсистем детектора ATLAS. Помимо основных работ, команды ATLAS также участвуют в реализации экспериментальной программы на комплексе NICA.</w:t>
      </w:r>
    </w:p>
    <w:p>
      <w:pPr>
        <w:pStyle w:val="Normal"/>
        <w:spacing w:lineRule="atLeast" w:line="240" w:before="0" w:after="0"/>
        <w:jc w:val="both"/>
        <w:rPr/>
      </w:pPr>
      <w:r>
        <w:rPr/>
      </w:r>
    </w:p>
    <w:p>
      <w:pPr>
        <w:pStyle w:val="Normal"/>
        <w:spacing w:lineRule="atLeast" w:line="240" w:before="0" w:after="0"/>
        <w:jc w:val="both"/>
        <w:rPr>
          <w:bCs/>
        </w:rPr>
      </w:pPr>
      <w:r>
        <w:rPr>
          <w:b/>
        </w:rPr>
        <w:t xml:space="preserve">2.4. Участвующие лаборатории ОИЯИ - </w:t>
      </w:r>
      <w:r>
        <w:rPr>
          <w:bCs/>
        </w:rPr>
        <w:t xml:space="preserve">ЛЯП, ЛФВЭ, ЛИТ, ЛНФ </w:t>
      </w:r>
      <w:r>
        <w:rPr>
          <w:bCs/>
        </w:rPr>
        <w:t>и ЛТФ</w:t>
      </w:r>
    </w:p>
    <w:p>
      <w:pPr>
        <w:pStyle w:val="Normal"/>
        <w:spacing w:lineRule="atLeast" w:line="240" w:before="0" w:after="0"/>
        <w:ind w:firstLine="708"/>
        <w:jc w:val="both"/>
        <w:rPr/>
      </w:pPr>
      <w:r>
        <w:rPr>
          <w:bCs/>
        </w:rPr>
        <w:t xml:space="preserve">Основными участниками проекта модернизации ATLAS являются сотрудники Лаборатории ядерных проблем им. В.П.Джелепова и Лаборатории физики высоких энергий им. В.И.Векслера и А.М.Балдина. Также в проекте участвуют сотрудники Лаборатории информационных технологий им. М.Г.Мещерякова (обеспечение обработки экспериментальных данных и моделирования, в том числе с использованием грид-инфраструктуры уровня Tier-2) и Лаборатории нейтронной физики им. И.М.Франка (радиационные испытания материалов и компонентов электроники). </w:t>
      </w:r>
      <w:r>
        <w:rPr/>
        <w:t xml:space="preserve">Теоретическая поддержка проекта (темы) традиционно осуществляется силами сотрудников Лаборатории теоретической физики им. Н.Н.Боголюбова. </w:t>
      </w:r>
    </w:p>
    <w:p>
      <w:pPr>
        <w:pStyle w:val="Normal"/>
        <w:spacing w:lineRule="atLeast" w:line="240" w:before="0" w:after="0"/>
        <w:jc w:val="both"/>
        <w:rPr>
          <w:b/>
        </w:rPr>
      </w:pPr>
      <w:r>
        <w:rPr>
          <w:b/>
        </w:rPr>
      </w:r>
    </w:p>
    <w:p>
      <w:pPr>
        <w:pStyle w:val="Normal"/>
        <w:spacing w:lineRule="auto" w:line="240" w:before="0" w:after="0"/>
        <w:rPr>
          <w:b/>
        </w:rPr>
      </w:pPr>
      <w:r>
        <w:rPr>
          <w:b/>
        </w:rPr>
        <w:t>2.4.1. Потребности в ресурсах МИВК</w:t>
      </w:r>
    </w:p>
    <w:p>
      <w:pPr>
        <w:pStyle w:val="Normal"/>
        <w:spacing w:lineRule="auto" w:line="240" w:before="0" w:after="0"/>
        <w:rPr>
          <w:b/>
        </w:rPr>
      </w:pPr>
      <w:r>
        <w:rPr>
          <w:b/>
        </w:rPr>
      </w:r>
    </w:p>
    <w:tbl>
      <w:tblPr>
        <w:tblStyle w:val="TableGrid"/>
        <w:tblW w:w="9923" w:type="dxa"/>
        <w:jc w:val="left"/>
        <w:tblInd w:w="-5" w:type="dxa"/>
        <w:tblLayout w:type="fixed"/>
        <w:tblCellMar>
          <w:top w:w="0" w:type="dxa"/>
          <w:left w:w="108" w:type="dxa"/>
          <w:bottom w:w="0" w:type="dxa"/>
          <w:right w:w="108" w:type="dxa"/>
        </w:tblCellMar>
        <w:tblLook w:val="04a0" w:noHBand="0" w:noVBand="1" w:firstColumn="1" w:lastRow="0" w:lastColumn="0" w:firstRow="1"/>
      </w:tblPr>
      <w:tblGrid>
        <w:gridCol w:w="3259"/>
        <w:gridCol w:w="1335"/>
        <w:gridCol w:w="1333"/>
        <w:gridCol w:w="1330"/>
        <w:gridCol w:w="1334"/>
        <w:gridCol w:w="1331"/>
      </w:tblGrid>
      <w:tr>
        <w:trPr>
          <w:trHeight w:val="381" w:hRule="atLeast"/>
        </w:trPr>
        <w:tc>
          <w:tcPr>
            <w:tcW w:w="3259" w:type="dxa"/>
            <w:vMerge w:val="restart"/>
            <w:tcBorders/>
          </w:tcPr>
          <w:p>
            <w:pPr>
              <w:pStyle w:val="Normal"/>
              <w:widowControl/>
              <w:suppressAutoHyphens w:val="true"/>
              <w:spacing w:lineRule="auto" w:line="360" w:before="0" w:after="160"/>
              <w:jc w:val="center"/>
              <w:rPr>
                <w:b/>
                <w:sz w:val="20"/>
                <w:szCs w:val="20"/>
              </w:rPr>
            </w:pPr>
            <w:r>
              <w:rPr>
                <w:rFonts w:eastAsia="Calibri" w:cs="Times New Roman"/>
                <w:b/>
                <w:kern w:val="0"/>
                <w:sz w:val="20"/>
                <w:szCs w:val="20"/>
                <w:lang w:val="ru-RU" w:eastAsia="en-US" w:bidi="ar-SA"/>
              </w:rPr>
            </w:r>
          </w:p>
          <w:p>
            <w:pPr>
              <w:pStyle w:val="Normal"/>
              <w:widowControl/>
              <w:suppressAutoHyphens w:val="true"/>
              <w:spacing w:lineRule="auto" w:line="360" w:before="0" w:after="160"/>
              <w:jc w:val="center"/>
              <w:rPr>
                <w:b/>
                <w:sz w:val="20"/>
                <w:szCs w:val="20"/>
              </w:rPr>
            </w:pPr>
            <w:r>
              <w:rPr>
                <w:rFonts w:eastAsia="Calibri" w:cs="Times New Roman"/>
                <w:b/>
                <w:kern w:val="0"/>
                <w:sz w:val="20"/>
                <w:szCs w:val="20"/>
                <w:lang w:val="ru-RU" w:eastAsia="en-US" w:bidi="ar-SA"/>
              </w:rPr>
              <w:t>Вычислительные ресурсы</w:t>
            </w:r>
          </w:p>
        </w:tc>
        <w:tc>
          <w:tcPr>
            <w:tcW w:w="6663" w:type="dxa"/>
            <w:gridSpan w:val="5"/>
            <w:tcBorders/>
          </w:tcPr>
          <w:p>
            <w:pPr>
              <w:pStyle w:val="Normal"/>
              <w:widowControl/>
              <w:suppressAutoHyphens w:val="true"/>
              <w:spacing w:lineRule="atLeast" w:line="240" w:before="120" w:after="0"/>
              <w:jc w:val="center"/>
              <w:rPr>
                <w:b/>
                <w:sz w:val="20"/>
                <w:szCs w:val="20"/>
              </w:rPr>
            </w:pPr>
            <w:r>
              <w:rPr>
                <w:rFonts w:eastAsia="Calibri" w:cs="Times New Roman"/>
                <w:b/>
                <w:kern w:val="0"/>
                <w:sz w:val="20"/>
                <w:szCs w:val="20"/>
                <w:lang w:val="ru-RU" w:eastAsia="en-US" w:bidi="ar-SA"/>
              </w:rPr>
              <w:t>Распределение по годам</w:t>
            </w:r>
          </w:p>
        </w:tc>
      </w:tr>
      <w:tr>
        <w:trPr/>
        <w:tc>
          <w:tcPr>
            <w:tcW w:w="3259" w:type="dxa"/>
            <w:vMerge w:val="continue"/>
            <w:tcBorders/>
            <w:vAlign w:val="center"/>
          </w:tcPr>
          <w:p>
            <w:pPr>
              <w:pStyle w:val="Normal"/>
              <w:widowControl/>
              <w:suppressAutoHyphens w:val="true"/>
              <w:spacing w:lineRule="auto" w:line="240" w:before="0" w:after="0"/>
              <w:jc w:val="left"/>
              <w:rPr>
                <w:b/>
                <w:sz w:val="20"/>
                <w:szCs w:val="20"/>
              </w:rPr>
            </w:pPr>
            <w:r>
              <w:rPr>
                <w:rFonts w:eastAsia="Calibri" w:cs="Times New Roman"/>
                <w:b/>
                <w:kern w:val="0"/>
                <w:sz w:val="20"/>
                <w:szCs w:val="20"/>
                <w:lang w:val="ru-RU" w:eastAsia="en-US" w:bidi="ar-SA"/>
              </w:rPr>
            </w:r>
          </w:p>
        </w:tc>
        <w:tc>
          <w:tcPr>
            <w:tcW w:w="1335" w:type="dxa"/>
            <w:tcBorders/>
            <w:vAlign w:val="center"/>
          </w:tcPr>
          <w:p>
            <w:pPr>
              <w:pStyle w:val="Normal"/>
              <w:widowControl/>
              <w:suppressAutoHyphens w:val="true"/>
              <w:spacing w:lineRule="atLeast" w:line="240" w:before="0" w:after="0"/>
              <w:jc w:val="center"/>
              <w:rPr>
                <w:bCs/>
                <w:sz w:val="20"/>
                <w:szCs w:val="20"/>
              </w:rPr>
            </w:pPr>
            <w:r>
              <w:rPr>
                <w:rFonts w:eastAsia="Calibri" w:cs="Times New Roman"/>
                <w:bCs/>
                <w:kern w:val="0"/>
                <w:sz w:val="20"/>
                <w:szCs w:val="20"/>
                <w:lang w:val="ru-RU" w:eastAsia="en-US" w:bidi="ar-SA"/>
              </w:rPr>
              <w:t>1 год</w:t>
            </w:r>
          </w:p>
        </w:tc>
        <w:tc>
          <w:tcPr>
            <w:tcW w:w="1333" w:type="dxa"/>
            <w:tcBorders/>
            <w:vAlign w:val="center"/>
          </w:tcPr>
          <w:p>
            <w:pPr>
              <w:pStyle w:val="Normal"/>
              <w:widowControl/>
              <w:suppressAutoHyphens w:val="true"/>
              <w:spacing w:lineRule="atLeast" w:line="240" w:before="0" w:after="0"/>
              <w:jc w:val="center"/>
              <w:rPr>
                <w:bCs/>
                <w:sz w:val="20"/>
                <w:szCs w:val="20"/>
              </w:rPr>
            </w:pPr>
            <w:r>
              <w:rPr>
                <w:rFonts w:eastAsia="Calibri" w:cs="Times New Roman"/>
                <w:bCs/>
                <w:kern w:val="0"/>
                <w:sz w:val="20"/>
                <w:szCs w:val="20"/>
                <w:lang w:val="ru-RU" w:eastAsia="en-US" w:bidi="ar-SA"/>
              </w:rPr>
              <w:t>2 год</w:t>
            </w:r>
          </w:p>
        </w:tc>
        <w:tc>
          <w:tcPr>
            <w:tcW w:w="1330" w:type="dxa"/>
            <w:tcBorders/>
            <w:vAlign w:val="center"/>
          </w:tcPr>
          <w:p>
            <w:pPr>
              <w:pStyle w:val="Normal"/>
              <w:widowControl/>
              <w:suppressAutoHyphens w:val="true"/>
              <w:spacing w:lineRule="atLeast" w:line="240" w:before="0" w:after="0"/>
              <w:jc w:val="center"/>
              <w:rPr>
                <w:bCs/>
                <w:sz w:val="20"/>
                <w:szCs w:val="20"/>
              </w:rPr>
            </w:pPr>
            <w:r>
              <w:rPr>
                <w:rFonts w:eastAsia="Calibri" w:cs="Times New Roman"/>
                <w:bCs/>
                <w:kern w:val="0"/>
                <w:sz w:val="20"/>
                <w:szCs w:val="20"/>
                <w:lang w:val="ru-RU" w:eastAsia="en-US" w:bidi="ar-SA"/>
              </w:rPr>
              <w:t>3 год</w:t>
            </w:r>
          </w:p>
        </w:tc>
        <w:tc>
          <w:tcPr>
            <w:tcW w:w="1334" w:type="dxa"/>
            <w:tcBorders/>
            <w:vAlign w:val="center"/>
          </w:tcPr>
          <w:p>
            <w:pPr>
              <w:pStyle w:val="Normal"/>
              <w:widowControl/>
              <w:suppressAutoHyphens w:val="true"/>
              <w:spacing w:lineRule="atLeast" w:line="240" w:before="0" w:after="0"/>
              <w:jc w:val="center"/>
              <w:rPr>
                <w:bCs/>
                <w:sz w:val="20"/>
                <w:szCs w:val="20"/>
              </w:rPr>
            </w:pPr>
            <w:r>
              <w:rPr>
                <w:rFonts w:eastAsia="Calibri" w:cs="Times New Roman"/>
                <w:bCs/>
                <w:kern w:val="0"/>
                <w:sz w:val="20"/>
                <w:szCs w:val="20"/>
                <w:lang w:val="ru-RU" w:eastAsia="en-US" w:bidi="ar-SA"/>
              </w:rPr>
              <w:t>4 год</w:t>
            </w:r>
          </w:p>
        </w:tc>
        <w:tc>
          <w:tcPr>
            <w:tcW w:w="1331" w:type="dxa"/>
            <w:tcBorders/>
            <w:vAlign w:val="center"/>
          </w:tcPr>
          <w:p>
            <w:pPr>
              <w:pStyle w:val="Normal"/>
              <w:widowControl/>
              <w:suppressAutoHyphens w:val="true"/>
              <w:spacing w:lineRule="atLeast" w:line="240" w:before="0" w:after="0"/>
              <w:jc w:val="center"/>
              <w:rPr>
                <w:bCs/>
                <w:sz w:val="20"/>
                <w:szCs w:val="20"/>
              </w:rPr>
            </w:pPr>
            <w:r>
              <w:rPr>
                <w:rFonts w:eastAsia="Calibri" w:cs="Times New Roman"/>
                <w:bCs/>
                <w:kern w:val="0"/>
                <w:sz w:val="20"/>
                <w:szCs w:val="20"/>
                <w:lang w:val="ru-RU" w:eastAsia="en-US" w:bidi="ar-SA"/>
              </w:rPr>
              <w:t>5 год</w:t>
            </w:r>
          </w:p>
        </w:tc>
      </w:tr>
      <w:tr>
        <w:trPr/>
        <w:tc>
          <w:tcPr>
            <w:tcW w:w="3259" w:type="dxa"/>
            <w:tcBorders/>
          </w:tcPr>
          <w:p>
            <w:pPr>
              <w:pStyle w:val="Normal"/>
              <w:widowControl/>
              <w:suppressAutoHyphens w:val="true"/>
              <w:spacing w:lineRule="atLeast" w:line="240" w:before="0" w:after="0"/>
              <w:jc w:val="left"/>
              <w:rPr>
                <w:bCs/>
              </w:rPr>
            </w:pPr>
            <w:r>
              <w:rPr>
                <w:rFonts w:eastAsia="Calibri" w:cs="Times New Roman"/>
                <w:bCs/>
                <w:kern w:val="0"/>
                <w:lang w:val="ru-RU" w:eastAsia="en-US" w:bidi="ar-SA"/>
              </w:rPr>
              <w:t>Хранение данных (ТБ)</w:t>
            </w:r>
          </w:p>
          <w:p>
            <w:pPr>
              <w:pStyle w:val="Normal"/>
              <w:widowControl/>
              <w:suppressAutoHyphens w:val="true"/>
              <w:spacing w:lineRule="atLeast" w:line="240" w:before="0" w:after="0"/>
              <w:ind w:left="1027"/>
              <w:jc w:val="left"/>
              <w:rPr>
                <w:bCs/>
              </w:rPr>
            </w:pPr>
            <w:r>
              <w:rPr>
                <w:rFonts w:eastAsia="Calibri" w:cs="Times New Roman"/>
                <w:bCs/>
                <w:kern w:val="0"/>
                <w:lang w:val="ru-RU" w:eastAsia="en-US" w:bidi="ar-SA"/>
              </w:rPr>
              <w:t xml:space="preserve">- </w:t>
            </w:r>
            <w:r>
              <w:rPr>
                <w:rFonts w:eastAsia="Calibri" w:cs="Times New Roman"/>
                <w:bCs/>
                <w:kern w:val="0"/>
                <w:lang w:val="en-US" w:eastAsia="en-US" w:bidi="ar-SA"/>
              </w:rPr>
              <w:t>EOS</w:t>
            </w:r>
          </w:p>
          <w:p>
            <w:pPr>
              <w:pStyle w:val="Normal"/>
              <w:widowControl/>
              <w:suppressAutoHyphens w:val="true"/>
              <w:spacing w:lineRule="atLeast" w:line="240" w:before="0" w:after="0"/>
              <w:ind w:left="1027"/>
              <w:jc w:val="left"/>
              <w:rPr>
                <w:bCs/>
              </w:rPr>
            </w:pPr>
            <w:r>
              <w:rPr>
                <w:rFonts w:eastAsia="Calibri" w:cs="Times New Roman"/>
                <w:bCs/>
                <w:kern w:val="0"/>
                <w:lang w:val="ru-RU" w:eastAsia="en-US" w:bidi="ar-SA"/>
              </w:rPr>
              <w:t>- Ленты</w:t>
            </w:r>
          </w:p>
        </w:tc>
        <w:tc>
          <w:tcPr>
            <w:tcW w:w="1335" w:type="dxa"/>
            <w:tcBorders/>
          </w:tcPr>
          <w:p>
            <w:pPr>
              <w:pStyle w:val="Normal"/>
              <w:widowControl/>
              <w:suppressAutoHyphens w:val="true"/>
              <w:spacing w:lineRule="atLeast" w:line="240" w:before="0" w:after="0"/>
              <w:jc w:val="center"/>
              <w:rPr>
                <w:bCs/>
              </w:rPr>
            </w:pPr>
            <w:r>
              <w:rPr>
                <w:rFonts w:eastAsia="Calibri" w:cs="Times New Roman"/>
                <w:bCs/>
                <w:kern w:val="0"/>
                <w:lang w:val="ru-RU" w:eastAsia="en-US" w:bidi="ar-SA"/>
              </w:rPr>
              <w:t>200</w:t>
            </w:r>
          </w:p>
        </w:tc>
        <w:tc>
          <w:tcPr>
            <w:tcW w:w="1333" w:type="dxa"/>
            <w:tcBorders/>
          </w:tcPr>
          <w:p>
            <w:pPr>
              <w:pStyle w:val="Normal"/>
              <w:widowControl/>
              <w:suppressAutoHyphens w:val="true"/>
              <w:spacing w:lineRule="atLeast" w:line="240" w:before="0" w:after="0"/>
              <w:jc w:val="center"/>
              <w:rPr>
                <w:bCs/>
              </w:rPr>
            </w:pPr>
            <w:r>
              <w:rPr>
                <w:rFonts w:eastAsia="Calibri" w:cs="Times New Roman"/>
                <w:bCs/>
                <w:kern w:val="0"/>
                <w:lang w:val="ru-RU" w:eastAsia="en-US" w:bidi="ar-SA"/>
              </w:rPr>
              <w:t>200</w:t>
            </w:r>
          </w:p>
        </w:tc>
        <w:tc>
          <w:tcPr>
            <w:tcW w:w="1330" w:type="dxa"/>
            <w:tcBorders/>
          </w:tcPr>
          <w:p>
            <w:pPr>
              <w:pStyle w:val="Normal"/>
              <w:widowControl/>
              <w:suppressAutoHyphens w:val="true"/>
              <w:spacing w:lineRule="atLeast" w:line="240" w:before="0" w:after="0"/>
              <w:jc w:val="center"/>
              <w:rPr>
                <w:bCs/>
              </w:rPr>
            </w:pPr>
            <w:r>
              <w:rPr>
                <w:rFonts w:eastAsia="Calibri" w:cs="Times New Roman"/>
                <w:bCs/>
                <w:kern w:val="0"/>
                <w:lang w:val="ru-RU" w:eastAsia="en-US" w:bidi="ar-SA"/>
              </w:rPr>
              <w:t>200</w:t>
            </w:r>
          </w:p>
        </w:tc>
        <w:tc>
          <w:tcPr>
            <w:tcW w:w="1334" w:type="dxa"/>
            <w:tcBorders/>
          </w:tcPr>
          <w:p>
            <w:pPr>
              <w:pStyle w:val="Normal"/>
              <w:widowControl/>
              <w:suppressAutoHyphens w:val="true"/>
              <w:spacing w:lineRule="atLeast" w:line="240" w:before="0" w:after="0"/>
              <w:jc w:val="center"/>
              <w:rPr>
                <w:bCs/>
              </w:rPr>
            </w:pPr>
            <w:r>
              <w:rPr>
                <w:rFonts w:eastAsia="Calibri" w:cs="Times New Roman"/>
                <w:bCs/>
                <w:kern w:val="0"/>
                <w:lang w:val="ru-RU" w:eastAsia="en-US" w:bidi="ar-SA"/>
              </w:rPr>
              <w:t>200</w:t>
            </w:r>
          </w:p>
        </w:tc>
        <w:tc>
          <w:tcPr>
            <w:tcW w:w="1331" w:type="dxa"/>
            <w:tcBorders/>
          </w:tcPr>
          <w:p>
            <w:pPr>
              <w:pStyle w:val="Normal"/>
              <w:widowControl/>
              <w:suppressAutoHyphens w:val="true"/>
              <w:spacing w:lineRule="atLeast" w:line="240" w:before="0" w:after="0"/>
              <w:jc w:val="center"/>
              <w:rPr>
                <w:bCs/>
              </w:rPr>
            </w:pPr>
            <w:r>
              <w:rPr>
                <w:rFonts w:eastAsia="Calibri" w:cs="Times New Roman"/>
                <w:bCs/>
                <w:kern w:val="0"/>
                <w:lang w:val="ru-RU" w:eastAsia="en-US" w:bidi="ar-SA"/>
              </w:rPr>
              <w:t>200</w:t>
            </w:r>
          </w:p>
        </w:tc>
      </w:tr>
      <w:tr>
        <w:trPr/>
        <w:tc>
          <w:tcPr>
            <w:tcW w:w="3259" w:type="dxa"/>
            <w:tcBorders/>
          </w:tcPr>
          <w:p>
            <w:pPr>
              <w:pStyle w:val="Normal"/>
              <w:widowControl/>
              <w:suppressAutoHyphens w:val="true"/>
              <w:spacing w:lineRule="auto" w:line="360" w:before="0" w:after="0"/>
              <w:jc w:val="left"/>
              <w:rPr>
                <w:bCs/>
              </w:rPr>
            </w:pPr>
            <w:r>
              <w:rPr>
                <w:rFonts w:eastAsia="Calibri" w:cs="Times New Roman"/>
                <w:kern w:val="0"/>
                <w:lang w:val="en-US" w:eastAsia="en-US" w:bidi="ar-SA"/>
              </w:rPr>
              <w:t>Tier</w:t>
            </w:r>
            <w:r>
              <w:rPr>
                <w:rFonts w:eastAsia="Calibri" w:cs="Times New Roman"/>
                <w:kern w:val="0"/>
                <w:lang w:val="ru-RU" w:eastAsia="en-US" w:bidi="ar-SA"/>
              </w:rPr>
              <w:t xml:space="preserve"> 1 (ядро-час)</w:t>
            </w:r>
          </w:p>
        </w:tc>
        <w:tc>
          <w:tcPr>
            <w:tcW w:w="1335" w:type="dxa"/>
            <w:tcBorders/>
          </w:tcPr>
          <w:p>
            <w:pPr>
              <w:pStyle w:val="Normal"/>
              <w:widowControl/>
              <w:suppressAutoHyphens w:val="true"/>
              <w:spacing w:lineRule="auto" w:line="360" w:before="0" w:after="0"/>
              <w:jc w:val="center"/>
              <w:rPr>
                <w:bCs/>
              </w:rPr>
            </w:pPr>
            <w:r>
              <w:rPr>
                <w:rFonts w:eastAsia="Calibri" w:cs="Times New Roman"/>
                <w:bCs/>
                <w:kern w:val="0"/>
                <w:lang w:val="ru-RU" w:eastAsia="en-US" w:bidi="ar-SA"/>
              </w:rPr>
            </w:r>
          </w:p>
        </w:tc>
        <w:tc>
          <w:tcPr>
            <w:tcW w:w="1333" w:type="dxa"/>
            <w:tcBorders/>
          </w:tcPr>
          <w:p>
            <w:pPr>
              <w:pStyle w:val="Normal"/>
              <w:widowControl/>
              <w:suppressAutoHyphens w:val="true"/>
              <w:spacing w:lineRule="auto" w:line="360" w:before="0" w:after="0"/>
              <w:jc w:val="center"/>
              <w:rPr>
                <w:bCs/>
              </w:rPr>
            </w:pPr>
            <w:r>
              <w:rPr>
                <w:rFonts w:eastAsia="Calibri" w:cs="Times New Roman"/>
                <w:bCs/>
                <w:kern w:val="0"/>
                <w:lang w:val="ru-RU" w:eastAsia="en-US" w:bidi="ar-SA"/>
              </w:rPr>
            </w:r>
          </w:p>
        </w:tc>
        <w:tc>
          <w:tcPr>
            <w:tcW w:w="1330" w:type="dxa"/>
            <w:tcBorders/>
          </w:tcPr>
          <w:p>
            <w:pPr>
              <w:pStyle w:val="Normal"/>
              <w:widowControl/>
              <w:suppressAutoHyphens w:val="true"/>
              <w:spacing w:lineRule="auto" w:line="360" w:before="0" w:after="0"/>
              <w:jc w:val="center"/>
              <w:rPr>
                <w:bCs/>
              </w:rPr>
            </w:pPr>
            <w:r>
              <w:rPr>
                <w:rFonts w:eastAsia="Calibri" w:cs="Times New Roman"/>
                <w:bCs/>
                <w:kern w:val="0"/>
                <w:lang w:val="ru-RU" w:eastAsia="en-US" w:bidi="ar-SA"/>
              </w:rPr>
            </w:r>
          </w:p>
        </w:tc>
        <w:tc>
          <w:tcPr>
            <w:tcW w:w="1334" w:type="dxa"/>
            <w:tcBorders/>
          </w:tcPr>
          <w:p>
            <w:pPr>
              <w:pStyle w:val="Normal"/>
              <w:widowControl/>
              <w:suppressAutoHyphens w:val="true"/>
              <w:spacing w:lineRule="auto" w:line="360" w:before="0" w:after="0"/>
              <w:jc w:val="center"/>
              <w:rPr>
                <w:bCs/>
              </w:rPr>
            </w:pPr>
            <w:r>
              <w:rPr>
                <w:rFonts w:eastAsia="Calibri" w:cs="Times New Roman"/>
                <w:bCs/>
                <w:kern w:val="0"/>
                <w:lang w:val="ru-RU" w:eastAsia="en-US" w:bidi="ar-SA"/>
              </w:rPr>
            </w:r>
          </w:p>
        </w:tc>
        <w:tc>
          <w:tcPr>
            <w:tcW w:w="1331" w:type="dxa"/>
            <w:tcBorders/>
          </w:tcPr>
          <w:p>
            <w:pPr>
              <w:pStyle w:val="Normal"/>
              <w:widowControl/>
              <w:suppressAutoHyphens w:val="true"/>
              <w:spacing w:lineRule="auto" w:line="360" w:before="0" w:after="0"/>
              <w:jc w:val="center"/>
              <w:rPr>
                <w:bCs/>
              </w:rPr>
            </w:pPr>
            <w:r>
              <w:rPr>
                <w:rFonts w:eastAsia="Calibri" w:cs="Times New Roman"/>
                <w:bCs/>
                <w:kern w:val="0"/>
                <w:lang w:val="ru-RU" w:eastAsia="en-US" w:bidi="ar-SA"/>
              </w:rPr>
            </w:r>
          </w:p>
        </w:tc>
      </w:tr>
      <w:tr>
        <w:trPr/>
        <w:tc>
          <w:tcPr>
            <w:tcW w:w="3259" w:type="dxa"/>
            <w:tcBorders/>
          </w:tcPr>
          <w:p>
            <w:pPr>
              <w:pStyle w:val="Normal"/>
              <w:widowControl/>
              <w:suppressAutoHyphens w:val="true"/>
              <w:spacing w:lineRule="auto" w:line="360" w:before="0" w:after="0"/>
              <w:jc w:val="left"/>
              <w:rPr>
                <w:bCs/>
              </w:rPr>
            </w:pPr>
            <w:r>
              <w:rPr>
                <w:rFonts w:eastAsia="Calibri" w:cs="Times New Roman"/>
                <w:kern w:val="0"/>
                <w:lang w:val="en-US" w:eastAsia="en-US" w:bidi="ar-SA"/>
              </w:rPr>
              <w:t>Tier</w:t>
            </w:r>
            <w:r>
              <w:rPr>
                <w:rFonts w:eastAsia="Calibri" w:cs="Times New Roman"/>
                <w:kern w:val="0"/>
                <w:lang w:val="ru-RU" w:eastAsia="en-US" w:bidi="ar-SA"/>
              </w:rPr>
              <w:t xml:space="preserve"> 2 (ядро-час)</w:t>
            </w:r>
          </w:p>
        </w:tc>
        <w:tc>
          <w:tcPr>
            <w:tcW w:w="1335" w:type="dxa"/>
            <w:tcBorders/>
          </w:tcPr>
          <w:p>
            <w:pPr>
              <w:pStyle w:val="Normal"/>
              <w:widowControl/>
              <w:suppressAutoHyphens w:val="true"/>
              <w:spacing w:lineRule="auto" w:line="360" w:before="0" w:after="0"/>
              <w:jc w:val="center"/>
              <w:rPr>
                <w:bCs/>
              </w:rPr>
            </w:pPr>
            <w:r>
              <w:rPr>
                <w:rFonts w:eastAsia="Calibri" w:cs="Times New Roman"/>
                <w:bCs/>
                <w:kern w:val="0"/>
                <w:lang w:val="ru-RU" w:eastAsia="en-US" w:bidi="ar-SA"/>
              </w:rPr>
              <w:t>200</w:t>
            </w:r>
          </w:p>
        </w:tc>
        <w:tc>
          <w:tcPr>
            <w:tcW w:w="1333" w:type="dxa"/>
            <w:tcBorders/>
          </w:tcPr>
          <w:p>
            <w:pPr>
              <w:pStyle w:val="Normal"/>
              <w:widowControl/>
              <w:suppressAutoHyphens w:val="true"/>
              <w:spacing w:lineRule="auto" w:line="360" w:before="0" w:after="0"/>
              <w:jc w:val="center"/>
              <w:rPr>
                <w:bCs/>
              </w:rPr>
            </w:pPr>
            <w:r>
              <w:rPr>
                <w:rFonts w:eastAsia="Calibri" w:cs="Times New Roman"/>
                <w:bCs/>
                <w:kern w:val="0"/>
                <w:lang w:val="ru-RU" w:eastAsia="en-US" w:bidi="ar-SA"/>
              </w:rPr>
              <w:t>200</w:t>
            </w:r>
          </w:p>
        </w:tc>
        <w:tc>
          <w:tcPr>
            <w:tcW w:w="1330" w:type="dxa"/>
            <w:tcBorders/>
          </w:tcPr>
          <w:p>
            <w:pPr>
              <w:pStyle w:val="Normal"/>
              <w:widowControl/>
              <w:suppressAutoHyphens w:val="true"/>
              <w:spacing w:lineRule="auto" w:line="360" w:before="0" w:after="0"/>
              <w:jc w:val="center"/>
              <w:rPr>
                <w:bCs/>
              </w:rPr>
            </w:pPr>
            <w:r>
              <w:rPr>
                <w:rFonts w:eastAsia="Calibri" w:cs="Times New Roman"/>
                <w:bCs/>
                <w:kern w:val="0"/>
                <w:lang w:val="ru-RU" w:eastAsia="en-US" w:bidi="ar-SA"/>
              </w:rPr>
              <w:t>200</w:t>
            </w:r>
          </w:p>
        </w:tc>
        <w:tc>
          <w:tcPr>
            <w:tcW w:w="1334" w:type="dxa"/>
            <w:tcBorders/>
          </w:tcPr>
          <w:p>
            <w:pPr>
              <w:pStyle w:val="Normal"/>
              <w:widowControl/>
              <w:suppressAutoHyphens w:val="true"/>
              <w:spacing w:lineRule="auto" w:line="360" w:before="0" w:after="0"/>
              <w:jc w:val="center"/>
              <w:rPr>
                <w:bCs/>
              </w:rPr>
            </w:pPr>
            <w:r>
              <w:rPr>
                <w:rFonts w:eastAsia="Calibri" w:cs="Times New Roman"/>
                <w:bCs/>
                <w:kern w:val="0"/>
                <w:lang w:val="ru-RU" w:eastAsia="en-US" w:bidi="ar-SA"/>
              </w:rPr>
              <w:t>200</w:t>
            </w:r>
          </w:p>
        </w:tc>
        <w:tc>
          <w:tcPr>
            <w:tcW w:w="1331" w:type="dxa"/>
            <w:tcBorders/>
          </w:tcPr>
          <w:p>
            <w:pPr>
              <w:pStyle w:val="Normal"/>
              <w:widowControl/>
              <w:suppressAutoHyphens w:val="true"/>
              <w:spacing w:lineRule="auto" w:line="360" w:before="0" w:after="0"/>
              <w:jc w:val="center"/>
              <w:rPr>
                <w:bCs/>
              </w:rPr>
            </w:pPr>
            <w:r>
              <w:rPr>
                <w:rFonts w:eastAsia="Calibri" w:cs="Times New Roman"/>
                <w:bCs/>
                <w:kern w:val="0"/>
                <w:lang w:val="ru-RU" w:eastAsia="en-US" w:bidi="ar-SA"/>
              </w:rPr>
              <w:t>200</w:t>
            </w:r>
          </w:p>
        </w:tc>
      </w:tr>
      <w:tr>
        <w:trPr/>
        <w:tc>
          <w:tcPr>
            <w:tcW w:w="3259" w:type="dxa"/>
            <w:tcBorders/>
          </w:tcPr>
          <w:p>
            <w:pPr>
              <w:pStyle w:val="Normal"/>
              <w:widowControl/>
              <w:suppressAutoHyphens w:val="true"/>
              <w:spacing w:lineRule="atLeast" w:line="240" w:before="0" w:after="0"/>
              <w:jc w:val="left"/>
              <w:rPr>
                <w:rFonts w:eastAsia="Calibri"/>
              </w:rPr>
            </w:pPr>
            <w:r>
              <w:rPr>
                <w:rFonts w:eastAsia="Calibri" w:cs="Times New Roman"/>
                <w:kern w:val="0"/>
                <w:lang w:val="ru-RU" w:eastAsia="en-US" w:bidi="ar-SA"/>
              </w:rPr>
              <w:t>СК «Говорун» (ядро-час)</w:t>
            </w:r>
          </w:p>
          <w:p>
            <w:pPr>
              <w:pStyle w:val="Normal"/>
              <w:widowControl/>
              <w:suppressAutoHyphens w:val="true"/>
              <w:spacing w:lineRule="atLeast" w:line="240" w:before="0" w:after="0"/>
              <w:ind w:left="1027"/>
              <w:jc w:val="left"/>
              <w:rPr>
                <w:bCs/>
              </w:rPr>
            </w:pPr>
            <w:r>
              <w:rPr>
                <w:rFonts w:eastAsia="Calibri" w:cs="Times New Roman"/>
                <w:bCs/>
                <w:kern w:val="0"/>
                <w:lang w:val="ru-RU" w:eastAsia="en-US" w:bidi="ar-SA"/>
              </w:rPr>
              <w:t xml:space="preserve">- </w:t>
            </w:r>
            <w:r>
              <w:rPr>
                <w:rFonts w:eastAsia="Calibri" w:cs="Times New Roman"/>
                <w:bCs/>
                <w:kern w:val="0"/>
                <w:lang w:val="en-US" w:eastAsia="en-US" w:bidi="ar-SA"/>
              </w:rPr>
              <w:t>CPU</w:t>
            </w:r>
          </w:p>
          <w:p>
            <w:pPr>
              <w:pStyle w:val="Normal"/>
              <w:widowControl/>
              <w:suppressAutoHyphens w:val="true"/>
              <w:spacing w:lineRule="atLeast" w:line="240" w:before="0" w:after="0"/>
              <w:ind w:left="1027"/>
              <w:jc w:val="left"/>
              <w:rPr>
                <w:bCs/>
              </w:rPr>
            </w:pPr>
            <w:r>
              <w:rPr>
                <w:rFonts w:eastAsia="Calibri" w:cs="Times New Roman"/>
                <w:bCs/>
                <w:kern w:val="0"/>
                <w:lang w:val="ru-RU" w:eastAsia="en-US" w:bidi="ar-SA"/>
              </w:rPr>
              <w:t xml:space="preserve">- </w:t>
            </w:r>
            <w:r>
              <w:rPr>
                <w:rFonts w:eastAsia="Calibri" w:cs="Times New Roman"/>
                <w:bCs/>
                <w:kern w:val="0"/>
                <w:lang w:val="en-US" w:eastAsia="en-US" w:bidi="ar-SA"/>
              </w:rPr>
              <w:t>GPU</w:t>
            </w:r>
          </w:p>
        </w:tc>
        <w:tc>
          <w:tcPr>
            <w:tcW w:w="1335" w:type="dxa"/>
            <w:tcBorders/>
          </w:tcPr>
          <w:p>
            <w:pPr>
              <w:pStyle w:val="Normal"/>
              <w:widowControl/>
              <w:suppressAutoHyphens w:val="true"/>
              <w:spacing w:lineRule="atLeast" w:line="240" w:before="0" w:after="0"/>
              <w:jc w:val="center"/>
              <w:rPr>
                <w:bCs/>
              </w:rPr>
            </w:pPr>
            <w:r>
              <w:rPr>
                <w:rFonts w:eastAsia="Calibri" w:cs="Times New Roman"/>
                <w:bCs/>
                <w:kern w:val="0"/>
                <w:lang w:val="ru-RU" w:eastAsia="en-US" w:bidi="ar-SA"/>
              </w:rPr>
            </w:r>
          </w:p>
        </w:tc>
        <w:tc>
          <w:tcPr>
            <w:tcW w:w="1333" w:type="dxa"/>
            <w:tcBorders/>
          </w:tcPr>
          <w:p>
            <w:pPr>
              <w:pStyle w:val="Normal"/>
              <w:widowControl/>
              <w:suppressAutoHyphens w:val="true"/>
              <w:spacing w:lineRule="atLeast" w:line="240" w:before="0" w:after="0"/>
              <w:jc w:val="center"/>
              <w:rPr>
                <w:bCs/>
              </w:rPr>
            </w:pPr>
            <w:r>
              <w:rPr>
                <w:rFonts w:eastAsia="Calibri" w:cs="Times New Roman"/>
                <w:bCs/>
                <w:kern w:val="0"/>
                <w:lang w:val="ru-RU" w:eastAsia="en-US" w:bidi="ar-SA"/>
              </w:rPr>
            </w:r>
          </w:p>
        </w:tc>
        <w:tc>
          <w:tcPr>
            <w:tcW w:w="1330" w:type="dxa"/>
            <w:tcBorders/>
          </w:tcPr>
          <w:p>
            <w:pPr>
              <w:pStyle w:val="Normal"/>
              <w:widowControl/>
              <w:suppressAutoHyphens w:val="true"/>
              <w:spacing w:lineRule="atLeast" w:line="240" w:before="0" w:after="0"/>
              <w:jc w:val="center"/>
              <w:rPr>
                <w:bCs/>
              </w:rPr>
            </w:pPr>
            <w:r>
              <w:rPr>
                <w:rFonts w:eastAsia="Calibri" w:cs="Times New Roman"/>
                <w:bCs/>
                <w:kern w:val="0"/>
                <w:lang w:val="ru-RU" w:eastAsia="en-US" w:bidi="ar-SA"/>
              </w:rPr>
            </w:r>
          </w:p>
        </w:tc>
        <w:tc>
          <w:tcPr>
            <w:tcW w:w="1334" w:type="dxa"/>
            <w:tcBorders/>
          </w:tcPr>
          <w:p>
            <w:pPr>
              <w:pStyle w:val="Normal"/>
              <w:widowControl/>
              <w:suppressAutoHyphens w:val="true"/>
              <w:spacing w:lineRule="atLeast" w:line="240" w:before="0" w:after="0"/>
              <w:jc w:val="center"/>
              <w:rPr>
                <w:bCs/>
              </w:rPr>
            </w:pPr>
            <w:r>
              <w:rPr>
                <w:rFonts w:eastAsia="Calibri" w:cs="Times New Roman"/>
                <w:bCs/>
                <w:kern w:val="0"/>
                <w:lang w:val="ru-RU" w:eastAsia="en-US" w:bidi="ar-SA"/>
              </w:rPr>
            </w:r>
          </w:p>
        </w:tc>
        <w:tc>
          <w:tcPr>
            <w:tcW w:w="1331" w:type="dxa"/>
            <w:tcBorders/>
          </w:tcPr>
          <w:p>
            <w:pPr>
              <w:pStyle w:val="Normal"/>
              <w:widowControl/>
              <w:suppressAutoHyphens w:val="true"/>
              <w:spacing w:lineRule="atLeast" w:line="240" w:before="0" w:after="0"/>
              <w:jc w:val="center"/>
              <w:rPr>
                <w:bCs/>
              </w:rPr>
            </w:pPr>
            <w:r>
              <w:rPr>
                <w:rFonts w:eastAsia="Calibri" w:cs="Times New Roman"/>
                <w:bCs/>
                <w:kern w:val="0"/>
                <w:lang w:val="ru-RU" w:eastAsia="en-US" w:bidi="ar-SA"/>
              </w:rPr>
            </w:r>
          </w:p>
        </w:tc>
      </w:tr>
      <w:tr>
        <w:trPr/>
        <w:tc>
          <w:tcPr>
            <w:tcW w:w="3259" w:type="dxa"/>
            <w:tcBorders/>
          </w:tcPr>
          <w:p>
            <w:pPr>
              <w:pStyle w:val="Normal"/>
              <w:widowControl/>
              <w:suppressAutoHyphens w:val="true"/>
              <w:spacing w:lineRule="auto" w:line="360" w:before="0" w:after="0"/>
              <w:jc w:val="left"/>
              <w:rPr>
                <w:bCs/>
              </w:rPr>
            </w:pPr>
            <w:r>
              <w:rPr>
                <w:rFonts w:eastAsia="Calibri" w:cs="Times New Roman"/>
                <w:kern w:val="0"/>
                <w:lang w:val="ru-RU" w:eastAsia="en-US" w:bidi="ar-SA"/>
              </w:rPr>
              <w:t>Облака (</w:t>
            </w:r>
            <w:r>
              <w:rPr>
                <w:rFonts w:eastAsia="Calibri" w:cs="Times New Roman"/>
                <w:kern w:val="0"/>
                <w:lang w:val="en-US" w:eastAsia="en-US" w:bidi="ar-SA"/>
              </w:rPr>
              <w:t>CPU</w:t>
            </w:r>
            <w:r>
              <w:rPr>
                <w:rFonts w:eastAsia="Calibri" w:cs="Times New Roman"/>
                <w:kern w:val="0"/>
                <w:lang w:val="ru-RU" w:eastAsia="en-US" w:bidi="ar-SA"/>
              </w:rPr>
              <w:t xml:space="preserve"> ядер)</w:t>
            </w:r>
          </w:p>
        </w:tc>
        <w:tc>
          <w:tcPr>
            <w:tcW w:w="1335" w:type="dxa"/>
            <w:tcBorders/>
          </w:tcPr>
          <w:p>
            <w:pPr>
              <w:pStyle w:val="Normal"/>
              <w:widowControl/>
              <w:suppressAutoHyphens w:val="true"/>
              <w:spacing w:lineRule="auto" w:line="360" w:before="0" w:after="0"/>
              <w:jc w:val="center"/>
              <w:rPr>
                <w:bCs/>
              </w:rPr>
            </w:pPr>
            <w:r>
              <w:rPr>
                <w:rFonts w:eastAsia="Calibri" w:cs="Times New Roman"/>
                <w:bCs/>
                <w:kern w:val="0"/>
                <w:lang w:val="ru-RU" w:eastAsia="en-US" w:bidi="ar-SA"/>
              </w:rPr>
            </w:r>
          </w:p>
        </w:tc>
        <w:tc>
          <w:tcPr>
            <w:tcW w:w="1333" w:type="dxa"/>
            <w:tcBorders/>
          </w:tcPr>
          <w:p>
            <w:pPr>
              <w:pStyle w:val="Normal"/>
              <w:widowControl/>
              <w:suppressAutoHyphens w:val="true"/>
              <w:spacing w:lineRule="auto" w:line="360" w:before="0" w:after="0"/>
              <w:jc w:val="center"/>
              <w:rPr>
                <w:bCs/>
              </w:rPr>
            </w:pPr>
            <w:r>
              <w:rPr>
                <w:rFonts w:eastAsia="Calibri" w:cs="Times New Roman"/>
                <w:bCs/>
                <w:kern w:val="0"/>
                <w:lang w:val="ru-RU" w:eastAsia="en-US" w:bidi="ar-SA"/>
              </w:rPr>
            </w:r>
          </w:p>
        </w:tc>
        <w:tc>
          <w:tcPr>
            <w:tcW w:w="1330" w:type="dxa"/>
            <w:tcBorders/>
          </w:tcPr>
          <w:p>
            <w:pPr>
              <w:pStyle w:val="Normal"/>
              <w:widowControl/>
              <w:suppressAutoHyphens w:val="true"/>
              <w:spacing w:lineRule="auto" w:line="360" w:before="0" w:after="0"/>
              <w:jc w:val="center"/>
              <w:rPr>
                <w:bCs/>
              </w:rPr>
            </w:pPr>
            <w:r>
              <w:rPr>
                <w:rFonts w:eastAsia="Calibri" w:cs="Times New Roman"/>
                <w:bCs/>
                <w:kern w:val="0"/>
                <w:lang w:val="ru-RU" w:eastAsia="en-US" w:bidi="ar-SA"/>
              </w:rPr>
            </w:r>
          </w:p>
        </w:tc>
        <w:tc>
          <w:tcPr>
            <w:tcW w:w="1334" w:type="dxa"/>
            <w:tcBorders/>
          </w:tcPr>
          <w:p>
            <w:pPr>
              <w:pStyle w:val="Normal"/>
              <w:widowControl/>
              <w:suppressAutoHyphens w:val="true"/>
              <w:spacing w:lineRule="auto" w:line="360" w:before="0" w:after="0"/>
              <w:jc w:val="center"/>
              <w:rPr>
                <w:bCs/>
              </w:rPr>
            </w:pPr>
            <w:r>
              <w:rPr>
                <w:rFonts w:eastAsia="Calibri" w:cs="Times New Roman"/>
                <w:bCs/>
                <w:kern w:val="0"/>
                <w:lang w:val="ru-RU" w:eastAsia="en-US" w:bidi="ar-SA"/>
              </w:rPr>
            </w:r>
          </w:p>
        </w:tc>
        <w:tc>
          <w:tcPr>
            <w:tcW w:w="1331" w:type="dxa"/>
            <w:tcBorders/>
          </w:tcPr>
          <w:p>
            <w:pPr>
              <w:pStyle w:val="Normal"/>
              <w:widowControl/>
              <w:suppressAutoHyphens w:val="true"/>
              <w:spacing w:lineRule="auto" w:line="360" w:before="0" w:after="0"/>
              <w:jc w:val="center"/>
              <w:rPr>
                <w:bCs/>
              </w:rPr>
            </w:pPr>
            <w:r>
              <w:rPr>
                <w:rFonts w:eastAsia="Calibri" w:cs="Times New Roman"/>
                <w:bCs/>
                <w:kern w:val="0"/>
                <w:lang w:val="ru-RU" w:eastAsia="en-US" w:bidi="ar-SA"/>
              </w:rPr>
            </w:r>
          </w:p>
        </w:tc>
      </w:tr>
    </w:tbl>
    <w:p>
      <w:pPr>
        <w:pStyle w:val="Normal"/>
        <w:spacing w:lineRule="atLeast" w:line="240" w:before="0" w:after="0"/>
        <w:jc w:val="both"/>
        <w:rPr>
          <w:bCs/>
        </w:rPr>
      </w:pPr>
      <w:r>
        <w:rPr>
          <w:bCs/>
        </w:rPr>
      </w:r>
    </w:p>
    <w:p>
      <w:pPr>
        <w:pStyle w:val="Normal"/>
        <w:spacing w:lineRule="atLeast" w:line="240" w:before="0" w:after="0"/>
        <w:rPr>
          <w:b/>
        </w:rPr>
      </w:pPr>
      <w:r>
        <w:rPr>
          <w:b/>
        </w:rPr>
        <w:t>2.5. Участвующие страны, научные и научно-образовательные организации</w:t>
      </w:r>
    </w:p>
    <w:p>
      <w:pPr>
        <w:pStyle w:val="Normal"/>
        <w:spacing w:lineRule="atLeast" w:line="240" w:before="0" w:after="0"/>
        <w:rPr>
          <w:b/>
          <w:sz w:val="20"/>
          <w:szCs w:val="20"/>
        </w:rPr>
      </w:pPr>
      <w:r>
        <w:rPr>
          <w:b/>
          <w:sz w:val="20"/>
          <w:szCs w:val="20"/>
        </w:rPr>
      </w:r>
    </w:p>
    <w:tbl>
      <w:tblPr>
        <w:tblW w:w="9937" w:type="dxa"/>
        <w:jc w:val="center"/>
        <w:tblInd w:w="0" w:type="dxa"/>
        <w:tblLayout w:type="fixed"/>
        <w:tblCellMar>
          <w:top w:w="0" w:type="dxa"/>
          <w:left w:w="108" w:type="dxa"/>
          <w:bottom w:w="0" w:type="dxa"/>
          <w:right w:w="108" w:type="dxa"/>
        </w:tblCellMar>
        <w:tblLook w:val="04a0" w:noHBand="0" w:noVBand="1" w:firstColumn="1" w:lastRow="0" w:lastColumn="0" w:firstRow="1"/>
      </w:tblPr>
      <w:tblGrid>
        <w:gridCol w:w="2140"/>
        <w:gridCol w:w="1927"/>
        <w:gridCol w:w="2096"/>
        <w:gridCol w:w="2102"/>
        <w:gridCol w:w="1672"/>
      </w:tblGrid>
      <w:tr>
        <w:trPr/>
        <w:tc>
          <w:tcPr>
            <w:tcW w:w="2140" w:type="dxa"/>
            <w:tcBorders>
              <w:top w:val="single" w:sz="4" w:space="0" w:color="000000"/>
              <w:left w:val="single" w:sz="4" w:space="0" w:color="000000"/>
              <w:bottom w:val="single" w:sz="4" w:space="0" w:color="000000"/>
            </w:tcBorders>
          </w:tcPr>
          <w:p>
            <w:pPr>
              <w:pStyle w:val="Normal"/>
              <w:widowControl w:val="false"/>
              <w:spacing w:lineRule="atLeast" w:line="240" w:before="171" w:after="0"/>
              <w:jc w:val="center"/>
              <w:rPr>
                <w:b/>
                <w:bCs/>
              </w:rPr>
            </w:pPr>
            <w:r>
              <w:rPr>
                <w:b/>
                <w:bCs/>
              </w:rPr>
              <w:t>Организация</w:t>
            </w:r>
          </w:p>
        </w:tc>
        <w:tc>
          <w:tcPr>
            <w:tcW w:w="1927" w:type="dxa"/>
            <w:tcBorders>
              <w:top w:val="single" w:sz="4" w:space="0" w:color="000000"/>
              <w:left w:val="single" w:sz="4" w:space="0" w:color="000000"/>
              <w:bottom w:val="single" w:sz="4" w:space="0" w:color="000000"/>
            </w:tcBorders>
          </w:tcPr>
          <w:p>
            <w:pPr>
              <w:pStyle w:val="Normal"/>
              <w:widowControl w:val="false"/>
              <w:spacing w:lineRule="atLeast" w:line="240" w:before="171" w:after="0"/>
              <w:jc w:val="center"/>
              <w:rPr>
                <w:b/>
                <w:bCs/>
              </w:rPr>
            </w:pPr>
            <w:r>
              <w:rPr>
                <w:b/>
                <w:bCs/>
              </w:rPr>
              <w:t>Страна</w:t>
            </w:r>
          </w:p>
        </w:tc>
        <w:tc>
          <w:tcPr>
            <w:tcW w:w="2096" w:type="dxa"/>
            <w:tcBorders>
              <w:top w:val="single" w:sz="4" w:space="0" w:color="000000"/>
              <w:left w:val="single" w:sz="4" w:space="0" w:color="000000"/>
              <w:bottom w:val="single" w:sz="4" w:space="0" w:color="000000"/>
            </w:tcBorders>
            <w:vAlign w:val="center"/>
          </w:tcPr>
          <w:p>
            <w:pPr>
              <w:pStyle w:val="Normal"/>
              <w:widowControl w:val="false"/>
              <w:spacing w:lineRule="atLeast" w:line="240" w:before="0" w:after="0"/>
              <w:jc w:val="center"/>
              <w:rPr>
                <w:b/>
                <w:bCs/>
              </w:rPr>
            </w:pPr>
            <w:r>
              <w:rPr>
                <w:b/>
                <w:bCs/>
              </w:rPr>
              <w:t>Город</w:t>
            </w:r>
          </w:p>
        </w:tc>
        <w:tc>
          <w:tcPr>
            <w:tcW w:w="2102" w:type="dxa"/>
            <w:tcBorders>
              <w:top w:val="single" w:sz="4" w:space="0" w:color="000000"/>
              <w:left w:val="single" w:sz="4" w:space="0" w:color="000000"/>
              <w:bottom w:val="single" w:sz="4" w:space="0" w:color="000000"/>
            </w:tcBorders>
            <w:vAlign w:val="center"/>
          </w:tcPr>
          <w:p>
            <w:pPr>
              <w:pStyle w:val="Normal"/>
              <w:widowControl w:val="false"/>
              <w:spacing w:lineRule="atLeast" w:line="240" w:before="0" w:after="0"/>
              <w:jc w:val="center"/>
              <w:rPr>
                <w:b/>
                <w:bCs/>
              </w:rPr>
            </w:pPr>
            <w:r>
              <w:rPr>
                <w:b/>
                <w:bCs/>
              </w:rPr>
              <w:t>Участники</w:t>
            </w:r>
          </w:p>
        </w:tc>
        <w:tc>
          <w:tcPr>
            <w:tcW w:w="167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0"/>
              <w:jc w:val="center"/>
              <w:rPr>
                <w:b/>
                <w:bCs/>
              </w:rPr>
            </w:pPr>
            <w:r>
              <w:rPr>
                <w:b/>
                <w:bCs/>
              </w:rPr>
              <w:t>Тип соглашения</w:t>
            </w:r>
          </w:p>
        </w:tc>
      </w:tr>
      <w:tr>
        <w:trPr/>
        <w:tc>
          <w:tcPr>
            <w:tcW w:w="2140" w:type="dxa"/>
            <w:tcBorders>
              <w:top w:val="single" w:sz="4" w:space="0" w:color="000000"/>
              <w:left w:val="single" w:sz="4" w:space="0" w:color="000000"/>
              <w:bottom w:val="single" w:sz="4" w:space="0" w:color="000000"/>
            </w:tcBorders>
          </w:tcPr>
          <w:p>
            <w:pPr>
              <w:pStyle w:val="Normal"/>
              <w:widowControl w:val="false"/>
              <w:snapToGrid w:val="false"/>
              <w:spacing w:before="0" w:after="160"/>
              <w:rPr/>
            </w:pPr>
            <w:r>
              <w:rPr/>
              <w:t>Foundation ANSL</w:t>
            </w:r>
          </w:p>
        </w:tc>
        <w:tc>
          <w:tcPr>
            <w:tcW w:w="1927" w:type="dxa"/>
            <w:tcBorders>
              <w:top w:val="single" w:sz="4" w:space="0" w:color="000000"/>
              <w:left w:val="single" w:sz="4" w:space="0" w:color="000000"/>
              <w:bottom w:val="single" w:sz="4" w:space="0" w:color="000000"/>
            </w:tcBorders>
          </w:tcPr>
          <w:p>
            <w:pPr>
              <w:pStyle w:val="Normal"/>
              <w:widowControl w:val="false"/>
              <w:snapToGrid w:val="false"/>
              <w:spacing w:before="0" w:after="160"/>
              <w:rPr/>
            </w:pPr>
            <w:r>
              <w:rPr/>
              <w:t>Armenia</w:t>
            </w:r>
          </w:p>
        </w:tc>
        <w:tc>
          <w:tcPr>
            <w:tcW w:w="2096" w:type="dxa"/>
            <w:tcBorders>
              <w:top w:val="single" w:sz="4" w:space="0" w:color="000000"/>
              <w:left w:val="single" w:sz="4" w:space="0" w:color="000000"/>
              <w:bottom w:val="single" w:sz="4" w:space="0" w:color="000000"/>
            </w:tcBorders>
          </w:tcPr>
          <w:p>
            <w:pPr>
              <w:pStyle w:val="Normal"/>
              <w:widowControl w:val="false"/>
              <w:snapToGrid w:val="false"/>
              <w:spacing w:before="0" w:after="160"/>
              <w:rPr/>
            </w:pPr>
            <w:r>
              <w:rPr/>
              <w:t>Yerevan</w:t>
            </w:r>
          </w:p>
        </w:tc>
        <w:tc>
          <w:tcPr>
            <w:tcW w:w="2102" w:type="dxa"/>
            <w:tcBorders>
              <w:top w:val="single" w:sz="4" w:space="0" w:color="000000"/>
              <w:left w:val="single" w:sz="4" w:space="0" w:color="000000"/>
              <w:bottom w:val="single" w:sz="4" w:space="0" w:color="000000"/>
            </w:tcBorders>
          </w:tcPr>
          <w:p>
            <w:pPr>
              <w:pStyle w:val="Normal"/>
              <w:widowControl w:val="false"/>
              <w:snapToGrid w:val="false"/>
              <w:spacing w:before="0" w:after="160"/>
              <w:rPr/>
            </w:pPr>
            <w:r>
              <w:rPr/>
              <w:t>G.Akopyan</w:t>
            </w:r>
          </w:p>
        </w:tc>
        <w:tc>
          <w:tcPr>
            <w:tcW w:w="1672"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160"/>
              <w:rPr/>
            </w:pPr>
            <w:r>
              <w:rPr/>
              <w:t>Collaborative work</w:t>
            </w:r>
          </w:p>
        </w:tc>
      </w:tr>
      <w:tr>
        <w:trPr/>
        <w:tc>
          <w:tcPr>
            <w:tcW w:w="2140" w:type="dxa"/>
            <w:tcBorders>
              <w:top w:val="single" w:sz="4" w:space="0" w:color="000000"/>
              <w:left w:val="single" w:sz="4" w:space="0" w:color="000000"/>
              <w:bottom w:val="single" w:sz="4" w:space="0" w:color="000000"/>
            </w:tcBorders>
          </w:tcPr>
          <w:p>
            <w:pPr>
              <w:pStyle w:val="Normal"/>
              <w:widowControl w:val="false"/>
              <w:snapToGrid w:val="false"/>
              <w:spacing w:before="0" w:after="160"/>
              <w:rPr/>
            </w:pPr>
            <w:r>
              <w:rPr/>
              <w:t>IP ANAS</w:t>
            </w:r>
          </w:p>
        </w:tc>
        <w:tc>
          <w:tcPr>
            <w:tcW w:w="1927" w:type="dxa"/>
            <w:tcBorders>
              <w:top w:val="single" w:sz="4" w:space="0" w:color="000000"/>
              <w:left w:val="single" w:sz="4" w:space="0" w:color="000000"/>
              <w:bottom w:val="single" w:sz="4" w:space="0" w:color="000000"/>
            </w:tcBorders>
          </w:tcPr>
          <w:p>
            <w:pPr>
              <w:pStyle w:val="Normal"/>
              <w:widowControl w:val="false"/>
              <w:snapToGrid w:val="false"/>
              <w:spacing w:before="0" w:after="160"/>
              <w:rPr/>
            </w:pPr>
            <w:r>
              <w:rPr/>
              <w:t>Azerbaijan</w:t>
            </w:r>
          </w:p>
        </w:tc>
        <w:tc>
          <w:tcPr>
            <w:tcW w:w="2096" w:type="dxa"/>
            <w:tcBorders>
              <w:top w:val="single" w:sz="4" w:space="0" w:color="000000"/>
              <w:left w:val="single" w:sz="4" w:space="0" w:color="000000"/>
              <w:bottom w:val="single" w:sz="4" w:space="0" w:color="000000"/>
            </w:tcBorders>
          </w:tcPr>
          <w:p>
            <w:pPr>
              <w:pStyle w:val="Normal"/>
              <w:widowControl w:val="false"/>
              <w:snapToGrid w:val="false"/>
              <w:spacing w:before="0" w:after="160"/>
              <w:rPr/>
            </w:pPr>
            <w:r>
              <w:rPr/>
              <w:t>Baku</w:t>
            </w:r>
          </w:p>
        </w:tc>
        <w:tc>
          <w:tcPr>
            <w:tcW w:w="2102" w:type="dxa"/>
            <w:tcBorders>
              <w:top w:val="single" w:sz="4" w:space="0" w:color="000000"/>
              <w:left w:val="single" w:sz="4" w:space="0" w:color="000000"/>
              <w:bottom w:val="single" w:sz="4" w:space="0" w:color="000000"/>
            </w:tcBorders>
          </w:tcPr>
          <w:p>
            <w:pPr>
              <w:pStyle w:val="Normal"/>
              <w:widowControl w:val="false"/>
              <w:snapToGrid w:val="false"/>
              <w:spacing w:before="0" w:after="160"/>
              <w:rPr/>
            </w:pPr>
            <w:r>
              <w:rPr/>
              <w:t>N.Huseynov+5</w:t>
            </w:r>
          </w:p>
        </w:tc>
        <w:tc>
          <w:tcPr>
            <w:tcW w:w="1672"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160"/>
              <w:rPr/>
            </w:pPr>
            <w:r>
              <w:rPr/>
              <w:t>Collaborative work</w:t>
            </w:r>
          </w:p>
        </w:tc>
      </w:tr>
      <w:tr>
        <w:trPr/>
        <w:tc>
          <w:tcPr>
            <w:tcW w:w="2140" w:type="dxa"/>
            <w:tcBorders>
              <w:left w:val="single" w:sz="4" w:space="0" w:color="000000"/>
              <w:bottom w:val="single" w:sz="4" w:space="0" w:color="000000"/>
            </w:tcBorders>
          </w:tcPr>
          <w:p>
            <w:pPr>
              <w:pStyle w:val="Normal"/>
              <w:widowControl w:val="false"/>
              <w:snapToGrid w:val="false"/>
              <w:spacing w:before="0" w:after="160"/>
              <w:rPr/>
            </w:pPr>
            <w:r>
              <w:rPr/>
              <w:t>SU</w:t>
            </w:r>
          </w:p>
        </w:tc>
        <w:tc>
          <w:tcPr>
            <w:tcW w:w="1927" w:type="dxa"/>
            <w:tcBorders>
              <w:left w:val="single" w:sz="4" w:space="0" w:color="000000"/>
              <w:bottom w:val="single" w:sz="4" w:space="0" w:color="000000"/>
            </w:tcBorders>
          </w:tcPr>
          <w:p>
            <w:pPr>
              <w:pStyle w:val="Normal"/>
              <w:widowControl w:val="false"/>
              <w:snapToGrid w:val="false"/>
              <w:spacing w:before="0" w:after="160"/>
              <w:rPr/>
            </w:pPr>
            <w:r>
              <w:rPr/>
              <w:t>Bulgaria</w:t>
            </w:r>
          </w:p>
        </w:tc>
        <w:tc>
          <w:tcPr>
            <w:tcW w:w="2096" w:type="dxa"/>
            <w:tcBorders>
              <w:left w:val="single" w:sz="4" w:space="0" w:color="000000"/>
              <w:bottom w:val="single" w:sz="4" w:space="0" w:color="000000"/>
            </w:tcBorders>
          </w:tcPr>
          <w:p>
            <w:pPr>
              <w:pStyle w:val="Normal"/>
              <w:widowControl w:val="false"/>
              <w:snapToGrid w:val="false"/>
              <w:spacing w:before="0" w:after="160"/>
              <w:rPr/>
            </w:pPr>
            <w:r>
              <w:rPr/>
              <w:t>Sofia</w:t>
            </w:r>
          </w:p>
        </w:tc>
        <w:tc>
          <w:tcPr>
            <w:tcW w:w="2102" w:type="dxa"/>
            <w:tcBorders>
              <w:left w:val="single" w:sz="4" w:space="0" w:color="000000"/>
              <w:bottom w:val="single" w:sz="4" w:space="0" w:color="000000"/>
            </w:tcBorders>
          </w:tcPr>
          <w:p>
            <w:pPr>
              <w:pStyle w:val="Normal"/>
              <w:widowControl w:val="false"/>
              <w:snapToGrid w:val="false"/>
              <w:spacing w:before="0" w:after="160"/>
              <w:rPr/>
            </w:pPr>
            <w:r>
              <w:rPr/>
              <w:t>M.V.Chizhov</w:t>
            </w:r>
          </w:p>
        </w:tc>
        <w:tc>
          <w:tcPr>
            <w:tcW w:w="1672" w:type="dxa"/>
            <w:tcBorders>
              <w:left w:val="single" w:sz="4" w:space="0" w:color="000000"/>
              <w:bottom w:val="single" w:sz="4" w:space="0" w:color="000000"/>
              <w:right w:val="single" w:sz="4" w:space="0" w:color="000000"/>
            </w:tcBorders>
          </w:tcPr>
          <w:p>
            <w:pPr>
              <w:pStyle w:val="Normal"/>
              <w:widowControl w:val="false"/>
              <w:snapToGrid w:val="false"/>
              <w:spacing w:before="0" w:after="160"/>
              <w:rPr/>
            </w:pPr>
            <w:r>
              <w:rPr/>
              <w:t>Collaborative work</w:t>
            </w:r>
          </w:p>
        </w:tc>
      </w:tr>
      <w:tr>
        <w:trPr/>
        <w:tc>
          <w:tcPr>
            <w:tcW w:w="2140" w:type="dxa"/>
            <w:tcBorders>
              <w:left w:val="single" w:sz="4" w:space="0" w:color="000000"/>
              <w:bottom w:val="single" w:sz="4" w:space="0" w:color="000000"/>
            </w:tcBorders>
          </w:tcPr>
          <w:p>
            <w:pPr>
              <w:pStyle w:val="Normal"/>
              <w:widowControl w:val="false"/>
              <w:snapToGrid w:val="false"/>
              <w:spacing w:before="0" w:after="160"/>
              <w:rPr/>
            </w:pPr>
            <w:r>
              <w:rPr/>
              <w:t>UdeM</w:t>
            </w:r>
          </w:p>
        </w:tc>
        <w:tc>
          <w:tcPr>
            <w:tcW w:w="1927" w:type="dxa"/>
            <w:tcBorders>
              <w:left w:val="single" w:sz="4" w:space="0" w:color="000000"/>
              <w:bottom w:val="single" w:sz="4" w:space="0" w:color="000000"/>
            </w:tcBorders>
          </w:tcPr>
          <w:p>
            <w:pPr>
              <w:pStyle w:val="Normal"/>
              <w:widowControl w:val="false"/>
              <w:snapToGrid w:val="false"/>
              <w:spacing w:before="0" w:after="160"/>
              <w:rPr/>
            </w:pPr>
            <w:r>
              <w:rPr/>
              <w:t>Canada</w:t>
            </w:r>
          </w:p>
        </w:tc>
        <w:tc>
          <w:tcPr>
            <w:tcW w:w="2096" w:type="dxa"/>
            <w:tcBorders>
              <w:left w:val="single" w:sz="4" w:space="0" w:color="000000"/>
              <w:bottom w:val="single" w:sz="4" w:space="0" w:color="000000"/>
            </w:tcBorders>
          </w:tcPr>
          <w:p>
            <w:pPr>
              <w:pStyle w:val="Normal"/>
              <w:widowControl w:val="false"/>
              <w:snapToGrid w:val="false"/>
              <w:spacing w:before="0" w:after="160"/>
              <w:rPr/>
            </w:pPr>
            <w:r>
              <w:rPr/>
              <w:t>Montreal</w:t>
            </w:r>
          </w:p>
        </w:tc>
        <w:tc>
          <w:tcPr>
            <w:tcW w:w="2102" w:type="dxa"/>
            <w:tcBorders>
              <w:left w:val="single" w:sz="4" w:space="0" w:color="000000"/>
              <w:bottom w:val="single" w:sz="4" w:space="0" w:color="000000"/>
            </w:tcBorders>
          </w:tcPr>
          <w:p>
            <w:pPr>
              <w:pStyle w:val="Normal"/>
              <w:widowControl w:val="false"/>
              <w:snapToGrid w:val="false"/>
              <w:spacing w:before="0" w:after="160"/>
              <w:rPr/>
            </w:pPr>
            <w:r>
              <w:rPr/>
              <w:t>C. Leroy</w:t>
            </w:r>
          </w:p>
        </w:tc>
        <w:tc>
          <w:tcPr>
            <w:tcW w:w="1672" w:type="dxa"/>
            <w:tcBorders>
              <w:left w:val="single" w:sz="4" w:space="0" w:color="000000"/>
              <w:bottom w:val="single" w:sz="4" w:space="0" w:color="000000"/>
              <w:right w:val="single" w:sz="4" w:space="0" w:color="000000"/>
            </w:tcBorders>
          </w:tcPr>
          <w:p>
            <w:pPr>
              <w:pStyle w:val="Normal"/>
              <w:widowControl w:val="false"/>
              <w:snapToGrid w:val="false"/>
              <w:spacing w:before="0" w:after="160"/>
              <w:rPr/>
            </w:pPr>
            <w:r>
              <w:rPr/>
              <w:t>Collaborative work</w:t>
            </w:r>
          </w:p>
        </w:tc>
      </w:tr>
      <w:tr>
        <w:trPr/>
        <w:tc>
          <w:tcPr>
            <w:tcW w:w="2140" w:type="dxa"/>
            <w:tcBorders>
              <w:left w:val="single" w:sz="4" w:space="0" w:color="000000"/>
              <w:bottom w:val="single" w:sz="4" w:space="0" w:color="000000"/>
            </w:tcBorders>
          </w:tcPr>
          <w:p>
            <w:pPr>
              <w:pStyle w:val="Normal"/>
              <w:widowControl w:val="false"/>
              <w:snapToGrid w:val="false"/>
              <w:spacing w:before="0" w:after="160"/>
              <w:rPr/>
            </w:pPr>
            <w:r>
              <w:rPr/>
              <w:t>TRIUMF</w:t>
            </w:r>
          </w:p>
        </w:tc>
        <w:tc>
          <w:tcPr>
            <w:tcW w:w="1927" w:type="dxa"/>
            <w:tcBorders>
              <w:left w:val="single" w:sz="4" w:space="0" w:color="000000"/>
              <w:bottom w:val="single" w:sz="4" w:space="0" w:color="000000"/>
            </w:tcBorders>
          </w:tcPr>
          <w:p>
            <w:pPr>
              <w:pStyle w:val="Normal"/>
              <w:widowControl w:val="false"/>
              <w:snapToGrid w:val="false"/>
              <w:spacing w:before="0" w:after="160"/>
              <w:rPr/>
            </w:pPr>
            <w:r>
              <w:rPr/>
              <w:t>Canada</w:t>
            </w:r>
          </w:p>
        </w:tc>
        <w:tc>
          <w:tcPr>
            <w:tcW w:w="2096" w:type="dxa"/>
            <w:tcBorders>
              <w:left w:val="single" w:sz="4" w:space="0" w:color="000000"/>
              <w:bottom w:val="single" w:sz="4" w:space="0" w:color="000000"/>
            </w:tcBorders>
          </w:tcPr>
          <w:p>
            <w:pPr>
              <w:pStyle w:val="Normal"/>
              <w:widowControl w:val="false"/>
              <w:snapToGrid w:val="false"/>
              <w:spacing w:before="0" w:after="160"/>
              <w:rPr/>
            </w:pPr>
            <w:r>
              <w:rPr/>
              <w:t>Vancouve</w:t>
            </w:r>
          </w:p>
        </w:tc>
        <w:tc>
          <w:tcPr>
            <w:tcW w:w="2102" w:type="dxa"/>
            <w:tcBorders>
              <w:left w:val="single" w:sz="4" w:space="0" w:color="000000"/>
              <w:bottom w:val="single" w:sz="4" w:space="0" w:color="000000"/>
            </w:tcBorders>
          </w:tcPr>
          <w:p>
            <w:pPr>
              <w:pStyle w:val="Normal"/>
              <w:widowControl w:val="false"/>
              <w:snapToGrid w:val="false"/>
              <w:spacing w:before="0" w:after="160"/>
              <w:rPr/>
            </w:pPr>
            <w:r>
              <w:rPr/>
              <w:t>L.L. Kurchaninov</w:t>
            </w:r>
          </w:p>
        </w:tc>
        <w:tc>
          <w:tcPr>
            <w:tcW w:w="1672" w:type="dxa"/>
            <w:tcBorders>
              <w:left w:val="single" w:sz="4" w:space="0" w:color="000000"/>
              <w:bottom w:val="single" w:sz="4" w:space="0" w:color="000000"/>
              <w:right w:val="single" w:sz="4" w:space="0" w:color="000000"/>
            </w:tcBorders>
          </w:tcPr>
          <w:p>
            <w:pPr>
              <w:pStyle w:val="Normal"/>
              <w:widowControl w:val="false"/>
              <w:snapToGrid w:val="false"/>
              <w:spacing w:before="0" w:after="160"/>
              <w:rPr/>
            </w:pPr>
            <w:r>
              <w:rPr/>
              <w:t>Collaborative work</w:t>
            </w:r>
          </w:p>
        </w:tc>
      </w:tr>
      <w:tr>
        <w:trPr/>
        <w:tc>
          <w:tcPr>
            <w:tcW w:w="2140" w:type="dxa"/>
            <w:tcBorders>
              <w:left w:val="single" w:sz="4" w:space="0" w:color="000000"/>
              <w:bottom w:val="single" w:sz="4" w:space="0" w:color="000000"/>
            </w:tcBorders>
          </w:tcPr>
          <w:p>
            <w:pPr>
              <w:pStyle w:val="Normal"/>
              <w:widowControl w:val="false"/>
              <w:snapToGrid w:val="false"/>
              <w:spacing w:before="0" w:after="160"/>
              <w:rPr/>
            </w:pPr>
            <w:r>
              <w:rPr/>
              <w:t>CERN</w:t>
            </w:r>
          </w:p>
        </w:tc>
        <w:tc>
          <w:tcPr>
            <w:tcW w:w="1927" w:type="dxa"/>
            <w:tcBorders>
              <w:left w:val="single" w:sz="4" w:space="0" w:color="000000"/>
              <w:bottom w:val="single" w:sz="4" w:space="0" w:color="000000"/>
            </w:tcBorders>
          </w:tcPr>
          <w:p>
            <w:pPr>
              <w:pStyle w:val="Normal"/>
              <w:widowControl w:val="false"/>
              <w:snapToGrid w:val="false"/>
              <w:spacing w:before="0" w:after="160"/>
              <w:rPr/>
            </w:pPr>
            <w:r>
              <w:rPr/>
              <w:t>CERN</w:t>
            </w:r>
          </w:p>
        </w:tc>
        <w:tc>
          <w:tcPr>
            <w:tcW w:w="2096" w:type="dxa"/>
            <w:tcBorders>
              <w:left w:val="single" w:sz="4" w:space="0" w:color="000000"/>
              <w:bottom w:val="single" w:sz="4" w:space="0" w:color="000000"/>
            </w:tcBorders>
          </w:tcPr>
          <w:p>
            <w:pPr>
              <w:pStyle w:val="Normal"/>
              <w:widowControl w:val="false"/>
              <w:snapToGrid w:val="false"/>
              <w:spacing w:before="0" w:after="160"/>
              <w:rPr/>
            </w:pPr>
            <w:r>
              <w:rPr/>
              <w:t>Geneva</w:t>
            </w:r>
          </w:p>
        </w:tc>
        <w:tc>
          <w:tcPr>
            <w:tcW w:w="2102" w:type="dxa"/>
            <w:tcBorders>
              <w:left w:val="single" w:sz="4" w:space="0" w:color="000000"/>
              <w:bottom w:val="single" w:sz="4" w:space="0" w:color="000000"/>
            </w:tcBorders>
          </w:tcPr>
          <w:p>
            <w:pPr>
              <w:pStyle w:val="Normal"/>
              <w:widowControl w:val="false"/>
              <w:snapToGrid w:val="false"/>
              <w:spacing w:before="0" w:after="160"/>
              <w:rPr>
                <w:lang w:val="en-US"/>
              </w:rPr>
            </w:pPr>
            <w:r>
              <w:rPr>
                <w:lang w:val="en-US"/>
              </w:rPr>
              <w:t>M.Vincter, A.Hoecker, K.Jacobs</w:t>
            </w:r>
          </w:p>
        </w:tc>
        <w:tc>
          <w:tcPr>
            <w:tcW w:w="1672" w:type="dxa"/>
            <w:tcBorders>
              <w:left w:val="single" w:sz="4" w:space="0" w:color="000000"/>
              <w:bottom w:val="single" w:sz="4" w:space="0" w:color="000000"/>
              <w:right w:val="single" w:sz="4" w:space="0" w:color="000000"/>
            </w:tcBorders>
          </w:tcPr>
          <w:p>
            <w:pPr>
              <w:pStyle w:val="Normal"/>
              <w:widowControl w:val="false"/>
              <w:snapToGrid w:val="false"/>
              <w:spacing w:before="0" w:after="160"/>
              <w:rPr/>
            </w:pPr>
            <w:r>
              <w:rPr/>
              <w:t>Cooperation agreement</w:t>
            </w:r>
          </w:p>
        </w:tc>
      </w:tr>
      <w:tr>
        <w:trPr/>
        <w:tc>
          <w:tcPr>
            <w:tcW w:w="2140" w:type="dxa"/>
            <w:tcBorders>
              <w:left w:val="single" w:sz="4" w:space="0" w:color="000000"/>
              <w:bottom w:val="single" w:sz="4" w:space="0" w:color="000000"/>
            </w:tcBorders>
          </w:tcPr>
          <w:p>
            <w:pPr>
              <w:pStyle w:val="Normal"/>
              <w:widowControl w:val="false"/>
              <w:snapToGrid w:val="false"/>
              <w:spacing w:before="0" w:after="160"/>
              <w:rPr/>
            </w:pPr>
            <w:r>
              <w:rPr/>
              <w:t>CU</w:t>
            </w:r>
          </w:p>
        </w:tc>
        <w:tc>
          <w:tcPr>
            <w:tcW w:w="1927" w:type="dxa"/>
            <w:tcBorders>
              <w:left w:val="single" w:sz="4" w:space="0" w:color="000000"/>
              <w:bottom w:val="single" w:sz="4" w:space="0" w:color="000000"/>
            </w:tcBorders>
          </w:tcPr>
          <w:p>
            <w:pPr>
              <w:pStyle w:val="Normal"/>
              <w:widowControl w:val="false"/>
              <w:snapToGrid w:val="false"/>
              <w:spacing w:before="0" w:after="160"/>
              <w:rPr/>
            </w:pPr>
            <w:r>
              <w:rPr/>
              <w:t>Czech Republic</w:t>
            </w:r>
          </w:p>
        </w:tc>
        <w:tc>
          <w:tcPr>
            <w:tcW w:w="2096" w:type="dxa"/>
            <w:tcBorders>
              <w:left w:val="single" w:sz="4" w:space="0" w:color="000000"/>
              <w:bottom w:val="single" w:sz="4" w:space="0" w:color="000000"/>
            </w:tcBorders>
          </w:tcPr>
          <w:p>
            <w:pPr>
              <w:pStyle w:val="Normal"/>
              <w:widowControl w:val="false"/>
              <w:snapToGrid w:val="false"/>
              <w:spacing w:before="0" w:after="160"/>
              <w:rPr/>
            </w:pPr>
            <w:r>
              <w:rPr/>
              <w:t>Prague</w:t>
            </w:r>
          </w:p>
        </w:tc>
        <w:tc>
          <w:tcPr>
            <w:tcW w:w="2102" w:type="dxa"/>
            <w:tcBorders>
              <w:left w:val="single" w:sz="4" w:space="0" w:color="000000"/>
              <w:bottom w:val="single" w:sz="4" w:space="0" w:color="000000"/>
            </w:tcBorders>
          </w:tcPr>
          <w:p>
            <w:pPr>
              <w:pStyle w:val="Normal"/>
              <w:widowControl w:val="false"/>
              <w:snapToGrid w:val="false"/>
              <w:spacing w:before="0" w:after="160"/>
              <w:rPr/>
            </w:pPr>
            <w:r>
              <w:rPr/>
              <w:t>I.Wilhelm</w:t>
            </w:r>
          </w:p>
        </w:tc>
        <w:tc>
          <w:tcPr>
            <w:tcW w:w="1672" w:type="dxa"/>
            <w:tcBorders>
              <w:left w:val="single" w:sz="4" w:space="0" w:color="000000"/>
              <w:bottom w:val="single" w:sz="4" w:space="0" w:color="000000"/>
              <w:right w:val="single" w:sz="4" w:space="0" w:color="000000"/>
            </w:tcBorders>
          </w:tcPr>
          <w:p>
            <w:pPr>
              <w:pStyle w:val="Normal"/>
              <w:widowControl w:val="false"/>
              <w:snapToGrid w:val="false"/>
              <w:spacing w:before="0" w:after="160"/>
              <w:rPr/>
            </w:pPr>
            <w:r>
              <w:rPr/>
              <w:t>Collaborative work</w:t>
            </w:r>
          </w:p>
        </w:tc>
      </w:tr>
      <w:tr>
        <w:trPr/>
        <w:tc>
          <w:tcPr>
            <w:tcW w:w="2140" w:type="dxa"/>
            <w:tcBorders>
              <w:left w:val="single" w:sz="4" w:space="0" w:color="000000"/>
              <w:bottom w:val="single" w:sz="4" w:space="0" w:color="000000"/>
            </w:tcBorders>
          </w:tcPr>
          <w:p>
            <w:pPr>
              <w:pStyle w:val="Normal"/>
              <w:widowControl w:val="false"/>
              <w:snapToGrid w:val="false"/>
              <w:spacing w:before="0" w:after="160"/>
              <w:rPr/>
            </w:pPr>
            <w:r>
              <w:rPr/>
              <w:t>LPC</w:t>
            </w:r>
          </w:p>
        </w:tc>
        <w:tc>
          <w:tcPr>
            <w:tcW w:w="1927" w:type="dxa"/>
            <w:tcBorders>
              <w:left w:val="single" w:sz="4" w:space="0" w:color="000000"/>
              <w:bottom w:val="single" w:sz="4" w:space="0" w:color="000000"/>
            </w:tcBorders>
          </w:tcPr>
          <w:p>
            <w:pPr>
              <w:pStyle w:val="Normal"/>
              <w:widowControl w:val="false"/>
              <w:snapToGrid w:val="false"/>
              <w:spacing w:before="0" w:after="160"/>
              <w:rPr/>
            </w:pPr>
            <w:r>
              <w:rPr/>
              <w:t>France</w:t>
            </w:r>
          </w:p>
        </w:tc>
        <w:tc>
          <w:tcPr>
            <w:tcW w:w="2096" w:type="dxa"/>
            <w:tcBorders>
              <w:left w:val="single" w:sz="4" w:space="0" w:color="000000"/>
              <w:bottom w:val="single" w:sz="4" w:space="0" w:color="000000"/>
            </w:tcBorders>
          </w:tcPr>
          <w:p>
            <w:pPr>
              <w:pStyle w:val="Normal"/>
              <w:widowControl w:val="false"/>
              <w:snapToGrid w:val="false"/>
              <w:spacing w:before="0" w:after="160"/>
              <w:rPr/>
            </w:pPr>
            <w:r>
              <w:rPr/>
              <w:t>Clermont-Ferrand</w:t>
            </w:r>
          </w:p>
        </w:tc>
        <w:tc>
          <w:tcPr>
            <w:tcW w:w="2102" w:type="dxa"/>
            <w:tcBorders>
              <w:left w:val="single" w:sz="4" w:space="0" w:color="000000"/>
              <w:bottom w:val="single" w:sz="4" w:space="0" w:color="000000"/>
            </w:tcBorders>
          </w:tcPr>
          <w:p>
            <w:pPr>
              <w:pStyle w:val="Normal"/>
              <w:widowControl w:val="false"/>
              <w:snapToGrid w:val="false"/>
              <w:spacing w:before="0" w:after="160"/>
              <w:rPr/>
            </w:pPr>
            <w:r>
              <w:rPr/>
              <w:t>F. Vasey</w:t>
            </w:r>
          </w:p>
        </w:tc>
        <w:tc>
          <w:tcPr>
            <w:tcW w:w="1672" w:type="dxa"/>
            <w:tcBorders>
              <w:left w:val="single" w:sz="4" w:space="0" w:color="000000"/>
              <w:bottom w:val="single" w:sz="4" w:space="0" w:color="000000"/>
              <w:right w:val="single" w:sz="4" w:space="0" w:color="000000"/>
            </w:tcBorders>
          </w:tcPr>
          <w:p>
            <w:pPr>
              <w:pStyle w:val="Normal"/>
              <w:widowControl w:val="false"/>
              <w:snapToGrid w:val="false"/>
              <w:spacing w:before="0" w:after="160"/>
              <w:rPr/>
            </w:pPr>
            <w:r>
              <w:rPr/>
              <w:t>Collaborative work</w:t>
            </w:r>
          </w:p>
        </w:tc>
      </w:tr>
      <w:tr>
        <w:trPr/>
        <w:tc>
          <w:tcPr>
            <w:tcW w:w="2140" w:type="dxa"/>
            <w:tcBorders>
              <w:left w:val="single" w:sz="4" w:space="0" w:color="000000"/>
              <w:bottom w:val="single" w:sz="4" w:space="0" w:color="000000"/>
            </w:tcBorders>
          </w:tcPr>
          <w:p>
            <w:pPr>
              <w:pStyle w:val="Normal"/>
              <w:widowControl w:val="false"/>
              <w:snapToGrid w:val="false"/>
              <w:spacing w:before="0" w:after="160"/>
              <w:rPr/>
            </w:pPr>
            <w:r>
              <w:rPr/>
              <w:t>LAL</w:t>
            </w:r>
          </w:p>
        </w:tc>
        <w:tc>
          <w:tcPr>
            <w:tcW w:w="1927" w:type="dxa"/>
            <w:tcBorders>
              <w:left w:val="single" w:sz="4" w:space="0" w:color="000000"/>
              <w:bottom w:val="single" w:sz="4" w:space="0" w:color="000000"/>
            </w:tcBorders>
          </w:tcPr>
          <w:p>
            <w:pPr>
              <w:pStyle w:val="Normal"/>
              <w:widowControl w:val="false"/>
              <w:snapToGrid w:val="false"/>
              <w:spacing w:before="0" w:after="160"/>
              <w:rPr/>
            </w:pPr>
            <w:r>
              <w:rPr/>
              <w:t>France</w:t>
            </w:r>
          </w:p>
        </w:tc>
        <w:tc>
          <w:tcPr>
            <w:tcW w:w="2096" w:type="dxa"/>
            <w:tcBorders>
              <w:left w:val="single" w:sz="4" w:space="0" w:color="000000"/>
              <w:bottom w:val="single" w:sz="4" w:space="0" w:color="000000"/>
            </w:tcBorders>
          </w:tcPr>
          <w:p>
            <w:pPr>
              <w:pStyle w:val="Normal"/>
              <w:widowControl w:val="false"/>
              <w:snapToGrid w:val="false"/>
              <w:spacing w:before="0" w:after="160"/>
              <w:rPr/>
            </w:pPr>
            <w:r>
              <w:rPr/>
              <w:t>Orsay</w:t>
            </w:r>
          </w:p>
        </w:tc>
        <w:tc>
          <w:tcPr>
            <w:tcW w:w="2102" w:type="dxa"/>
            <w:tcBorders>
              <w:left w:val="single" w:sz="4" w:space="0" w:color="000000"/>
              <w:bottom w:val="single" w:sz="4" w:space="0" w:color="000000"/>
            </w:tcBorders>
          </w:tcPr>
          <w:p>
            <w:pPr>
              <w:pStyle w:val="Normal"/>
              <w:widowControl w:val="false"/>
              <w:snapToGrid w:val="false"/>
              <w:spacing w:before="0" w:after="160"/>
              <w:rPr/>
            </w:pPr>
            <w:r>
              <w:rPr/>
              <w:t>D. Fournier</w:t>
            </w:r>
          </w:p>
        </w:tc>
        <w:tc>
          <w:tcPr>
            <w:tcW w:w="1672" w:type="dxa"/>
            <w:tcBorders>
              <w:left w:val="single" w:sz="4" w:space="0" w:color="000000"/>
              <w:bottom w:val="single" w:sz="4" w:space="0" w:color="000000"/>
              <w:right w:val="single" w:sz="4" w:space="0" w:color="000000"/>
            </w:tcBorders>
          </w:tcPr>
          <w:p>
            <w:pPr>
              <w:pStyle w:val="Normal"/>
              <w:widowControl w:val="false"/>
              <w:snapToGrid w:val="false"/>
              <w:spacing w:before="0" w:after="160"/>
              <w:rPr/>
            </w:pPr>
            <w:r>
              <w:rPr/>
              <w:t>Collaborative work</w:t>
            </w:r>
          </w:p>
        </w:tc>
      </w:tr>
      <w:tr>
        <w:trPr/>
        <w:tc>
          <w:tcPr>
            <w:tcW w:w="2140" w:type="dxa"/>
            <w:tcBorders>
              <w:left w:val="single" w:sz="4" w:space="0" w:color="000000"/>
              <w:bottom w:val="single" w:sz="4" w:space="0" w:color="000000"/>
            </w:tcBorders>
          </w:tcPr>
          <w:p>
            <w:pPr>
              <w:pStyle w:val="Normal"/>
              <w:widowControl w:val="false"/>
              <w:snapToGrid w:val="false"/>
              <w:spacing w:before="0" w:after="160"/>
              <w:rPr/>
            </w:pPr>
            <w:r>
              <w:rPr/>
              <w:t>HEPI-TSU</w:t>
            </w:r>
          </w:p>
        </w:tc>
        <w:tc>
          <w:tcPr>
            <w:tcW w:w="1927" w:type="dxa"/>
            <w:tcBorders>
              <w:left w:val="single" w:sz="4" w:space="0" w:color="000000"/>
              <w:bottom w:val="single" w:sz="4" w:space="0" w:color="000000"/>
            </w:tcBorders>
          </w:tcPr>
          <w:p>
            <w:pPr>
              <w:pStyle w:val="Normal"/>
              <w:widowControl w:val="false"/>
              <w:snapToGrid w:val="false"/>
              <w:spacing w:before="0" w:after="160"/>
              <w:rPr/>
            </w:pPr>
            <w:r>
              <w:rPr/>
              <w:t>Georgia</w:t>
            </w:r>
          </w:p>
        </w:tc>
        <w:tc>
          <w:tcPr>
            <w:tcW w:w="2096" w:type="dxa"/>
            <w:tcBorders>
              <w:left w:val="single" w:sz="4" w:space="0" w:color="000000"/>
              <w:bottom w:val="single" w:sz="4" w:space="0" w:color="000000"/>
            </w:tcBorders>
          </w:tcPr>
          <w:p>
            <w:pPr>
              <w:pStyle w:val="Normal"/>
              <w:widowControl w:val="false"/>
              <w:snapToGrid w:val="false"/>
              <w:spacing w:before="0" w:after="160"/>
              <w:rPr/>
            </w:pPr>
            <w:r>
              <w:rPr/>
              <w:t>Tbilisi</w:t>
            </w:r>
          </w:p>
        </w:tc>
        <w:tc>
          <w:tcPr>
            <w:tcW w:w="2102" w:type="dxa"/>
            <w:tcBorders>
              <w:left w:val="single" w:sz="4" w:space="0" w:color="000000"/>
              <w:bottom w:val="single" w:sz="4" w:space="0" w:color="000000"/>
            </w:tcBorders>
          </w:tcPr>
          <w:p>
            <w:pPr>
              <w:pStyle w:val="Normal"/>
              <w:widowControl w:val="false"/>
              <w:snapToGrid w:val="false"/>
              <w:spacing w:before="0" w:after="160"/>
              <w:rPr/>
            </w:pPr>
            <w:r>
              <w:rPr/>
              <w:t>T. Djobava + 3</w:t>
            </w:r>
          </w:p>
        </w:tc>
        <w:tc>
          <w:tcPr>
            <w:tcW w:w="1672" w:type="dxa"/>
            <w:tcBorders>
              <w:left w:val="single" w:sz="4" w:space="0" w:color="000000"/>
              <w:bottom w:val="single" w:sz="4" w:space="0" w:color="000000"/>
              <w:right w:val="single" w:sz="4" w:space="0" w:color="000000"/>
            </w:tcBorders>
          </w:tcPr>
          <w:p>
            <w:pPr>
              <w:pStyle w:val="Normal"/>
              <w:widowControl w:val="false"/>
              <w:snapToGrid w:val="false"/>
              <w:spacing w:before="0" w:after="160"/>
              <w:rPr/>
            </w:pPr>
            <w:r>
              <w:rPr/>
              <w:t>Cooperation agreement</w:t>
            </w:r>
          </w:p>
        </w:tc>
      </w:tr>
      <w:tr>
        <w:trPr/>
        <w:tc>
          <w:tcPr>
            <w:tcW w:w="2140" w:type="dxa"/>
            <w:tcBorders>
              <w:left w:val="single" w:sz="4" w:space="0" w:color="000000"/>
              <w:bottom w:val="single" w:sz="4" w:space="0" w:color="000000"/>
            </w:tcBorders>
          </w:tcPr>
          <w:p>
            <w:pPr>
              <w:pStyle w:val="Normal"/>
              <w:widowControl w:val="false"/>
              <w:snapToGrid w:val="false"/>
              <w:spacing w:before="0" w:after="160"/>
              <w:rPr/>
            </w:pPr>
            <w:r>
              <w:rPr/>
              <w:t>MPI-P</w:t>
            </w:r>
          </w:p>
        </w:tc>
        <w:tc>
          <w:tcPr>
            <w:tcW w:w="1927" w:type="dxa"/>
            <w:tcBorders>
              <w:left w:val="single" w:sz="4" w:space="0" w:color="000000"/>
              <w:bottom w:val="single" w:sz="4" w:space="0" w:color="000000"/>
            </w:tcBorders>
          </w:tcPr>
          <w:p>
            <w:pPr>
              <w:pStyle w:val="Normal"/>
              <w:widowControl w:val="false"/>
              <w:snapToGrid w:val="false"/>
              <w:spacing w:before="0" w:after="160"/>
              <w:rPr/>
            </w:pPr>
            <w:r>
              <w:rPr/>
              <w:t>Germany</w:t>
            </w:r>
          </w:p>
        </w:tc>
        <w:tc>
          <w:tcPr>
            <w:tcW w:w="2096" w:type="dxa"/>
            <w:tcBorders>
              <w:left w:val="single" w:sz="4" w:space="0" w:color="000000"/>
              <w:bottom w:val="single" w:sz="4" w:space="0" w:color="000000"/>
            </w:tcBorders>
          </w:tcPr>
          <w:p>
            <w:pPr>
              <w:pStyle w:val="Normal"/>
              <w:widowControl w:val="false"/>
              <w:snapToGrid w:val="false"/>
              <w:spacing w:before="0" w:after="160"/>
              <w:rPr/>
            </w:pPr>
            <w:r>
              <w:rPr/>
              <w:t>Munich</w:t>
            </w:r>
          </w:p>
        </w:tc>
        <w:tc>
          <w:tcPr>
            <w:tcW w:w="2102" w:type="dxa"/>
            <w:tcBorders>
              <w:left w:val="single" w:sz="4" w:space="0" w:color="000000"/>
              <w:bottom w:val="single" w:sz="4" w:space="0" w:color="000000"/>
            </w:tcBorders>
          </w:tcPr>
          <w:p>
            <w:pPr>
              <w:pStyle w:val="Normal"/>
              <w:widowControl w:val="false"/>
              <w:snapToGrid w:val="false"/>
              <w:spacing w:before="0" w:after="160"/>
              <w:rPr/>
            </w:pPr>
            <w:r>
              <w:rPr/>
              <w:t>S.Menke</w:t>
            </w:r>
          </w:p>
        </w:tc>
        <w:tc>
          <w:tcPr>
            <w:tcW w:w="1672" w:type="dxa"/>
            <w:tcBorders>
              <w:left w:val="single" w:sz="4" w:space="0" w:color="000000"/>
              <w:bottom w:val="single" w:sz="4" w:space="0" w:color="000000"/>
              <w:right w:val="single" w:sz="4" w:space="0" w:color="000000"/>
            </w:tcBorders>
          </w:tcPr>
          <w:p>
            <w:pPr>
              <w:pStyle w:val="Normal"/>
              <w:widowControl w:val="false"/>
              <w:snapToGrid w:val="false"/>
              <w:spacing w:before="0" w:after="160"/>
              <w:rPr/>
            </w:pPr>
            <w:r>
              <w:rPr/>
              <w:t>Collaborative work</w:t>
            </w:r>
          </w:p>
        </w:tc>
      </w:tr>
      <w:tr>
        <w:trPr/>
        <w:tc>
          <w:tcPr>
            <w:tcW w:w="2140" w:type="dxa"/>
            <w:tcBorders>
              <w:left w:val="single" w:sz="4" w:space="0" w:color="000000"/>
              <w:bottom w:val="single" w:sz="4" w:space="0" w:color="000000"/>
            </w:tcBorders>
          </w:tcPr>
          <w:p>
            <w:pPr>
              <w:pStyle w:val="Normal"/>
              <w:widowControl w:val="false"/>
              <w:snapToGrid w:val="false"/>
              <w:spacing w:before="0" w:after="160"/>
              <w:rPr/>
            </w:pPr>
            <w:r>
              <w:rPr/>
              <w:t>DESY</w:t>
            </w:r>
          </w:p>
        </w:tc>
        <w:tc>
          <w:tcPr>
            <w:tcW w:w="1927" w:type="dxa"/>
            <w:tcBorders>
              <w:left w:val="single" w:sz="4" w:space="0" w:color="000000"/>
              <w:bottom w:val="single" w:sz="4" w:space="0" w:color="000000"/>
            </w:tcBorders>
          </w:tcPr>
          <w:p>
            <w:pPr>
              <w:pStyle w:val="Normal"/>
              <w:widowControl w:val="false"/>
              <w:snapToGrid w:val="false"/>
              <w:spacing w:before="0" w:after="160"/>
              <w:rPr/>
            </w:pPr>
            <w:r>
              <w:rPr/>
              <w:t>Germany</w:t>
            </w:r>
          </w:p>
        </w:tc>
        <w:tc>
          <w:tcPr>
            <w:tcW w:w="2096" w:type="dxa"/>
            <w:tcBorders>
              <w:left w:val="single" w:sz="4" w:space="0" w:color="000000"/>
              <w:bottom w:val="single" w:sz="4" w:space="0" w:color="000000"/>
            </w:tcBorders>
          </w:tcPr>
          <w:p>
            <w:pPr>
              <w:pStyle w:val="Normal"/>
              <w:widowControl w:val="false"/>
              <w:snapToGrid w:val="false"/>
              <w:spacing w:before="0" w:after="160"/>
              <w:rPr/>
            </w:pPr>
            <w:r>
              <w:rPr/>
              <w:t>Zeuthen</w:t>
            </w:r>
          </w:p>
        </w:tc>
        <w:tc>
          <w:tcPr>
            <w:tcW w:w="2102" w:type="dxa"/>
            <w:tcBorders>
              <w:left w:val="single" w:sz="4" w:space="0" w:color="000000"/>
              <w:bottom w:val="single" w:sz="4" w:space="0" w:color="000000"/>
            </w:tcBorders>
          </w:tcPr>
          <w:p>
            <w:pPr>
              <w:pStyle w:val="Normal"/>
              <w:widowControl w:val="false"/>
              <w:snapToGrid w:val="false"/>
              <w:spacing w:before="0" w:after="160"/>
              <w:rPr/>
            </w:pPr>
            <w:r>
              <w:rPr/>
              <w:t>W.Loman Y.Schrieber</w:t>
            </w:r>
          </w:p>
        </w:tc>
        <w:tc>
          <w:tcPr>
            <w:tcW w:w="1672" w:type="dxa"/>
            <w:tcBorders>
              <w:left w:val="single" w:sz="4" w:space="0" w:color="000000"/>
              <w:bottom w:val="single" w:sz="4" w:space="0" w:color="000000"/>
              <w:right w:val="single" w:sz="4" w:space="0" w:color="000000"/>
            </w:tcBorders>
          </w:tcPr>
          <w:p>
            <w:pPr>
              <w:pStyle w:val="Normal"/>
              <w:widowControl w:val="false"/>
              <w:snapToGrid w:val="false"/>
              <w:spacing w:before="0" w:after="160"/>
              <w:rPr/>
            </w:pPr>
            <w:r>
              <w:rPr/>
              <w:t>Collaborative work</w:t>
            </w:r>
          </w:p>
        </w:tc>
      </w:tr>
      <w:tr>
        <w:trPr/>
        <w:tc>
          <w:tcPr>
            <w:tcW w:w="2140" w:type="dxa"/>
            <w:tcBorders>
              <w:left w:val="single" w:sz="4" w:space="0" w:color="000000"/>
              <w:bottom w:val="single" w:sz="4" w:space="0" w:color="000000"/>
            </w:tcBorders>
          </w:tcPr>
          <w:p>
            <w:pPr>
              <w:pStyle w:val="Normal"/>
              <w:widowControl w:val="false"/>
              <w:snapToGrid w:val="false"/>
              <w:spacing w:before="0" w:after="160"/>
              <w:rPr/>
            </w:pPr>
            <w:r>
              <w:rPr/>
              <w:t>WIS</w:t>
            </w:r>
          </w:p>
        </w:tc>
        <w:tc>
          <w:tcPr>
            <w:tcW w:w="1927" w:type="dxa"/>
            <w:tcBorders>
              <w:left w:val="single" w:sz="4" w:space="0" w:color="000000"/>
              <w:bottom w:val="single" w:sz="4" w:space="0" w:color="000000"/>
            </w:tcBorders>
          </w:tcPr>
          <w:p>
            <w:pPr>
              <w:pStyle w:val="Normal"/>
              <w:widowControl w:val="false"/>
              <w:snapToGrid w:val="false"/>
              <w:spacing w:before="0" w:after="160"/>
              <w:rPr/>
            </w:pPr>
            <w:r>
              <w:rPr/>
              <w:t>Israel</w:t>
            </w:r>
          </w:p>
        </w:tc>
        <w:tc>
          <w:tcPr>
            <w:tcW w:w="2096" w:type="dxa"/>
            <w:tcBorders>
              <w:left w:val="single" w:sz="4" w:space="0" w:color="000000"/>
              <w:bottom w:val="single" w:sz="4" w:space="0" w:color="000000"/>
            </w:tcBorders>
          </w:tcPr>
          <w:p>
            <w:pPr>
              <w:pStyle w:val="Normal"/>
              <w:widowControl w:val="false"/>
              <w:snapToGrid w:val="false"/>
              <w:spacing w:before="0" w:after="160"/>
              <w:rPr/>
            </w:pPr>
            <w:r>
              <w:rPr/>
              <w:t>Rehovot</w:t>
            </w:r>
          </w:p>
        </w:tc>
        <w:tc>
          <w:tcPr>
            <w:tcW w:w="2102" w:type="dxa"/>
            <w:tcBorders>
              <w:left w:val="single" w:sz="4" w:space="0" w:color="000000"/>
              <w:bottom w:val="single" w:sz="4" w:space="0" w:color="000000"/>
            </w:tcBorders>
          </w:tcPr>
          <w:p>
            <w:pPr>
              <w:pStyle w:val="Normal"/>
              <w:widowControl w:val="false"/>
              <w:snapToGrid w:val="false"/>
              <w:spacing w:before="0" w:after="160"/>
              <w:rPr/>
            </w:pPr>
            <w:r>
              <w:rPr/>
              <w:t>G. Mikenberg</w:t>
            </w:r>
          </w:p>
        </w:tc>
        <w:tc>
          <w:tcPr>
            <w:tcW w:w="1672" w:type="dxa"/>
            <w:tcBorders>
              <w:left w:val="single" w:sz="4" w:space="0" w:color="000000"/>
              <w:bottom w:val="single" w:sz="4" w:space="0" w:color="000000"/>
              <w:right w:val="single" w:sz="4" w:space="0" w:color="000000"/>
            </w:tcBorders>
          </w:tcPr>
          <w:p>
            <w:pPr>
              <w:pStyle w:val="Normal"/>
              <w:widowControl w:val="false"/>
              <w:snapToGrid w:val="false"/>
              <w:spacing w:before="0" w:after="160"/>
              <w:rPr/>
            </w:pPr>
            <w:r>
              <w:rPr/>
              <w:t>Collaborative work</w:t>
            </w:r>
          </w:p>
        </w:tc>
      </w:tr>
      <w:tr>
        <w:trPr/>
        <w:tc>
          <w:tcPr>
            <w:tcW w:w="2140" w:type="dxa"/>
            <w:tcBorders>
              <w:left w:val="single" w:sz="4" w:space="0" w:color="000000"/>
              <w:bottom w:val="single" w:sz="4" w:space="0" w:color="000000"/>
            </w:tcBorders>
          </w:tcPr>
          <w:p>
            <w:pPr>
              <w:pStyle w:val="Normal"/>
              <w:widowControl w:val="false"/>
              <w:snapToGrid w:val="false"/>
              <w:spacing w:before="0" w:after="160"/>
              <w:rPr/>
            </w:pPr>
            <w:r>
              <w:rPr/>
              <w:t>INFN</w:t>
            </w:r>
          </w:p>
        </w:tc>
        <w:tc>
          <w:tcPr>
            <w:tcW w:w="1927" w:type="dxa"/>
            <w:tcBorders>
              <w:left w:val="single" w:sz="4" w:space="0" w:color="000000"/>
              <w:bottom w:val="single" w:sz="4" w:space="0" w:color="000000"/>
            </w:tcBorders>
          </w:tcPr>
          <w:p>
            <w:pPr>
              <w:pStyle w:val="Normal"/>
              <w:widowControl w:val="false"/>
              <w:snapToGrid w:val="false"/>
              <w:spacing w:before="0" w:after="160"/>
              <w:rPr/>
            </w:pPr>
            <w:r>
              <w:rPr/>
              <w:t>Italy</w:t>
            </w:r>
          </w:p>
        </w:tc>
        <w:tc>
          <w:tcPr>
            <w:tcW w:w="2096" w:type="dxa"/>
            <w:tcBorders>
              <w:left w:val="single" w:sz="4" w:space="0" w:color="000000"/>
              <w:bottom w:val="single" w:sz="4" w:space="0" w:color="000000"/>
            </w:tcBorders>
          </w:tcPr>
          <w:p>
            <w:pPr>
              <w:pStyle w:val="Normal"/>
              <w:widowControl w:val="false"/>
              <w:snapToGrid w:val="false"/>
              <w:spacing w:before="0" w:after="160"/>
              <w:rPr/>
            </w:pPr>
            <w:r>
              <w:rPr/>
              <w:t>Pisa</w:t>
            </w:r>
          </w:p>
        </w:tc>
        <w:tc>
          <w:tcPr>
            <w:tcW w:w="2102" w:type="dxa"/>
            <w:tcBorders>
              <w:left w:val="single" w:sz="4" w:space="0" w:color="000000"/>
              <w:bottom w:val="single" w:sz="4" w:space="0" w:color="000000"/>
            </w:tcBorders>
          </w:tcPr>
          <w:p>
            <w:pPr>
              <w:pStyle w:val="Normal"/>
              <w:widowControl w:val="false"/>
              <w:snapToGrid w:val="false"/>
              <w:spacing w:before="0" w:after="160"/>
              <w:rPr/>
            </w:pPr>
            <w:r>
              <w:rPr/>
              <w:t xml:space="preserve">T. Del Prete, </w:t>
            </w:r>
          </w:p>
        </w:tc>
        <w:tc>
          <w:tcPr>
            <w:tcW w:w="1672" w:type="dxa"/>
            <w:tcBorders>
              <w:left w:val="single" w:sz="4" w:space="0" w:color="000000"/>
              <w:bottom w:val="single" w:sz="4" w:space="0" w:color="000000"/>
              <w:right w:val="single" w:sz="4" w:space="0" w:color="000000"/>
            </w:tcBorders>
          </w:tcPr>
          <w:p>
            <w:pPr>
              <w:pStyle w:val="Normal"/>
              <w:widowControl w:val="false"/>
              <w:snapToGrid w:val="false"/>
              <w:spacing w:before="0" w:after="160"/>
              <w:rPr/>
            </w:pPr>
            <w:r>
              <w:rPr/>
              <w:t>Collaborative work</w:t>
            </w:r>
          </w:p>
        </w:tc>
      </w:tr>
      <w:tr>
        <w:trPr/>
        <w:tc>
          <w:tcPr>
            <w:tcW w:w="2140" w:type="dxa"/>
            <w:tcBorders>
              <w:left w:val="single" w:sz="4" w:space="0" w:color="000000"/>
              <w:bottom w:val="single" w:sz="4" w:space="0" w:color="000000"/>
            </w:tcBorders>
          </w:tcPr>
          <w:p>
            <w:pPr>
              <w:pStyle w:val="Normal"/>
              <w:widowControl w:val="false"/>
              <w:snapToGrid w:val="false"/>
              <w:spacing w:before="0" w:after="160"/>
              <w:rPr/>
            </w:pPr>
            <w:r>
              <w:rPr/>
              <w:t>INFN</w:t>
            </w:r>
          </w:p>
        </w:tc>
        <w:tc>
          <w:tcPr>
            <w:tcW w:w="1927" w:type="dxa"/>
            <w:tcBorders>
              <w:left w:val="single" w:sz="4" w:space="0" w:color="000000"/>
              <w:bottom w:val="single" w:sz="4" w:space="0" w:color="000000"/>
            </w:tcBorders>
          </w:tcPr>
          <w:p>
            <w:pPr>
              <w:pStyle w:val="Normal"/>
              <w:widowControl w:val="false"/>
              <w:snapToGrid w:val="false"/>
              <w:spacing w:before="0" w:after="160"/>
              <w:rPr/>
            </w:pPr>
            <w:r>
              <w:rPr/>
              <w:t>Italy</w:t>
            </w:r>
          </w:p>
        </w:tc>
        <w:tc>
          <w:tcPr>
            <w:tcW w:w="2096" w:type="dxa"/>
            <w:tcBorders>
              <w:left w:val="single" w:sz="4" w:space="0" w:color="000000"/>
              <w:bottom w:val="single" w:sz="4" w:space="0" w:color="000000"/>
            </w:tcBorders>
          </w:tcPr>
          <w:p>
            <w:pPr>
              <w:pStyle w:val="Normal"/>
              <w:widowControl w:val="false"/>
              <w:snapToGrid w:val="false"/>
              <w:spacing w:before="0" w:after="160"/>
              <w:rPr/>
            </w:pPr>
            <w:r>
              <w:rPr/>
              <w:t>Genova</w:t>
            </w:r>
          </w:p>
        </w:tc>
        <w:tc>
          <w:tcPr>
            <w:tcW w:w="2102" w:type="dxa"/>
            <w:tcBorders>
              <w:left w:val="single" w:sz="4" w:space="0" w:color="000000"/>
              <w:bottom w:val="single" w:sz="4" w:space="0" w:color="000000"/>
            </w:tcBorders>
          </w:tcPr>
          <w:p>
            <w:pPr>
              <w:pStyle w:val="Normal"/>
              <w:widowControl w:val="false"/>
              <w:snapToGrid w:val="false"/>
              <w:spacing w:before="0" w:after="160"/>
              <w:rPr/>
            </w:pPr>
            <w:r>
              <w:rPr/>
              <w:t>S.Turchikhin</w:t>
            </w:r>
          </w:p>
        </w:tc>
        <w:tc>
          <w:tcPr>
            <w:tcW w:w="1672" w:type="dxa"/>
            <w:tcBorders>
              <w:left w:val="single" w:sz="4" w:space="0" w:color="000000"/>
              <w:bottom w:val="single" w:sz="4" w:space="0" w:color="000000"/>
              <w:right w:val="single" w:sz="4" w:space="0" w:color="000000"/>
            </w:tcBorders>
          </w:tcPr>
          <w:p>
            <w:pPr>
              <w:pStyle w:val="Normal"/>
              <w:widowControl w:val="false"/>
              <w:snapToGrid w:val="false"/>
              <w:spacing w:before="0" w:after="160"/>
              <w:rPr/>
            </w:pPr>
            <w:r>
              <w:rPr/>
              <w:t>Collaborative work</w:t>
            </w:r>
          </w:p>
        </w:tc>
      </w:tr>
      <w:tr>
        <w:trPr/>
        <w:tc>
          <w:tcPr>
            <w:tcW w:w="2140" w:type="dxa"/>
            <w:tcBorders>
              <w:left w:val="single" w:sz="4" w:space="0" w:color="000000"/>
              <w:bottom w:val="single" w:sz="4" w:space="0" w:color="000000"/>
            </w:tcBorders>
          </w:tcPr>
          <w:p>
            <w:pPr>
              <w:pStyle w:val="Normal"/>
              <w:widowControl w:val="false"/>
              <w:snapToGrid w:val="false"/>
              <w:spacing w:before="0" w:after="160"/>
              <w:rPr/>
            </w:pPr>
            <w:r>
              <w:rPr/>
              <w:t>NIKHEF</w:t>
            </w:r>
          </w:p>
        </w:tc>
        <w:tc>
          <w:tcPr>
            <w:tcW w:w="1927" w:type="dxa"/>
            <w:tcBorders>
              <w:left w:val="single" w:sz="4" w:space="0" w:color="000000"/>
              <w:bottom w:val="single" w:sz="4" w:space="0" w:color="000000"/>
            </w:tcBorders>
          </w:tcPr>
          <w:p>
            <w:pPr>
              <w:pStyle w:val="Normal"/>
              <w:widowControl w:val="false"/>
              <w:snapToGrid w:val="false"/>
              <w:spacing w:before="0" w:after="160"/>
              <w:rPr/>
            </w:pPr>
            <w:r>
              <w:rPr/>
              <w:t>Netherlands</w:t>
            </w:r>
          </w:p>
        </w:tc>
        <w:tc>
          <w:tcPr>
            <w:tcW w:w="2096" w:type="dxa"/>
            <w:tcBorders>
              <w:left w:val="single" w:sz="4" w:space="0" w:color="000000"/>
              <w:bottom w:val="single" w:sz="4" w:space="0" w:color="000000"/>
            </w:tcBorders>
          </w:tcPr>
          <w:p>
            <w:pPr>
              <w:pStyle w:val="Normal"/>
              <w:widowControl w:val="false"/>
              <w:snapToGrid w:val="false"/>
              <w:spacing w:before="0" w:after="160"/>
              <w:rPr/>
            </w:pPr>
            <w:r>
              <w:rPr/>
              <w:t>Amsterdam</w:t>
            </w:r>
          </w:p>
        </w:tc>
        <w:tc>
          <w:tcPr>
            <w:tcW w:w="2102" w:type="dxa"/>
            <w:tcBorders>
              <w:left w:val="single" w:sz="4" w:space="0" w:color="000000"/>
              <w:bottom w:val="single" w:sz="4" w:space="0" w:color="000000"/>
            </w:tcBorders>
          </w:tcPr>
          <w:p>
            <w:pPr>
              <w:pStyle w:val="Normal"/>
              <w:widowControl w:val="false"/>
              <w:snapToGrid w:val="false"/>
              <w:spacing w:before="0" w:after="160"/>
              <w:rPr/>
            </w:pPr>
            <w:r>
              <w:rPr/>
              <w:t>H. Van Der Graaf</w:t>
            </w:r>
          </w:p>
        </w:tc>
        <w:tc>
          <w:tcPr>
            <w:tcW w:w="1672" w:type="dxa"/>
            <w:tcBorders>
              <w:left w:val="single" w:sz="4" w:space="0" w:color="000000"/>
              <w:bottom w:val="single" w:sz="4" w:space="0" w:color="000000"/>
              <w:right w:val="single" w:sz="4" w:space="0" w:color="000000"/>
            </w:tcBorders>
          </w:tcPr>
          <w:p>
            <w:pPr>
              <w:pStyle w:val="Normal"/>
              <w:widowControl w:val="false"/>
              <w:snapToGrid w:val="false"/>
              <w:spacing w:before="0" w:after="160"/>
              <w:rPr/>
            </w:pPr>
            <w:r>
              <w:rPr/>
              <w:t>Collaborative work</w:t>
            </w:r>
          </w:p>
        </w:tc>
      </w:tr>
      <w:tr>
        <w:trPr/>
        <w:tc>
          <w:tcPr>
            <w:tcW w:w="2140" w:type="dxa"/>
            <w:tcBorders>
              <w:left w:val="single" w:sz="4" w:space="0" w:color="000000"/>
              <w:bottom w:val="single" w:sz="4" w:space="0" w:color="000000"/>
            </w:tcBorders>
          </w:tcPr>
          <w:p>
            <w:pPr>
              <w:pStyle w:val="Normal"/>
              <w:widowControl w:val="false"/>
              <w:snapToGrid w:val="false"/>
              <w:spacing w:before="0" w:after="160"/>
              <w:rPr/>
            </w:pPr>
            <w:r>
              <w:rPr/>
              <w:t>CU</w:t>
            </w:r>
          </w:p>
        </w:tc>
        <w:tc>
          <w:tcPr>
            <w:tcW w:w="1927" w:type="dxa"/>
            <w:tcBorders>
              <w:left w:val="single" w:sz="4" w:space="0" w:color="000000"/>
              <w:bottom w:val="single" w:sz="4" w:space="0" w:color="000000"/>
            </w:tcBorders>
          </w:tcPr>
          <w:p>
            <w:pPr>
              <w:pStyle w:val="Normal"/>
              <w:widowControl w:val="false"/>
              <w:snapToGrid w:val="false"/>
              <w:spacing w:before="0" w:after="160"/>
              <w:rPr/>
            </w:pPr>
            <w:r>
              <w:rPr/>
              <w:t>Slovakia</w:t>
            </w:r>
          </w:p>
        </w:tc>
        <w:tc>
          <w:tcPr>
            <w:tcW w:w="2096" w:type="dxa"/>
            <w:tcBorders>
              <w:left w:val="single" w:sz="4" w:space="0" w:color="000000"/>
              <w:bottom w:val="single" w:sz="4" w:space="0" w:color="000000"/>
            </w:tcBorders>
          </w:tcPr>
          <w:p>
            <w:pPr>
              <w:pStyle w:val="Normal"/>
              <w:widowControl w:val="false"/>
              <w:snapToGrid w:val="false"/>
              <w:spacing w:before="0" w:after="160"/>
              <w:rPr/>
            </w:pPr>
            <w:r>
              <w:rPr/>
              <w:t>Bratislava</w:t>
            </w:r>
          </w:p>
        </w:tc>
        <w:tc>
          <w:tcPr>
            <w:tcW w:w="2102" w:type="dxa"/>
            <w:tcBorders>
              <w:left w:val="single" w:sz="4" w:space="0" w:color="000000"/>
              <w:bottom w:val="single" w:sz="4" w:space="0" w:color="000000"/>
            </w:tcBorders>
          </w:tcPr>
          <w:p>
            <w:pPr>
              <w:pStyle w:val="Normal"/>
              <w:widowControl w:val="false"/>
              <w:snapToGrid w:val="false"/>
              <w:spacing w:before="0" w:after="160"/>
              <w:rPr/>
            </w:pPr>
            <w:r>
              <w:rPr/>
              <w:t>A. Dubnickova, S.Tokar</w:t>
            </w:r>
          </w:p>
        </w:tc>
        <w:tc>
          <w:tcPr>
            <w:tcW w:w="1672" w:type="dxa"/>
            <w:tcBorders>
              <w:left w:val="single" w:sz="4" w:space="0" w:color="000000"/>
              <w:bottom w:val="single" w:sz="4" w:space="0" w:color="000000"/>
              <w:right w:val="single" w:sz="4" w:space="0" w:color="000000"/>
            </w:tcBorders>
          </w:tcPr>
          <w:p>
            <w:pPr>
              <w:pStyle w:val="Normal"/>
              <w:widowControl w:val="false"/>
              <w:snapToGrid w:val="false"/>
              <w:spacing w:before="0" w:after="160"/>
              <w:rPr/>
            </w:pPr>
            <w:r>
              <w:rPr/>
              <w:t>Collaborative work</w:t>
            </w:r>
          </w:p>
        </w:tc>
      </w:tr>
      <w:tr>
        <w:trPr/>
        <w:tc>
          <w:tcPr>
            <w:tcW w:w="2140" w:type="dxa"/>
            <w:tcBorders>
              <w:left w:val="single" w:sz="4" w:space="0" w:color="000000"/>
              <w:bottom w:val="single" w:sz="4" w:space="0" w:color="000000"/>
            </w:tcBorders>
          </w:tcPr>
          <w:p>
            <w:pPr>
              <w:pStyle w:val="Normal"/>
              <w:widowControl w:val="false"/>
              <w:snapToGrid w:val="false"/>
              <w:spacing w:before="0" w:after="160"/>
              <w:rPr/>
            </w:pPr>
            <w:r>
              <w:rPr/>
              <w:t>IP SAS</w:t>
            </w:r>
          </w:p>
        </w:tc>
        <w:tc>
          <w:tcPr>
            <w:tcW w:w="1927" w:type="dxa"/>
            <w:tcBorders>
              <w:left w:val="single" w:sz="4" w:space="0" w:color="000000"/>
              <w:bottom w:val="single" w:sz="4" w:space="0" w:color="000000"/>
            </w:tcBorders>
          </w:tcPr>
          <w:p>
            <w:pPr>
              <w:pStyle w:val="Normal"/>
              <w:widowControl w:val="false"/>
              <w:snapToGrid w:val="false"/>
              <w:spacing w:before="0" w:after="160"/>
              <w:rPr/>
            </w:pPr>
            <w:r>
              <w:rPr/>
              <w:t>Slovakia</w:t>
            </w:r>
          </w:p>
        </w:tc>
        <w:tc>
          <w:tcPr>
            <w:tcW w:w="2096" w:type="dxa"/>
            <w:tcBorders>
              <w:left w:val="single" w:sz="4" w:space="0" w:color="000000"/>
              <w:bottom w:val="single" w:sz="4" w:space="0" w:color="000000"/>
            </w:tcBorders>
          </w:tcPr>
          <w:p>
            <w:pPr>
              <w:pStyle w:val="Normal"/>
              <w:widowControl w:val="false"/>
              <w:snapToGrid w:val="false"/>
              <w:spacing w:before="0" w:after="160"/>
              <w:rPr/>
            </w:pPr>
            <w:r>
              <w:rPr/>
              <w:t>Bratislava</w:t>
            </w:r>
          </w:p>
        </w:tc>
        <w:tc>
          <w:tcPr>
            <w:tcW w:w="2102" w:type="dxa"/>
            <w:tcBorders>
              <w:left w:val="single" w:sz="4" w:space="0" w:color="000000"/>
              <w:bottom w:val="single" w:sz="4" w:space="0" w:color="000000"/>
            </w:tcBorders>
          </w:tcPr>
          <w:p>
            <w:pPr>
              <w:pStyle w:val="Normal"/>
              <w:widowControl w:val="false"/>
              <w:snapToGrid w:val="false"/>
              <w:spacing w:before="0" w:after="160"/>
              <w:rPr/>
            </w:pPr>
            <w:r>
              <w:rPr/>
              <w:t xml:space="preserve">S.Dubnicka +3 </w:t>
            </w:r>
          </w:p>
        </w:tc>
        <w:tc>
          <w:tcPr>
            <w:tcW w:w="1672" w:type="dxa"/>
            <w:tcBorders>
              <w:left w:val="single" w:sz="4" w:space="0" w:color="000000"/>
              <w:bottom w:val="single" w:sz="4" w:space="0" w:color="000000"/>
              <w:right w:val="single" w:sz="4" w:space="0" w:color="000000"/>
            </w:tcBorders>
          </w:tcPr>
          <w:p>
            <w:pPr>
              <w:pStyle w:val="Normal"/>
              <w:widowControl w:val="false"/>
              <w:snapToGrid w:val="false"/>
              <w:spacing w:before="0" w:after="160"/>
              <w:rPr/>
            </w:pPr>
            <w:r>
              <w:rPr/>
              <w:t>Collaborative work</w:t>
            </w:r>
          </w:p>
        </w:tc>
      </w:tr>
      <w:tr>
        <w:trPr/>
        <w:tc>
          <w:tcPr>
            <w:tcW w:w="2140" w:type="dxa"/>
            <w:tcBorders>
              <w:left w:val="single" w:sz="4" w:space="0" w:color="000000"/>
              <w:bottom w:val="single" w:sz="4" w:space="0" w:color="000000"/>
            </w:tcBorders>
          </w:tcPr>
          <w:p>
            <w:pPr>
              <w:pStyle w:val="Normal"/>
              <w:widowControl w:val="false"/>
              <w:snapToGrid w:val="false"/>
              <w:spacing w:before="0" w:after="160"/>
              <w:rPr/>
            </w:pPr>
            <w:r>
              <w:rPr/>
              <w:t>IFAE</w:t>
            </w:r>
          </w:p>
        </w:tc>
        <w:tc>
          <w:tcPr>
            <w:tcW w:w="1927" w:type="dxa"/>
            <w:tcBorders>
              <w:left w:val="single" w:sz="4" w:space="0" w:color="000000"/>
              <w:bottom w:val="single" w:sz="4" w:space="0" w:color="000000"/>
            </w:tcBorders>
          </w:tcPr>
          <w:p>
            <w:pPr>
              <w:pStyle w:val="Normal"/>
              <w:widowControl w:val="false"/>
              <w:snapToGrid w:val="false"/>
              <w:spacing w:before="0" w:after="160"/>
              <w:rPr/>
            </w:pPr>
            <w:r>
              <w:rPr/>
              <w:t>Spain</w:t>
            </w:r>
          </w:p>
        </w:tc>
        <w:tc>
          <w:tcPr>
            <w:tcW w:w="2096" w:type="dxa"/>
            <w:tcBorders>
              <w:left w:val="single" w:sz="4" w:space="0" w:color="000000"/>
              <w:bottom w:val="single" w:sz="4" w:space="0" w:color="000000"/>
            </w:tcBorders>
          </w:tcPr>
          <w:p>
            <w:pPr>
              <w:pStyle w:val="Normal"/>
              <w:widowControl w:val="false"/>
              <w:snapToGrid w:val="false"/>
              <w:spacing w:before="0" w:after="160"/>
              <w:rPr/>
            </w:pPr>
            <w:r>
              <w:rPr/>
              <w:t>Barcelona</w:t>
            </w:r>
          </w:p>
        </w:tc>
        <w:tc>
          <w:tcPr>
            <w:tcW w:w="2102" w:type="dxa"/>
            <w:tcBorders>
              <w:left w:val="single" w:sz="4" w:space="0" w:color="000000"/>
              <w:bottom w:val="single" w:sz="4" w:space="0" w:color="000000"/>
            </w:tcBorders>
          </w:tcPr>
          <w:p>
            <w:pPr>
              <w:pStyle w:val="Normal"/>
              <w:widowControl w:val="false"/>
              <w:snapToGrid w:val="false"/>
              <w:spacing w:before="0" w:after="160"/>
              <w:rPr/>
            </w:pPr>
            <w:r>
              <w:rPr/>
              <w:t>M. Cavalli-Sforza</w:t>
            </w:r>
          </w:p>
        </w:tc>
        <w:tc>
          <w:tcPr>
            <w:tcW w:w="1672" w:type="dxa"/>
            <w:tcBorders>
              <w:left w:val="single" w:sz="4" w:space="0" w:color="000000"/>
              <w:bottom w:val="single" w:sz="4" w:space="0" w:color="000000"/>
              <w:right w:val="single" w:sz="4" w:space="0" w:color="000000"/>
            </w:tcBorders>
          </w:tcPr>
          <w:p>
            <w:pPr>
              <w:pStyle w:val="Normal"/>
              <w:widowControl w:val="false"/>
              <w:snapToGrid w:val="false"/>
              <w:spacing w:before="0" w:after="160"/>
              <w:rPr/>
            </w:pPr>
            <w:r>
              <w:rPr/>
              <w:t>Collaborative work</w:t>
            </w:r>
          </w:p>
        </w:tc>
      </w:tr>
      <w:tr>
        <w:trPr/>
        <w:tc>
          <w:tcPr>
            <w:tcW w:w="2140" w:type="dxa"/>
            <w:tcBorders>
              <w:left w:val="single" w:sz="4" w:space="0" w:color="000000"/>
              <w:bottom w:val="single" w:sz="4" w:space="0" w:color="000000"/>
            </w:tcBorders>
          </w:tcPr>
          <w:p>
            <w:pPr>
              <w:pStyle w:val="Normal"/>
              <w:widowControl w:val="false"/>
              <w:snapToGrid w:val="false"/>
              <w:spacing w:before="0" w:after="160"/>
              <w:rPr/>
            </w:pPr>
            <w:r>
              <w:rPr/>
              <w:t>ANL</w:t>
            </w:r>
          </w:p>
        </w:tc>
        <w:tc>
          <w:tcPr>
            <w:tcW w:w="1927" w:type="dxa"/>
            <w:tcBorders>
              <w:left w:val="single" w:sz="4" w:space="0" w:color="000000"/>
              <w:bottom w:val="single" w:sz="4" w:space="0" w:color="000000"/>
            </w:tcBorders>
          </w:tcPr>
          <w:p>
            <w:pPr>
              <w:pStyle w:val="Normal"/>
              <w:widowControl w:val="false"/>
              <w:snapToGrid w:val="false"/>
              <w:spacing w:before="0" w:after="160"/>
              <w:rPr/>
            </w:pPr>
            <w:r>
              <w:rPr/>
              <w:t>USA</w:t>
            </w:r>
          </w:p>
        </w:tc>
        <w:tc>
          <w:tcPr>
            <w:tcW w:w="2096" w:type="dxa"/>
            <w:tcBorders>
              <w:left w:val="single" w:sz="4" w:space="0" w:color="000000"/>
              <w:bottom w:val="single" w:sz="4" w:space="0" w:color="000000"/>
            </w:tcBorders>
          </w:tcPr>
          <w:p>
            <w:pPr>
              <w:pStyle w:val="Normal"/>
              <w:widowControl w:val="false"/>
              <w:snapToGrid w:val="false"/>
              <w:spacing w:before="0" w:after="160"/>
              <w:rPr/>
            </w:pPr>
            <w:r>
              <w:rPr/>
              <w:t>Lemont, IL</w:t>
            </w:r>
          </w:p>
        </w:tc>
        <w:tc>
          <w:tcPr>
            <w:tcW w:w="2102" w:type="dxa"/>
            <w:tcBorders>
              <w:left w:val="single" w:sz="4" w:space="0" w:color="000000"/>
              <w:bottom w:val="single" w:sz="4" w:space="0" w:color="000000"/>
            </w:tcBorders>
          </w:tcPr>
          <w:p>
            <w:pPr>
              <w:pStyle w:val="Normal"/>
              <w:widowControl w:val="false"/>
              <w:snapToGrid w:val="false"/>
              <w:spacing w:before="0" w:after="160"/>
              <w:rPr/>
            </w:pPr>
            <w:r>
              <w:rPr/>
              <w:t>L. Price</w:t>
            </w:r>
          </w:p>
        </w:tc>
        <w:tc>
          <w:tcPr>
            <w:tcW w:w="1672" w:type="dxa"/>
            <w:tcBorders>
              <w:left w:val="single" w:sz="4" w:space="0" w:color="000000"/>
              <w:bottom w:val="single" w:sz="4" w:space="0" w:color="000000"/>
              <w:right w:val="single" w:sz="4" w:space="0" w:color="000000"/>
            </w:tcBorders>
          </w:tcPr>
          <w:p>
            <w:pPr>
              <w:pStyle w:val="Normal"/>
              <w:widowControl w:val="false"/>
              <w:snapToGrid w:val="false"/>
              <w:spacing w:before="0" w:after="160"/>
              <w:rPr/>
            </w:pPr>
            <w:r>
              <w:rPr/>
              <w:t>Cooperation agreement</w:t>
            </w:r>
          </w:p>
        </w:tc>
      </w:tr>
      <w:tr>
        <w:trPr/>
        <w:tc>
          <w:tcPr>
            <w:tcW w:w="2140" w:type="dxa"/>
            <w:tcBorders>
              <w:left w:val="single" w:sz="4" w:space="0" w:color="000000"/>
              <w:bottom w:val="single" w:sz="4" w:space="0" w:color="000000"/>
            </w:tcBorders>
          </w:tcPr>
          <w:p>
            <w:pPr>
              <w:pStyle w:val="Normal"/>
              <w:widowControl w:val="false"/>
              <w:snapToGrid w:val="false"/>
              <w:spacing w:before="0" w:after="160"/>
              <w:rPr/>
            </w:pPr>
            <w:r>
              <w:rPr/>
              <w:t>SSU</w:t>
            </w:r>
          </w:p>
        </w:tc>
        <w:tc>
          <w:tcPr>
            <w:tcW w:w="1927" w:type="dxa"/>
            <w:tcBorders>
              <w:left w:val="single" w:sz="4" w:space="0" w:color="000000"/>
              <w:bottom w:val="single" w:sz="4" w:space="0" w:color="000000"/>
            </w:tcBorders>
          </w:tcPr>
          <w:p>
            <w:pPr>
              <w:pStyle w:val="Normal"/>
              <w:widowControl w:val="false"/>
              <w:snapToGrid w:val="false"/>
              <w:spacing w:before="0" w:after="160"/>
              <w:rPr/>
            </w:pPr>
            <w:r>
              <w:rPr/>
              <w:t>Uzbekistan</w:t>
            </w:r>
          </w:p>
        </w:tc>
        <w:tc>
          <w:tcPr>
            <w:tcW w:w="2096" w:type="dxa"/>
            <w:tcBorders>
              <w:left w:val="single" w:sz="4" w:space="0" w:color="000000"/>
              <w:bottom w:val="single" w:sz="4" w:space="0" w:color="000000"/>
            </w:tcBorders>
          </w:tcPr>
          <w:p>
            <w:pPr>
              <w:pStyle w:val="Normal"/>
              <w:widowControl w:val="false"/>
              <w:snapToGrid w:val="false"/>
              <w:spacing w:before="0" w:after="160"/>
              <w:rPr/>
            </w:pPr>
            <w:r>
              <w:rPr/>
              <w:t>Samarkand</w:t>
            </w:r>
          </w:p>
        </w:tc>
        <w:tc>
          <w:tcPr>
            <w:tcW w:w="2102" w:type="dxa"/>
            <w:tcBorders>
              <w:left w:val="single" w:sz="4" w:space="0" w:color="000000"/>
              <w:bottom w:val="single" w:sz="4" w:space="0" w:color="000000"/>
            </w:tcBorders>
          </w:tcPr>
          <w:p>
            <w:pPr>
              <w:pStyle w:val="Normal"/>
              <w:widowControl w:val="false"/>
              <w:snapToGrid w:val="false"/>
              <w:spacing w:before="0" w:after="160"/>
              <w:rPr/>
            </w:pPr>
            <w:r>
              <w:rPr/>
              <w:t>A.Artikov U.Salikhbaev</w:t>
            </w:r>
          </w:p>
        </w:tc>
        <w:tc>
          <w:tcPr>
            <w:tcW w:w="1672" w:type="dxa"/>
            <w:tcBorders>
              <w:left w:val="single" w:sz="4" w:space="0" w:color="000000"/>
              <w:bottom w:val="single" w:sz="4" w:space="0" w:color="000000"/>
              <w:right w:val="single" w:sz="4" w:space="0" w:color="000000"/>
            </w:tcBorders>
          </w:tcPr>
          <w:p>
            <w:pPr>
              <w:pStyle w:val="Normal"/>
              <w:widowControl w:val="false"/>
              <w:snapToGrid w:val="false"/>
              <w:spacing w:before="0" w:after="160"/>
              <w:rPr/>
            </w:pPr>
            <w:r>
              <w:rPr/>
              <w:t>Collaborative work</w:t>
            </w:r>
          </w:p>
        </w:tc>
      </w:tr>
      <w:tr>
        <w:trPr/>
        <w:tc>
          <w:tcPr>
            <w:tcW w:w="2140" w:type="dxa"/>
            <w:tcBorders>
              <w:left w:val="single" w:sz="4" w:space="0" w:color="000000"/>
              <w:bottom w:val="single" w:sz="4" w:space="0" w:color="000000"/>
            </w:tcBorders>
          </w:tcPr>
          <w:p>
            <w:pPr>
              <w:pStyle w:val="Normal"/>
              <w:widowControl w:val="false"/>
              <w:snapToGrid w:val="false"/>
              <w:spacing w:before="0" w:after="160"/>
              <w:rPr/>
            </w:pPr>
            <w:r>
              <w:rPr/>
              <w:t>BINP</w:t>
            </w:r>
          </w:p>
        </w:tc>
        <w:tc>
          <w:tcPr>
            <w:tcW w:w="1927" w:type="dxa"/>
            <w:tcBorders>
              <w:left w:val="single" w:sz="4" w:space="0" w:color="000000"/>
              <w:bottom w:val="single" w:sz="4" w:space="0" w:color="000000"/>
            </w:tcBorders>
          </w:tcPr>
          <w:p>
            <w:pPr>
              <w:pStyle w:val="Normal"/>
              <w:widowControl w:val="false"/>
              <w:snapToGrid w:val="false"/>
              <w:spacing w:before="0" w:after="160"/>
              <w:rPr/>
            </w:pPr>
            <w:r>
              <w:rPr/>
              <w:t>Russia</w:t>
            </w:r>
          </w:p>
        </w:tc>
        <w:tc>
          <w:tcPr>
            <w:tcW w:w="2096" w:type="dxa"/>
            <w:tcBorders>
              <w:left w:val="single" w:sz="4" w:space="0" w:color="000000"/>
              <w:bottom w:val="single" w:sz="4" w:space="0" w:color="000000"/>
            </w:tcBorders>
          </w:tcPr>
          <w:p>
            <w:pPr>
              <w:pStyle w:val="Normal"/>
              <w:widowControl w:val="false"/>
              <w:snapToGrid w:val="false"/>
              <w:spacing w:before="0" w:after="160"/>
              <w:rPr/>
            </w:pPr>
            <w:r>
              <w:rPr/>
              <w:t>Novosibirsk</w:t>
            </w:r>
          </w:p>
        </w:tc>
        <w:tc>
          <w:tcPr>
            <w:tcW w:w="2102" w:type="dxa"/>
            <w:tcBorders>
              <w:left w:val="single" w:sz="4" w:space="0" w:color="000000"/>
              <w:bottom w:val="single" w:sz="4" w:space="0" w:color="000000"/>
            </w:tcBorders>
          </w:tcPr>
          <w:p>
            <w:pPr>
              <w:pStyle w:val="Normal"/>
              <w:widowControl w:val="false"/>
              <w:snapToGrid w:val="false"/>
              <w:spacing w:before="0" w:after="160"/>
              <w:rPr/>
            </w:pPr>
            <w:r>
              <w:rPr/>
              <w:t>L.Maslennikov, V.Bobrovnikov</w:t>
            </w:r>
          </w:p>
        </w:tc>
        <w:tc>
          <w:tcPr>
            <w:tcW w:w="1672" w:type="dxa"/>
            <w:tcBorders>
              <w:left w:val="single" w:sz="4" w:space="0" w:color="000000"/>
              <w:bottom w:val="single" w:sz="4" w:space="0" w:color="000000"/>
              <w:right w:val="single" w:sz="4" w:space="0" w:color="000000"/>
            </w:tcBorders>
          </w:tcPr>
          <w:p>
            <w:pPr>
              <w:pStyle w:val="Normal"/>
              <w:widowControl w:val="false"/>
              <w:snapToGrid w:val="false"/>
              <w:spacing w:before="0" w:after="160"/>
              <w:rPr>
                <w:lang w:val="en-US"/>
              </w:rPr>
            </w:pPr>
            <w:r>
              <w:rPr/>
              <w:t xml:space="preserve">Collaborative </w:t>
            </w:r>
            <w:r>
              <w:rPr>
                <w:lang w:val="en-US"/>
              </w:rPr>
              <w:t>agreement</w:t>
            </w:r>
          </w:p>
        </w:tc>
      </w:tr>
      <w:tr>
        <w:trPr/>
        <w:tc>
          <w:tcPr>
            <w:tcW w:w="2140" w:type="dxa"/>
            <w:tcBorders>
              <w:left w:val="single" w:sz="4" w:space="0" w:color="000000"/>
              <w:bottom w:val="single" w:sz="4" w:space="0" w:color="000000"/>
            </w:tcBorders>
          </w:tcPr>
          <w:p>
            <w:pPr>
              <w:pStyle w:val="Normal"/>
              <w:widowControl w:val="false"/>
              <w:snapToGrid w:val="false"/>
              <w:spacing w:before="0" w:after="160"/>
              <w:rPr/>
            </w:pPr>
            <w:r>
              <w:rPr/>
              <w:t>MEPhI</w:t>
            </w:r>
          </w:p>
        </w:tc>
        <w:tc>
          <w:tcPr>
            <w:tcW w:w="1927" w:type="dxa"/>
            <w:tcBorders>
              <w:left w:val="single" w:sz="4" w:space="0" w:color="000000"/>
              <w:bottom w:val="single" w:sz="4" w:space="0" w:color="000000"/>
            </w:tcBorders>
          </w:tcPr>
          <w:p>
            <w:pPr>
              <w:pStyle w:val="Normal"/>
              <w:widowControl w:val="false"/>
              <w:snapToGrid w:val="false"/>
              <w:spacing w:before="0" w:after="160"/>
              <w:rPr/>
            </w:pPr>
            <w:r>
              <w:rPr/>
              <w:t>Russia</w:t>
            </w:r>
          </w:p>
        </w:tc>
        <w:tc>
          <w:tcPr>
            <w:tcW w:w="2096" w:type="dxa"/>
            <w:tcBorders>
              <w:left w:val="single" w:sz="4" w:space="0" w:color="000000"/>
              <w:bottom w:val="single" w:sz="4" w:space="0" w:color="000000"/>
            </w:tcBorders>
          </w:tcPr>
          <w:p>
            <w:pPr>
              <w:pStyle w:val="Normal"/>
              <w:widowControl w:val="false"/>
              <w:snapToGrid w:val="false"/>
              <w:spacing w:before="0" w:after="160"/>
              <w:rPr/>
            </w:pPr>
            <w:r>
              <w:rPr/>
              <w:t>Moscow</w:t>
            </w:r>
          </w:p>
        </w:tc>
        <w:tc>
          <w:tcPr>
            <w:tcW w:w="2102" w:type="dxa"/>
            <w:tcBorders>
              <w:left w:val="single" w:sz="4" w:space="0" w:color="000000"/>
              <w:bottom w:val="single" w:sz="4" w:space="0" w:color="000000"/>
            </w:tcBorders>
          </w:tcPr>
          <w:p>
            <w:pPr>
              <w:pStyle w:val="Normal"/>
              <w:widowControl w:val="false"/>
              <w:snapToGrid w:val="false"/>
              <w:spacing w:before="0" w:after="160"/>
              <w:rPr/>
            </w:pPr>
            <w:r>
              <w:rPr/>
              <w:t>E.Soldatov</w:t>
            </w:r>
          </w:p>
        </w:tc>
        <w:tc>
          <w:tcPr>
            <w:tcW w:w="1672" w:type="dxa"/>
            <w:tcBorders>
              <w:left w:val="single" w:sz="4" w:space="0" w:color="000000"/>
              <w:bottom w:val="single" w:sz="4" w:space="0" w:color="000000"/>
              <w:right w:val="single" w:sz="4" w:space="0" w:color="000000"/>
            </w:tcBorders>
          </w:tcPr>
          <w:p>
            <w:pPr>
              <w:pStyle w:val="Normal"/>
              <w:widowControl w:val="false"/>
              <w:snapToGrid w:val="false"/>
              <w:spacing w:before="0" w:after="160"/>
              <w:rPr>
                <w:lang w:val="en-US"/>
              </w:rPr>
            </w:pPr>
            <w:r>
              <w:rPr/>
              <w:t xml:space="preserve">Collaborative </w:t>
            </w:r>
            <w:r>
              <w:rPr>
                <w:lang w:val="en-US"/>
              </w:rPr>
              <w:t>agreement</w:t>
            </w:r>
          </w:p>
        </w:tc>
      </w:tr>
    </w:tbl>
    <w:p>
      <w:pPr>
        <w:pStyle w:val="Normal"/>
        <w:spacing w:lineRule="atLeast" w:line="240" w:before="0" w:after="0"/>
        <w:jc w:val="both"/>
        <w:rPr>
          <w:b/>
        </w:rPr>
      </w:pPr>
      <w:r>
        <w:rPr>
          <w:b/>
        </w:rPr>
      </w:r>
    </w:p>
    <w:p>
      <w:pPr>
        <w:pStyle w:val="Normal"/>
        <w:spacing w:lineRule="atLeast" w:line="240" w:before="0" w:after="0"/>
        <w:ind w:hanging="426" w:left="426"/>
        <w:jc w:val="both"/>
        <w:rPr>
          <w:i/>
          <w:i/>
          <w:iCs/>
        </w:rPr>
      </w:pPr>
      <w:r>
        <w:rPr>
          <w:b/>
        </w:rPr>
        <w:t>2.6.</w:t>
      </w:r>
      <w:r>
        <w:rPr>
          <w:b/>
          <w:lang w:val="en-US"/>
        </w:rPr>
        <w:t> </w:t>
      </w:r>
      <w:r>
        <w:rPr>
          <w:b/>
        </w:rPr>
        <w:t xml:space="preserve">Организации-соисполнители </w:t>
      </w:r>
      <w:r>
        <w:rPr>
          <w:i/>
          <w:iCs/>
        </w:rPr>
        <w:t>(те сотрудничающие организации/партнеры без финансового, инфраструктурного участия которых выполнение программы исследований невозможно. Пример — участие ОИЯИ в экспериментах LHC в CERN)</w:t>
      </w:r>
    </w:p>
    <w:p>
      <w:pPr>
        <w:pStyle w:val="Normal"/>
        <w:spacing w:lineRule="atLeast" w:line="240" w:before="0" w:after="0"/>
        <w:ind w:hanging="426" w:left="426"/>
        <w:jc w:val="both"/>
        <w:rPr/>
      </w:pPr>
      <w:r>
        <w:rPr/>
      </w:r>
    </w:p>
    <w:p>
      <w:pPr>
        <w:pStyle w:val="Normal"/>
        <w:spacing w:lineRule="atLeast" w:line="240" w:before="0" w:after="0"/>
        <w:ind w:hanging="426" w:left="426"/>
        <w:jc w:val="both"/>
        <w:rPr/>
      </w:pPr>
      <w:r>
        <w:rPr/>
      </w:r>
    </w:p>
    <w:p>
      <w:pPr>
        <w:pStyle w:val="Normal"/>
        <w:spacing w:lineRule="atLeast" w:line="240" w:before="0" w:after="0"/>
        <w:jc w:val="both"/>
        <w:rPr>
          <w:b/>
        </w:rPr>
      </w:pPr>
      <w:r>
        <w:rPr>
          <w:b/>
        </w:rPr>
        <w:t>3. Кадровое обеспечение</w:t>
      </w:r>
    </w:p>
    <w:p>
      <w:pPr>
        <w:pStyle w:val="Normal"/>
        <w:spacing w:lineRule="auto" w:line="240" w:before="0" w:after="0"/>
        <w:jc w:val="both"/>
        <w:rPr>
          <w:b/>
        </w:rPr>
      </w:pPr>
      <w:r>
        <w:rPr>
          <w:b/>
        </w:rPr>
        <w:t xml:space="preserve">3.1. Кадровые потребности в течение первого года реализации </w:t>
      </w:r>
    </w:p>
    <w:p>
      <w:pPr>
        <w:pStyle w:val="Normal"/>
        <w:spacing w:lineRule="auto" w:line="240" w:before="0" w:after="0"/>
        <w:jc w:val="both"/>
        <w:rPr>
          <w:bCs/>
        </w:rPr>
      </w:pPr>
      <w:r>
        <w:rPr>
          <w:b/>
        </w:rPr>
        <w:t xml:space="preserve">       </w:t>
      </w:r>
      <w:r>
        <w:rPr>
          <w:bCs/>
        </w:rPr>
        <w:t>(общее количество участников)</w:t>
      </w:r>
    </w:p>
    <w:p>
      <w:pPr>
        <w:pStyle w:val="Normal"/>
        <w:spacing w:lineRule="auto" w:line="240" w:before="0" w:after="0"/>
        <w:jc w:val="both"/>
        <w:rPr>
          <w:bCs/>
        </w:rPr>
      </w:pPr>
      <w:r>
        <w:rPr>
          <w:bCs/>
        </w:rPr>
      </w:r>
    </w:p>
    <w:tbl>
      <w:tblPr>
        <w:tblW w:w="9810" w:type="dxa"/>
        <w:jc w:val="left"/>
        <w:tblInd w:w="108" w:type="dxa"/>
        <w:tblLayout w:type="fixed"/>
        <w:tblCellMar>
          <w:top w:w="0" w:type="dxa"/>
          <w:left w:w="108" w:type="dxa"/>
          <w:bottom w:w="0" w:type="dxa"/>
          <w:right w:w="108" w:type="dxa"/>
        </w:tblCellMar>
        <w:tblLook w:val="04a0" w:noHBand="0" w:noVBand="1" w:firstColumn="1" w:lastRow="0" w:lastColumn="0" w:firstRow="1"/>
      </w:tblPr>
      <w:tblGrid>
        <w:gridCol w:w="710"/>
        <w:gridCol w:w="3032"/>
        <w:gridCol w:w="3033"/>
        <w:gridCol w:w="3034"/>
      </w:tblGrid>
      <w:tr>
        <w:trPr/>
        <w:tc>
          <w:tcPr>
            <w:tcW w:w="710" w:type="dxa"/>
            <w:tcBorders>
              <w:top w:val="single" w:sz="4" w:space="0" w:color="000000"/>
              <w:left w:val="single" w:sz="4" w:space="0" w:color="000000"/>
              <w:bottom w:val="single" w:sz="4" w:space="0" w:color="000000"/>
            </w:tcBorders>
            <w:vAlign w:val="center"/>
          </w:tcPr>
          <w:p>
            <w:pPr>
              <w:pStyle w:val="Normal"/>
              <w:widowControl w:val="false"/>
              <w:spacing w:before="0" w:after="160"/>
              <w:jc w:val="both"/>
              <w:rPr>
                <w:b/>
                <w:sz w:val="20"/>
                <w:szCs w:val="20"/>
              </w:rPr>
            </w:pPr>
            <w:r>
              <w:rPr>
                <w:b/>
                <w:sz w:val="20"/>
                <w:szCs w:val="20"/>
              </w:rPr>
              <w:t>№№</w:t>
            </w:r>
            <w:r>
              <w:rPr>
                <w:b/>
                <w:sz w:val="20"/>
                <w:szCs w:val="20"/>
              </w:rPr>
              <w:br/>
              <w:t>п/п</w:t>
            </w:r>
          </w:p>
        </w:tc>
        <w:tc>
          <w:tcPr>
            <w:tcW w:w="3032" w:type="dxa"/>
            <w:tcBorders>
              <w:top w:val="single" w:sz="4" w:space="0" w:color="000000"/>
              <w:left w:val="single" w:sz="4" w:space="0" w:color="000000"/>
              <w:bottom w:val="single" w:sz="4" w:space="0" w:color="000000"/>
            </w:tcBorders>
            <w:vAlign w:val="center"/>
          </w:tcPr>
          <w:p>
            <w:pPr>
              <w:pStyle w:val="Normal"/>
              <w:widowControl w:val="false"/>
              <w:spacing w:before="0" w:after="160"/>
              <w:jc w:val="center"/>
              <w:rPr>
                <w:sz w:val="20"/>
                <w:szCs w:val="20"/>
              </w:rPr>
            </w:pPr>
            <w:r>
              <w:rPr>
                <w:b/>
                <w:sz w:val="20"/>
                <w:szCs w:val="20"/>
              </w:rPr>
              <w:t>Категория</w:t>
            </w:r>
            <w:r>
              <w:rPr>
                <w:b/>
                <w:sz w:val="20"/>
                <w:szCs w:val="20"/>
                <w:lang w:val="en-US"/>
              </w:rPr>
              <w:t xml:space="preserve"> </w:t>
            </w:r>
            <w:r>
              <w:rPr>
                <w:b/>
                <w:sz w:val="20"/>
                <w:szCs w:val="20"/>
              </w:rPr>
              <w:t>работника</w:t>
            </w:r>
          </w:p>
        </w:tc>
        <w:tc>
          <w:tcPr>
            <w:tcW w:w="30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napToGrid w:val="false"/>
              <w:spacing w:before="0" w:after="0"/>
              <w:jc w:val="center"/>
              <w:rPr>
                <w:b/>
                <w:sz w:val="20"/>
                <w:szCs w:val="20"/>
              </w:rPr>
            </w:pPr>
            <w:r>
              <w:rPr>
                <w:b/>
                <w:sz w:val="20"/>
                <w:szCs w:val="20"/>
              </w:rPr>
              <w:t>Основной персонал</w:t>
            </w:r>
          </w:p>
          <w:p>
            <w:pPr>
              <w:pStyle w:val="Normal"/>
              <w:widowControl w:val="false"/>
              <w:snapToGrid w:val="false"/>
              <w:spacing w:before="0" w:after="0"/>
              <w:jc w:val="center"/>
              <w:rPr>
                <w:bCs/>
                <w:sz w:val="20"/>
                <w:szCs w:val="20"/>
              </w:rPr>
            </w:pPr>
            <w:r>
              <w:rPr>
                <w:b/>
                <w:sz w:val="20"/>
                <w:szCs w:val="20"/>
              </w:rPr>
              <w:t>Сумма FTE</w:t>
            </w:r>
          </w:p>
        </w:tc>
        <w:tc>
          <w:tcPr>
            <w:tcW w:w="303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center"/>
              <w:rPr>
                <w:bCs/>
                <w:sz w:val="20"/>
                <w:szCs w:val="20"/>
              </w:rPr>
            </w:pPr>
            <w:r>
              <w:rPr>
                <w:b/>
                <w:sz w:val="20"/>
                <w:szCs w:val="20"/>
                <w:lang w:val="en-US"/>
              </w:rPr>
              <w:t>Ассоциированный персонал</w:t>
            </w:r>
            <w:r>
              <w:rPr>
                <w:b/>
                <w:sz w:val="20"/>
                <w:szCs w:val="20"/>
              </w:rPr>
              <w:br/>
              <w:t>С</w:t>
            </w:r>
            <w:r>
              <w:rPr>
                <w:b/>
                <w:sz w:val="20"/>
                <w:szCs w:val="20"/>
                <w:lang w:val="en-US"/>
              </w:rPr>
              <w:t>умма FTE</w:t>
            </w:r>
          </w:p>
        </w:tc>
      </w:tr>
      <w:tr>
        <w:trPr>
          <w:trHeight w:val="446" w:hRule="atLeast"/>
        </w:trPr>
        <w:tc>
          <w:tcPr>
            <w:tcW w:w="710" w:type="dxa"/>
            <w:tcBorders>
              <w:top w:val="single" w:sz="4" w:space="0" w:color="000000"/>
              <w:left w:val="single" w:sz="4" w:space="0" w:color="000000"/>
              <w:bottom w:val="single" w:sz="4" w:space="0" w:color="000000"/>
            </w:tcBorders>
          </w:tcPr>
          <w:p>
            <w:pPr>
              <w:pStyle w:val="Normal"/>
              <w:widowControl w:val="false"/>
              <w:snapToGrid w:val="false"/>
              <w:spacing w:before="0" w:after="160"/>
              <w:jc w:val="center"/>
              <w:rPr>
                <w:bCs/>
              </w:rPr>
            </w:pPr>
            <w:r>
              <w:rPr>
                <w:bCs/>
              </w:rPr>
              <w:t>1.</w:t>
            </w:r>
          </w:p>
        </w:tc>
        <w:tc>
          <w:tcPr>
            <w:tcW w:w="3032" w:type="dxa"/>
            <w:tcBorders>
              <w:top w:val="single" w:sz="4" w:space="0" w:color="000000"/>
              <w:left w:val="single" w:sz="4" w:space="0" w:color="000000"/>
              <w:bottom w:val="single" w:sz="4" w:space="0" w:color="000000"/>
            </w:tcBorders>
          </w:tcPr>
          <w:p>
            <w:pPr>
              <w:pStyle w:val="Normal"/>
              <w:widowControl w:val="false"/>
              <w:snapToGrid w:val="false"/>
              <w:spacing w:before="0" w:after="160"/>
              <w:jc w:val="both"/>
              <w:rPr>
                <w:bCs/>
              </w:rPr>
            </w:pPr>
            <w:r>
              <w:rPr>
                <w:bCs/>
              </w:rPr>
              <w:t>научные работники</w:t>
            </w:r>
          </w:p>
        </w:tc>
        <w:tc>
          <w:tcPr>
            <w:tcW w:w="3033"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160"/>
              <w:jc w:val="center"/>
              <w:rPr>
                <w:bCs/>
                <w:lang w:val="en-US"/>
              </w:rPr>
            </w:pPr>
            <w:r>
              <w:rPr>
                <w:bCs/>
                <w:lang w:val="en-US"/>
              </w:rPr>
              <w:t>29.</w:t>
            </w:r>
            <w:r>
              <w:rPr>
                <w:bCs/>
                <w:lang w:val="en-US"/>
              </w:rPr>
              <w:t>9</w:t>
            </w:r>
          </w:p>
        </w:tc>
        <w:tc>
          <w:tcPr>
            <w:tcW w:w="3034"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160"/>
              <w:jc w:val="center"/>
              <w:rPr>
                <w:bCs/>
              </w:rPr>
            </w:pPr>
            <w:r>
              <w:rPr>
                <w:bCs/>
                <w:lang w:val="en-US"/>
              </w:rPr>
              <w:t>3</w:t>
            </w:r>
            <w:r>
              <w:rPr>
                <w:bCs/>
              </w:rPr>
              <w:t>.7</w:t>
            </w:r>
          </w:p>
        </w:tc>
      </w:tr>
      <w:tr>
        <w:trPr>
          <w:trHeight w:val="435" w:hRule="atLeast"/>
        </w:trPr>
        <w:tc>
          <w:tcPr>
            <w:tcW w:w="710" w:type="dxa"/>
            <w:tcBorders>
              <w:top w:val="single" w:sz="4" w:space="0" w:color="000000"/>
              <w:left w:val="single" w:sz="4" w:space="0" w:color="000000"/>
              <w:bottom w:val="single" w:sz="4" w:space="0" w:color="000000"/>
            </w:tcBorders>
          </w:tcPr>
          <w:p>
            <w:pPr>
              <w:pStyle w:val="Normal"/>
              <w:widowControl w:val="false"/>
              <w:snapToGrid w:val="false"/>
              <w:spacing w:before="0" w:after="160"/>
              <w:jc w:val="center"/>
              <w:rPr/>
            </w:pPr>
            <w:r>
              <w:rPr>
                <w:bCs/>
              </w:rPr>
              <w:t>2.</w:t>
            </w:r>
          </w:p>
        </w:tc>
        <w:tc>
          <w:tcPr>
            <w:tcW w:w="3032" w:type="dxa"/>
            <w:tcBorders>
              <w:top w:val="single" w:sz="4" w:space="0" w:color="000000"/>
              <w:left w:val="single" w:sz="4" w:space="0" w:color="000000"/>
              <w:bottom w:val="single" w:sz="4" w:space="0" w:color="000000"/>
            </w:tcBorders>
          </w:tcPr>
          <w:p>
            <w:pPr>
              <w:pStyle w:val="Normal"/>
              <w:widowControl w:val="false"/>
              <w:snapToGrid w:val="false"/>
              <w:spacing w:before="0" w:after="160"/>
              <w:jc w:val="both"/>
              <w:rPr/>
            </w:pPr>
            <w:r>
              <w:rPr>
                <w:bCs/>
              </w:rPr>
              <w:t>инженеры</w:t>
            </w:r>
          </w:p>
        </w:tc>
        <w:tc>
          <w:tcPr>
            <w:tcW w:w="3033"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160"/>
              <w:jc w:val="center"/>
              <w:rPr>
                <w:bCs/>
              </w:rPr>
            </w:pPr>
            <w:r>
              <w:rPr>
                <w:bCs/>
                <w:lang w:val="en-US"/>
              </w:rPr>
              <w:t>5</w:t>
            </w:r>
            <w:r>
              <w:rPr>
                <w:bCs/>
              </w:rPr>
              <w:t>.3</w:t>
            </w:r>
          </w:p>
        </w:tc>
        <w:tc>
          <w:tcPr>
            <w:tcW w:w="3034"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160"/>
              <w:jc w:val="center"/>
              <w:rPr>
                <w:bCs/>
              </w:rPr>
            </w:pPr>
            <w:r>
              <w:rPr>
                <w:bCs/>
              </w:rPr>
              <w:t>1</w:t>
            </w:r>
          </w:p>
        </w:tc>
      </w:tr>
      <w:tr>
        <w:trPr>
          <w:trHeight w:val="440" w:hRule="atLeast"/>
        </w:trPr>
        <w:tc>
          <w:tcPr>
            <w:tcW w:w="710" w:type="dxa"/>
            <w:tcBorders>
              <w:top w:val="single" w:sz="4" w:space="0" w:color="000000"/>
              <w:left w:val="single" w:sz="4" w:space="0" w:color="000000"/>
              <w:bottom w:val="single" w:sz="4" w:space="0" w:color="000000"/>
            </w:tcBorders>
          </w:tcPr>
          <w:p>
            <w:pPr>
              <w:pStyle w:val="Normal"/>
              <w:widowControl w:val="false"/>
              <w:snapToGrid w:val="false"/>
              <w:spacing w:before="0" w:after="160"/>
              <w:jc w:val="center"/>
              <w:rPr/>
            </w:pPr>
            <w:r>
              <w:rPr>
                <w:bCs/>
              </w:rPr>
              <w:t>3.</w:t>
            </w:r>
          </w:p>
        </w:tc>
        <w:tc>
          <w:tcPr>
            <w:tcW w:w="3032" w:type="dxa"/>
            <w:tcBorders>
              <w:top w:val="single" w:sz="4" w:space="0" w:color="000000"/>
              <w:left w:val="single" w:sz="4" w:space="0" w:color="000000"/>
              <w:bottom w:val="single" w:sz="4" w:space="0" w:color="000000"/>
            </w:tcBorders>
          </w:tcPr>
          <w:p>
            <w:pPr>
              <w:pStyle w:val="Normal"/>
              <w:widowControl w:val="false"/>
              <w:snapToGrid w:val="false"/>
              <w:spacing w:before="0" w:after="160"/>
              <w:jc w:val="both"/>
              <w:rPr/>
            </w:pPr>
            <w:r>
              <w:rPr>
                <w:bCs/>
              </w:rPr>
              <w:t>специалисты</w:t>
            </w:r>
          </w:p>
        </w:tc>
        <w:tc>
          <w:tcPr>
            <w:tcW w:w="3033"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160"/>
              <w:jc w:val="center"/>
              <w:rPr>
                <w:bCs/>
              </w:rPr>
            </w:pPr>
            <w:r>
              <w:rPr>
                <w:bCs/>
              </w:rPr>
              <w:t>0.3</w:t>
            </w:r>
          </w:p>
        </w:tc>
        <w:tc>
          <w:tcPr>
            <w:tcW w:w="3034"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160"/>
              <w:jc w:val="center"/>
              <w:rPr>
                <w:bCs/>
                <w:strike/>
              </w:rPr>
            </w:pPr>
            <w:r>
              <w:rPr>
                <w:bCs/>
                <w:strike/>
              </w:rPr>
            </w:r>
          </w:p>
        </w:tc>
      </w:tr>
      <w:tr>
        <w:trPr>
          <w:trHeight w:val="440" w:hRule="atLeast"/>
        </w:trPr>
        <w:tc>
          <w:tcPr>
            <w:tcW w:w="710" w:type="dxa"/>
            <w:tcBorders>
              <w:top w:val="single" w:sz="4" w:space="0" w:color="000000"/>
              <w:left w:val="single" w:sz="4" w:space="0" w:color="000000"/>
              <w:bottom w:val="single" w:sz="4" w:space="0" w:color="000000"/>
            </w:tcBorders>
          </w:tcPr>
          <w:p>
            <w:pPr>
              <w:pStyle w:val="Normal"/>
              <w:widowControl w:val="false"/>
              <w:snapToGrid w:val="false"/>
              <w:spacing w:before="0" w:after="160"/>
              <w:jc w:val="center"/>
              <w:rPr>
                <w:bCs/>
              </w:rPr>
            </w:pPr>
            <w:r>
              <w:rPr>
                <w:bCs/>
              </w:rPr>
              <w:t>4.</w:t>
            </w:r>
          </w:p>
        </w:tc>
        <w:tc>
          <w:tcPr>
            <w:tcW w:w="3032" w:type="dxa"/>
            <w:tcBorders>
              <w:top w:val="single" w:sz="4" w:space="0" w:color="000000"/>
              <w:left w:val="single" w:sz="4" w:space="0" w:color="000000"/>
              <w:bottom w:val="single" w:sz="4" w:space="0" w:color="000000"/>
            </w:tcBorders>
          </w:tcPr>
          <w:p>
            <w:pPr>
              <w:pStyle w:val="Normal"/>
              <w:widowControl w:val="false"/>
              <w:snapToGrid w:val="false"/>
              <w:spacing w:before="0" w:after="160"/>
              <w:jc w:val="both"/>
              <w:rPr>
                <w:bCs/>
              </w:rPr>
            </w:pPr>
            <w:r>
              <w:rPr>
                <w:bCs/>
              </w:rPr>
              <w:t>служащие</w:t>
            </w:r>
          </w:p>
        </w:tc>
        <w:tc>
          <w:tcPr>
            <w:tcW w:w="3033"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160"/>
              <w:jc w:val="center"/>
              <w:rPr>
                <w:bCs/>
                <w:strike/>
              </w:rPr>
            </w:pPr>
            <w:r>
              <w:rPr>
                <w:bCs/>
                <w:strike/>
              </w:rPr>
            </w:r>
          </w:p>
        </w:tc>
        <w:tc>
          <w:tcPr>
            <w:tcW w:w="3034"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160"/>
              <w:jc w:val="center"/>
              <w:rPr>
                <w:bCs/>
                <w:strike/>
              </w:rPr>
            </w:pPr>
            <w:r>
              <w:rPr>
                <w:bCs/>
                <w:strike/>
              </w:rPr>
            </w:r>
          </w:p>
        </w:tc>
      </w:tr>
      <w:tr>
        <w:trPr>
          <w:trHeight w:val="440" w:hRule="atLeast"/>
        </w:trPr>
        <w:tc>
          <w:tcPr>
            <w:tcW w:w="710" w:type="dxa"/>
            <w:tcBorders>
              <w:top w:val="single" w:sz="4" w:space="0" w:color="000000"/>
              <w:left w:val="single" w:sz="4" w:space="0" w:color="000000"/>
              <w:bottom w:val="single" w:sz="4" w:space="0" w:color="000000"/>
            </w:tcBorders>
          </w:tcPr>
          <w:p>
            <w:pPr>
              <w:pStyle w:val="Normal"/>
              <w:widowControl w:val="false"/>
              <w:snapToGrid w:val="false"/>
              <w:spacing w:before="0" w:after="160"/>
              <w:jc w:val="center"/>
              <w:rPr>
                <w:bCs/>
              </w:rPr>
            </w:pPr>
            <w:r>
              <w:rPr>
                <w:bCs/>
              </w:rPr>
              <w:t>5.</w:t>
            </w:r>
          </w:p>
        </w:tc>
        <w:tc>
          <w:tcPr>
            <w:tcW w:w="3032" w:type="dxa"/>
            <w:tcBorders>
              <w:top w:val="single" w:sz="4" w:space="0" w:color="000000"/>
              <w:left w:val="single" w:sz="4" w:space="0" w:color="000000"/>
              <w:bottom w:val="single" w:sz="4" w:space="0" w:color="000000"/>
            </w:tcBorders>
          </w:tcPr>
          <w:p>
            <w:pPr>
              <w:pStyle w:val="Normal"/>
              <w:widowControl w:val="false"/>
              <w:snapToGrid w:val="false"/>
              <w:spacing w:before="0" w:after="160"/>
              <w:jc w:val="both"/>
              <w:rPr>
                <w:bCs/>
              </w:rPr>
            </w:pPr>
            <w:r>
              <w:rPr>
                <w:bCs/>
              </w:rPr>
              <w:t>рабочие</w:t>
            </w:r>
          </w:p>
        </w:tc>
        <w:tc>
          <w:tcPr>
            <w:tcW w:w="3033"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160"/>
              <w:jc w:val="center"/>
              <w:rPr>
                <w:bCs/>
              </w:rPr>
            </w:pPr>
            <w:r>
              <w:rPr>
                <w:bCs/>
              </w:rPr>
              <w:t>1</w:t>
            </w:r>
          </w:p>
        </w:tc>
        <w:tc>
          <w:tcPr>
            <w:tcW w:w="3034"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160"/>
              <w:jc w:val="center"/>
              <w:rPr>
                <w:bCs/>
                <w:strike/>
              </w:rPr>
            </w:pPr>
            <w:r>
              <w:rPr>
                <w:bCs/>
                <w:strike/>
              </w:rPr>
            </w:r>
          </w:p>
        </w:tc>
      </w:tr>
      <w:tr>
        <w:trPr>
          <w:trHeight w:val="415" w:hRule="atLeast"/>
        </w:trPr>
        <w:tc>
          <w:tcPr>
            <w:tcW w:w="3742" w:type="dxa"/>
            <w:gridSpan w:val="2"/>
            <w:tcBorders>
              <w:top w:val="single" w:sz="4" w:space="0" w:color="000000"/>
              <w:left w:val="single" w:sz="4" w:space="0" w:color="000000"/>
              <w:bottom w:val="single" w:sz="4" w:space="0" w:color="000000"/>
            </w:tcBorders>
          </w:tcPr>
          <w:p>
            <w:pPr>
              <w:pStyle w:val="Normal"/>
              <w:widowControl w:val="false"/>
              <w:snapToGrid w:val="false"/>
              <w:spacing w:before="0" w:after="160"/>
              <w:jc w:val="both"/>
              <w:rPr/>
            </w:pPr>
            <w:r>
              <w:rPr>
                <w:b/>
              </w:rPr>
              <w:t>Итого</w:t>
            </w:r>
            <w:r>
              <w:rPr>
                <w:b/>
                <w:lang w:val="en-US"/>
              </w:rPr>
              <w:t>:</w:t>
            </w:r>
          </w:p>
        </w:tc>
        <w:tc>
          <w:tcPr>
            <w:tcW w:w="3033"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160"/>
              <w:jc w:val="center"/>
              <w:rPr>
                <w:b/>
                <w:lang w:val="en-US"/>
              </w:rPr>
            </w:pPr>
            <w:r>
              <w:rPr>
                <w:b/>
                <w:lang w:val="en-US"/>
              </w:rPr>
              <w:t>36.</w:t>
            </w:r>
            <w:r>
              <w:rPr>
                <w:b/>
                <w:lang w:val="en-US"/>
              </w:rPr>
              <w:t>5</w:t>
            </w:r>
          </w:p>
        </w:tc>
        <w:tc>
          <w:tcPr>
            <w:tcW w:w="3034"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160"/>
              <w:jc w:val="center"/>
              <w:rPr>
                <w:b/>
              </w:rPr>
            </w:pPr>
            <w:r>
              <w:rPr>
                <w:b/>
              </w:rPr>
              <w:t>4.7</w:t>
            </w:r>
          </w:p>
        </w:tc>
      </w:tr>
    </w:tbl>
    <w:p>
      <w:pPr>
        <w:pStyle w:val="Normal"/>
        <w:spacing w:lineRule="atLeast" w:line="240" w:before="0" w:after="0"/>
        <w:jc w:val="both"/>
        <w:rPr>
          <w:b/>
        </w:rPr>
      </w:pPr>
      <w:r>
        <w:rPr>
          <w:b/>
        </w:rPr>
      </w:r>
    </w:p>
    <w:p>
      <w:pPr>
        <w:pStyle w:val="Normal"/>
        <w:spacing w:lineRule="auto" w:line="240" w:before="0" w:after="0"/>
        <w:rPr>
          <w:b/>
        </w:rPr>
      </w:pPr>
      <w:r>
        <w:rPr>
          <w:b/>
        </w:rPr>
      </w:r>
    </w:p>
    <w:p>
      <w:pPr>
        <w:pStyle w:val="Normal"/>
        <w:spacing w:lineRule="auto" w:line="240" w:before="0" w:after="0"/>
        <w:rPr>
          <w:b/>
        </w:rPr>
      </w:pPr>
      <w:r>
        <w:rPr>
          <w:b/>
        </w:rPr>
      </w:r>
    </w:p>
    <w:p>
      <w:pPr>
        <w:pStyle w:val="Normal"/>
        <w:spacing w:lineRule="auto" w:line="240" w:before="0" w:after="0"/>
        <w:rPr>
          <w:b/>
        </w:rPr>
      </w:pPr>
      <w:r>
        <w:rPr>
          <w:b/>
        </w:rPr>
        <w:t>3.2. Доступные кадровые ресурсы</w:t>
      </w:r>
    </w:p>
    <w:p>
      <w:pPr>
        <w:pStyle w:val="Normal"/>
        <w:spacing w:lineRule="atLeast" w:line="240"/>
        <w:jc w:val="both"/>
        <w:rPr>
          <w:bCs/>
        </w:rPr>
      </w:pPr>
      <w:r>
        <w:rPr>
          <w:b/>
        </w:rPr>
        <w:t xml:space="preserve">3.2.1. Основной персонал ОИЯИ </w:t>
      </w:r>
      <w:r>
        <w:rPr>
          <w:bCs/>
        </w:rPr>
        <w:t>(общее количество участников)</w:t>
      </w:r>
    </w:p>
    <w:tbl>
      <w:tblPr>
        <w:tblW w:w="9776"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698"/>
        <w:gridCol w:w="1545"/>
        <w:gridCol w:w="2413"/>
        <w:gridCol w:w="1846"/>
        <w:gridCol w:w="2112"/>
        <w:gridCol w:w="1161"/>
      </w:tblGrid>
      <w:tr>
        <w:trPr/>
        <w:tc>
          <w:tcPr>
            <w:tcW w:w="69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0"/>
              <w:jc w:val="center"/>
              <w:rPr>
                <w:b/>
              </w:rPr>
            </w:pPr>
            <w:r>
              <w:rPr>
                <w:b/>
              </w:rPr>
              <w:t>№№</w:t>
            </w:r>
            <w:r>
              <w:rPr>
                <w:b/>
              </w:rPr>
              <w:br/>
              <w:t>п/п</w:t>
            </w:r>
          </w:p>
        </w:tc>
        <w:tc>
          <w:tcPr>
            <w:tcW w:w="154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tLeast" w:line="240" w:before="0" w:after="0"/>
              <w:jc w:val="center"/>
              <w:rPr>
                <w:b/>
              </w:rPr>
            </w:pPr>
            <w:r>
              <w:rPr>
                <w:b/>
              </w:rPr>
              <w:t xml:space="preserve">Категория работников </w:t>
            </w:r>
          </w:p>
        </w:tc>
        <w:tc>
          <w:tcPr>
            <w:tcW w:w="2413" w:type="dxa"/>
            <w:tcBorders>
              <w:top w:val="single" w:sz="4" w:space="0" w:color="000000"/>
              <w:left w:val="single" w:sz="4" w:space="0" w:color="000000"/>
              <w:bottom w:val="single" w:sz="4" w:space="0" w:color="000000"/>
            </w:tcBorders>
          </w:tcPr>
          <w:p>
            <w:pPr>
              <w:pStyle w:val="Normal"/>
              <w:widowControl w:val="false"/>
              <w:spacing w:lineRule="atLeast" w:line="240" w:before="0" w:after="0"/>
              <w:jc w:val="center"/>
              <w:rPr>
                <w:b/>
              </w:rPr>
            </w:pPr>
            <w:r>
              <w:rPr>
                <w:b/>
              </w:rPr>
              <w:t>ФИО</w:t>
            </w:r>
          </w:p>
        </w:tc>
        <w:tc>
          <w:tcPr>
            <w:tcW w:w="184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tLeast" w:line="240" w:before="0" w:after="0"/>
              <w:jc w:val="center"/>
              <w:rPr>
                <w:b/>
              </w:rPr>
            </w:pPr>
            <w:r>
              <w:rPr>
                <w:b/>
              </w:rPr>
              <w:t>Подразделение</w:t>
            </w:r>
          </w:p>
        </w:tc>
        <w:tc>
          <w:tcPr>
            <w:tcW w:w="211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tLeast" w:line="240" w:before="0" w:after="0"/>
              <w:jc w:val="center"/>
              <w:rPr>
                <w:b/>
              </w:rPr>
            </w:pPr>
            <w:r>
              <w:rPr>
                <w:b/>
              </w:rPr>
              <w:t>Должность</w:t>
            </w:r>
          </w:p>
        </w:tc>
        <w:tc>
          <w:tcPr>
            <w:tcW w:w="116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tLeast" w:line="240" w:before="0" w:after="0"/>
              <w:jc w:val="center"/>
              <w:rPr>
                <w:b/>
              </w:rPr>
            </w:pPr>
            <w:r>
              <w:rPr>
                <w:b/>
              </w:rPr>
              <w:t>Сумма FTE</w:t>
            </w:r>
          </w:p>
        </w:tc>
      </w:tr>
      <w:tr>
        <w:trPr/>
        <w:tc>
          <w:tcPr>
            <w:tcW w:w="69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center"/>
              <w:rPr>
                <w:bCs/>
              </w:rPr>
            </w:pPr>
            <w:r>
              <w:rPr>
                <w:bCs/>
              </w:rPr>
              <w:t>1.</w:t>
            </w:r>
          </w:p>
        </w:tc>
        <w:tc>
          <w:tcPr>
            <w:tcW w:w="154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bCs/>
              </w:rPr>
            </w:pPr>
            <w:r>
              <w:rPr>
                <w:bCs/>
              </w:rPr>
              <w:t>научные работники</w:t>
            </w:r>
          </w:p>
        </w:tc>
        <w:tc>
          <w:tcPr>
            <w:tcW w:w="2413" w:type="dxa"/>
            <w:tcBorders>
              <w:top w:val="single" w:sz="4" w:space="0" w:color="000000"/>
              <w:left w:val="single" w:sz="4" w:space="0" w:color="000000"/>
              <w:bottom w:val="single" w:sz="4" w:space="0" w:color="000000"/>
            </w:tcBorders>
          </w:tcPr>
          <w:p>
            <w:pPr>
              <w:pStyle w:val="Normal"/>
              <w:widowControl w:val="false"/>
              <w:snapToGrid w:val="false"/>
              <w:spacing w:lineRule="auto" w:line="360" w:before="0" w:after="0"/>
              <w:jc w:val="both"/>
              <w:rPr>
                <w:bCs/>
              </w:rPr>
            </w:pPr>
            <w:r>
              <w:rPr>
                <w:bCs/>
              </w:rPr>
              <w:t>Prof. L.Kalinovskaya</w:t>
            </w:r>
          </w:p>
          <w:p>
            <w:pPr>
              <w:pStyle w:val="Normal"/>
              <w:widowControl w:val="false"/>
              <w:snapToGrid w:val="false"/>
              <w:spacing w:lineRule="auto" w:line="360" w:before="0" w:after="0"/>
              <w:jc w:val="both"/>
              <w:rPr>
                <w:bCs/>
              </w:rPr>
            </w:pPr>
            <w:r>
              <w:rPr>
                <w:bCs/>
              </w:rPr>
              <w:t>Y.Dydydshka</w:t>
            </w:r>
          </w:p>
          <w:p>
            <w:pPr>
              <w:pStyle w:val="Normal"/>
              <w:widowControl w:val="false"/>
              <w:snapToGrid w:val="false"/>
              <w:spacing w:lineRule="auto" w:line="360" w:before="0" w:after="0"/>
              <w:jc w:val="both"/>
              <w:rPr>
                <w:bCs/>
              </w:rPr>
            </w:pPr>
            <w:r>
              <w:rPr>
                <w:bCs/>
              </w:rPr>
              <w:t>V. Yermolchyk</w:t>
            </w:r>
          </w:p>
          <w:p>
            <w:pPr>
              <w:pStyle w:val="Normal"/>
              <w:widowControl w:val="false"/>
              <w:snapToGrid w:val="false"/>
              <w:spacing w:lineRule="auto" w:line="360" w:before="0" w:after="0"/>
              <w:jc w:val="both"/>
              <w:rPr>
                <w:bCs/>
                <w:lang w:val="en-US"/>
              </w:rPr>
            </w:pPr>
            <w:r>
              <w:rPr>
                <w:bCs/>
                <w:lang w:val="en-US"/>
              </w:rPr>
              <w:t>PhD A.Soloshenko</w:t>
            </w:r>
          </w:p>
          <w:p>
            <w:pPr>
              <w:pStyle w:val="Normal"/>
              <w:widowControl w:val="false"/>
              <w:snapToGrid w:val="false"/>
              <w:spacing w:lineRule="auto" w:line="360" w:before="0" w:after="0"/>
              <w:jc w:val="both"/>
              <w:rPr>
                <w:bCs/>
                <w:lang w:val="en-US"/>
              </w:rPr>
            </w:pPr>
            <w:r>
              <w:rPr>
                <w:bCs/>
                <w:lang w:val="en-US"/>
              </w:rPr>
              <w:t>T.Turtuvshin</w:t>
            </w:r>
          </w:p>
          <w:p>
            <w:pPr>
              <w:pStyle w:val="Normal"/>
              <w:widowControl w:val="false"/>
              <w:snapToGrid w:val="false"/>
              <w:spacing w:lineRule="auto" w:line="360" w:before="0" w:after="0"/>
              <w:jc w:val="both"/>
              <w:rPr>
                <w:bCs/>
                <w:lang w:val="en-US"/>
              </w:rPr>
            </w:pPr>
            <w:r>
              <w:rPr>
                <w:bCs/>
                <w:lang w:val="en-US"/>
              </w:rPr>
              <w:t>Prof. G.Lykasov</w:t>
            </w:r>
          </w:p>
          <w:p>
            <w:pPr>
              <w:pStyle w:val="Normal"/>
              <w:widowControl w:val="false"/>
              <w:snapToGrid w:val="false"/>
              <w:spacing w:lineRule="auto" w:line="360" w:before="0" w:after="0"/>
              <w:jc w:val="both"/>
              <w:rPr>
                <w:bCs/>
                <w:lang w:val="en-US"/>
              </w:rPr>
            </w:pPr>
            <w:r>
              <w:rPr>
                <w:bCs/>
                <w:lang w:val="en-US"/>
              </w:rPr>
              <w:t>PhD A.Lipatov</w:t>
            </w:r>
          </w:p>
          <w:p>
            <w:pPr>
              <w:pStyle w:val="Normal"/>
              <w:widowControl w:val="false"/>
              <w:snapToGrid w:val="false"/>
              <w:spacing w:lineRule="auto" w:line="360" w:before="0" w:after="0"/>
              <w:jc w:val="both"/>
              <w:rPr>
                <w:bCs/>
                <w:lang w:val="en-US"/>
              </w:rPr>
            </w:pPr>
            <w:r>
              <w:rPr>
                <w:bCs/>
                <w:lang w:val="en-US"/>
              </w:rPr>
              <w:t>PhD A.Prokhorov</w:t>
            </w:r>
          </w:p>
          <w:p>
            <w:pPr>
              <w:pStyle w:val="Normal"/>
              <w:widowControl w:val="false"/>
              <w:snapToGrid w:val="false"/>
              <w:spacing w:lineRule="auto" w:line="360" w:before="0" w:after="0"/>
              <w:jc w:val="both"/>
              <w:rPr>
                <w:bCs/>
                <w:lang w:val="en-US"/>
              </w:rPr>
            </w:pPr>
            <w:r>
              <w:rPr>
                <w:bCs/>
                <w:lang w:val="en-US"/>
              </w:rPr>
              <w:t>PhD V.Lyubushkin</w:t>
            </w:r>
          </w:p>
          <w:p>
            <w:pPr>
              <w:pStyle w:val="Normal"/>
              <w:widowControl w:val="false"/>
              <w:snapToGrid w:val="false"/>
              <w:spacing w:lineRule="auto" w:line="360" w:before="0" w:after="0"/>
              <w:jc w:val="both"/>
              <w:rPr>
                <w:bCs/>
                <w:lang w:val="en-US"/>
              </w:rPr>
            </w:pPr>
            <w:r>
              <w:rPr>
                <w:bCs/>
                <w:lang w:val="en-US"/>
              </w:rPr>
              <w:t>T.Lyubushkina</w:t>
            </w:r>
          </w:p>
          <w:p>
            <w:pPr>
              <w:pStyle w:val="Normal"/>
              <w:widowControl w:val="false"/>
              <w:snapToGrid w:val="false"/>
              <w:spacing w:lineRule="auto" w:line="360" w:before="0" w:after="0"/>
              <w:jc w:val="both"/>
              <w:rPr>
                <w:bCs/>
                <w:lang w:val="en-US"/>
              </w:rPr>
            </w:pPr>
            <w:r>
              <w:rPr>
                <w:bCs/>
                <w:lang w:val="en-US"/>
              </w:rPr>
              <w:t>PhD F.Ahmadov</w:t>
            </w:r>
          </w:p>
          <w:p>
            <w:pPr>
              <w:pStyle w:val="Normal"/>
              <w:widowControl w:val="false"/>
              <w:snapToGrid w:val="false"/>
              <w:spacing w:lineRule="auto" w:line="360" w:before="0" w:after="0"/>
              <w:jc w:val="both"/>
              <w:rPr>
                <w:bCs/>
                <w:lang w:val="en-US"/>
              </w:rPr>
            </w:pPr>
            <w:r>
              <w:rPr>
                <w:bCs/>
                <w:lang w:val="en-US"/>
              </w:rPr>
              <w:t>M.Manashova</w:t>
            </w:r>
          </w:p>
          <w:p>
            <w:pPr>
              <w:pStyle w:val="Normal"/>
              <w:widowControl w:val="false"/>
              <w:snapToGrid w:val="false"/>
              <w:spacing w:lineRule="auto" w:line="360" w:before="0" w:after="0"/>
              <w:jc w:val="both"/>
              <w:rPr>
                <w:bCs/>
                <w:lang w:val="en-US"/>
              </w:rPr>
            </w:pPr>
            <w:r>
              <w:rPr>
                <w:bCs/>
                <w:lang w:val="en-US"/>
              </w:rPr>
              <w:t>PhD S.Karpov</w:t>
            </w:r>
          </w:p>
          <w:p>
            <w:pPr>
              <w:pStyle w:val="Normal"/>
              <w:widowControl w:val="false"/>
              <w:snapToGrid w:val="false"/>
              <w:spacing w:lineRule="auto" w:line="360" w:before="0" w:after="0"/>
              <w:jc w:val="both"/>
              <w:rPr>
                <w:bCs/>
                <w:lang w:val="en-US"/>
              </w:rPr>
            </w:pPr>
            <w:r>
              <w:rPr>
                <w:bCs/>
                <w:lang w:val="en-US"/>
              </w:rPr>
              <w:t>PhD Z.Karpova</w:t>
            </w:r>
          </w:p>
          <w:p>
            <w:pPr>
              <w:pStyle w:val="Normal"/>
              <w:widowControl w:val="false"/>
              <w:snapToGrid w:val="false"/>
              <w:spacing w:lineRule="auto" w:line="360" w:before="0" w:after="0"/>
              <w:jc w:val="both"/>
              <w:rPr>
                <w:bCs/>
                <w:lang w:val="en-US"/>
              </w:rPr>
            </w:pPr>
            <w:r>
              <w:rPr>
                <w:bCs/>
                <w:lang w:val="en-US"/>
              </w:rPr>
              <w:t>PhD I.Yeletskikh</w:t>
            </w:r>
          </w:p>
          <w:p>
            <w:pPr>
              <w:pStyle w:val="Normal"/>
              <w:widowControl w:val="false"/>
              <w:snapToGrid w:val="false"/>
              <w:spacing w:lineRule="auto" w:line="360" w:before="0" w:after="0"/>
              <w:jc w:val="both"/>
              <w:rPr>
                <w:bCs/>
                <w:lang w:val="en-US"/>
              </w:rPr>
            </w:pPr>
            <w:r>
              <w:rPr>
                <w:bCs/>
                <w:lang w:val="en-US"/>
              </w:rPr>
              <w:t>PhD N.Huseynov</w:t>
            </w:r>
          </w:p>
          <w:p>
            <w:pPr>
              <w:pStyle w:val="Normal"/>
              <w:widowControl w:val="false"/>
              <w:snapToGrid w:val="false"/>
              <w:spacing w:lineRule="auto" w:line="360" w:before="0" w:after="0"/>
              <w:jc w:val="both"/>
              <w:rPr>
                <w:bCs/>
                <w:lang w:val="en-US"/>
              </w:rPr>
            </w:pPr>
            <w:r>
              <w:rPr>
                <w:bCs/>
                <w:lang w:val="en-US"/>
              </w:rPr>
              <w:t>PhD I.Boyko</w:t>
            </w:r>
          </w:p>
          <w:p>
            <w:pPr>
              <w:pStyle w:val="Normal"/>
              <w:widowControl w:val="false"/>
              <w:snapToGrid w:val="false"/>
              <w:spacing w:lineRule="auto" w:line="360" w:before="0" w:after="0"/>
              <w:jc w:val="both"/>
              <w:rPr>
                <w:bCs/>
                <w:lang w:val="en-US"/>
              </w:rPr>
            </w:pPr>
            <w:r>
              <w:rPr>
                <w:bCs/>
                <w:lang w:val="en-US"/>
              </w:rPr>
              <w:t>O.Dolovova</w:t>
            </w:r>
          </w:p>
          <w:p>
            <w:pPr>
              <w:pStyle w:val="Normal"/>
              <w:widowControl w:val="false"/>
              <w:snapToGrid w:val="false"/>
              <w:spacing w:lineRule="auto" w:line="360" w:before="0" w:after="0"/>
              <w:jc w:val="both"/>
              <w:rPr>
                <w:bCs/>
                <w:lang w:val="en-US"/>
              </w:rPr>
            </w:pPr>
            <w:r>
              <w:rPr>
                <w:bCs/>
                <w:lang w:val="en-US"/>
              </w:rPr>
              <w:t>A.Didenko</w:t>
            </w:r>
          </w:p>
          <w:p>
            <w:pPr>
              <w:pStyle w:val="Normal"/>
              <w:widowControl w:val="false"/>
              <w:snapToGrid w:val="false"/>
              <w:spacing w:lineRule="auto" w:line="360" w:before="0" w:after="0"/>
              <w:jc w:val="both"/>
              <w:rPr>
                <w:bCs/>
                <w:lang w:val="en-US"/>
              </w:rPr>
            </w:pPr>
            <w:r>
              <w:rPr>
                <w:bCs/>
                <w:lang w:val="en-US"/>
              </w:rPr>
              <w:t>A.Vasyukov</w:t>
            </w:r>
          </w:p>
          <w:p>
            <w:pPr>
              <w:pStyle w:val="Normal"/>
              <w:widowControl w:val="false"/>
              <w:snapToGrid w:val="false"/>
              <w:spacing w:lineRule="auto" w:line="360" w:before="0" w:after="0"/>
              <w:jc w:val="both"/>
              <w:rPr>
                <w:bCs/>
                <w:lang w:val="en-US"/>
              </w:rPr>
            </w:pPr>
            <w:r>
              <w:rPr>
                <w:bCs/>
                <w:lang w:val="en-US"/>
              </w:rPr>
              <w:t>A.Tropina</w:t>
            </w:r>
          </w:p>
          <w:p>
            <w:pPr>
              <w:pStyle w:val="Normal"/>
              <w:widowControl w:val="false"/>
              <w:snapToGrid w:val="false"/>
              <w:spacing w:lineRule="auto" w:line="360" w:before="0" w:after="0"/>
              <w:jc w:val="both"/>
              <w:rPr>
                <w:bCs/>
                <w:lang w:val="en-US"/>
              </w:rPr>
            </w:pPr>
            <w:r>
              <w:rPr>
                <w:bCs/>
                <w:lang w:val="en-US"/>
              </w:rPr>
              <w:t>Prof.Y.Kultchitsky</w:t>
            </w:r>
          </w:p>
          <w:p>
            <w:pPr>
              <w:pStyle w:val="Normal"/>
              <w:widowControl w:val="false"/>
              <w:snapToGrid w:val="false"/>
              <w:spacing w:lineRule="auto" w:line="360" w:before="0" w:after="0"/>
              <w:jc w:val="both"/>
              <w:rPr>
                <w:bCs/>
                <w:lang w:val="en-US"/>
              </w:rPr>
            </w:pPr>
            <w:r>
              <w:rPr>
                <w:bCs/>
                <w:lang w:val="en-US"/>
              </w:rPr>
              <w:t>P.Tsiareshka</w:t>
            </w:r>
          </w:p>
          <w:p>
            <w:pPr>
              <w:pStyle w:val="Normal"/>
              <w:widowControl w:val="false"/>
              <w:snapToGrid w:val="false"/>
              <w:spacing w:lineRule="auto" w:line="360" w:before="0" w:after="0"/>
              <w:jc w:val="both"/>
              <w:rPr>
                <w:bCs/>
                <w:lang w:val="en-US"/>
              </w:rPr>
            </w:pPr>
            <w:r>
              <w:rPr>
                <w:bCs/>
                <w:lang w:val="en-US"/>
              </w:rPr>
              <w:t>E.Plotnikova</w:t>
            </w:r>
          </w:p>
          <w:p>
            <w:pPr>
              <w:pStyle w:val="Normal"/>
              <w:widowControl w:val="false"/>
              <w:snapToGrid w:val="false"/>
              <w:spacing w:lineRule="auto" w:line="360" w:before="0" w:after="0"/>
              <w:jc w:val="both"/>
              <w:rPr>
                <w:bCs/>
                <w:lang w:val="en-US"/>
              </w:rPr>
            </w:pPr>
            <w:r>
              <w:rPr>
                <w:bCs/>
                <w:lang w:val="en-US"/>
              </w:rPr>
              <w:t>PhD I.Alexandrov</w:t>
            </w:r>
          </w:p>
          <w:p>
            <w:pPr>
              <w:pStyle w:val="Normal"/>
              <w:widowControl w:val="false"/>
              <w:snapToGrid w:val="false"/>
              <w:spacing w:lineRule="auto" w:line="360" w:before="0" w:after="0"/>
              <w:jc w:val="both"/>
              <w:rPr>
                <w:bCs/>
                <w:lang w:val="en-US"/>
              </w:rPr>
            </w:pPr>
            <w:r>
              <w:rPr>
                <w:bCs/>
                <w:lang w:val="en-US"/>
              </w:rPr>
              <w:t>E.Aleksandrov</w:t>
            </w:r>
          </w:p>
          <w:p>
            <w:pPr>
              <w:pStyle w:val="Normal"/>
              <w:widowControl w:val="false"/>
              <w:snapToGrid w:val="false"/>
              <w:spacing w:lineRule="auto" w:line="360" w:before="0" w:after="0"/>
              <w:jc w:val="both"/>
              <w:rPr>
                <w:bCs/>
                <w:lang w:val="en-US"/>
              </w:rPr>
            </w:pPr>
            <w:r>
              <w:rPr>
                <w:bCs/>
                <w:lang w:val="en-US"/>
              </w:rPr>
              <w:t>A.Kazymov</w:t>
            </w:r>
          </w:p>
          <w:p>
            <w:pPr>
              <w:pStyle w:val="Normal"/>
              <w:widowControl w:val="false"/>
              <w:snapToGrid w:val="false"/>
              <w:spacing w:lineRule="auto" w:line="360" w:before="0" w:after="0"/>
              <w:jc w:val="both"/>
              <w:rPr>
                <w:bCs/>
                <w:lang w:val="en-US"/>
              </w:rPr>
            </w:pPr>
            <w:r>
              <w:rPr>
                <w:bCs/>
                <w:lang w:val="en-US"/>
              </w:rPr>
              <w:t>M.Mineev</w:t>
            </w:r>
          </w:p>
          <w:p>
            <w:pPr>
              <w:pStyle w:val="Normal"/>
              <w:widowControl w:val="false"/>
              <w:snapToGrid w:val="false"/>
              <w:spacing w:lineRule="auto" w:line="360" w:before="0" w:after="0"/>
              <w:jc w:val="both"/>
              <w:rPr>
                <w:bCs/>
                <w:lang w:val="en-US"/>
              </w:rPr>
            </w:pPr>
            <w:r>
              <w:rPr>
                <w:bCs/>
                <w:lang w:val="en-US"/>
              </w:rPr>
              <w:t>E.Ramakoti</w:t>
            </w:r>
          </w:p>
          <w:p>
            <w:pPr>
              <w:pStyle w:val="Normal"/>
              <w:widowControl w:val="false"/>
              <w:snapToGrid w:val="false"/>
              <w:spacing w:lineRule="auto" w:line="360" w:before="0" w:after="0"/>
              <w:jc w:val="both"/>
              <w:rPr>
                <w:bCs/>
                <w:lang w:val="en-US"/>
              </w:rPr>
            </w:pPr>
            <w:r>
              <w:rPr>
                <w:bCs/>
                <w:lang w:val="en-US"/>
              </w:rPr>
              <w:t>PhD A. Gongadze</w:t>
            </w:r>
          </w:p>
          <w:p>
            <w:pPr>
              <w:pStyle w:val="Normal"/>
              <w:widowControl w:val="false"/>
              <w:snapToGrid w:val="false"/>
              <w:spacing w:lineRule="auto" w:line="360" w:before="0" w:after="0"/>
              <w:jc w:val="both"/>
              <w:rPr>
                <w:bCs/>
                <w:lang w:val="en-US"/>
              </w:rPr>
            </w:pPr>
            <w:r>
              <w:rPr>
                <w:bCs/>
                <w:lang w:val="en-US"/>
              </w:rPr>
              <w:t>I. Potrap</w:t>
            </w:r>
          </w:p>
          <w:p>
            <w:pPr>
              <w:pStyle w:val="Normal"/>
              <w:widowControl w:val="false"/>
              <w:snapToGrid w:val="false"/>
              <w:spacing w:lineRule="auto" w:line="360" w:before="0" w:after="0"/>
              <w:jc w:val="both"/>
              <w:rPr>
                <w:bCs/>
                <w:lang w:val="en-US"/>
              </w:rPr>
            </w:pPr>
            <w:r>
              <w:rPr>
                <w:bCs/>
                <w:lang w:val="en-US"/>
              </w:rPr>
              <w:t>PhD I. Minashvili</w:t>
            </w:r>
          </w:p>
          <w:p>
            <w:pPr>
              <w:pStyle w:val="Normal"/>
              <w:widowControl w:val="false"/>
              <w:snapToGrid w:val="false"/>
              <w:spacing w:lineRule="auto" w:line="360" w:before="0" w:after="0"/>
              <w:jc w:val="both"/>
              <w:rPr>
                <w:bCs/>
                <w:lang w:val="en-US"/>
              </w:rPr>
            </w:pPr>
            <w:r>
              <w:rPr>
                <w:bCs/>
                <w:lang w:val="en-US"/>
              </w:rPr>
              <w:t>PhD A. Cheplakov</w:t>
            </w:r>
          </w:p>
          <w:p>
            <w:pPr>
              <w:pStyle w:val="Normal"/>
              <w:widowControl w:val="false"/>
              <w:snapToGrid w:val="false"/>
              <w:spacing w:lineRule="auto" w:line="360" w:before="0" w:after="0"/>
              <w:jc w:val="both"/>
              <w:rPr>
                <w:bCs/>
                <w:lang w:val="en-US"/>
              </w:rPr>
            </w:pPr>
            <w:r>
              <w:rPr>
                <w:bCs/>
                <w:lang w:val="en-US"/>
              </w:rPr>
              <w:t>PhD V. Kukhtin</w:t>
            </w:r>
          </w:p>
          <w:p>
            <w:pPr>
              <w:pStyle w:val="Normal"/>
              <w:widowControl w:val="false"/>
              <w:snapToGrid w:val="false"/>
              <w:spacing w:lineRule="auto" w:line="360" w:before="0" w:after="0"/>
              <w:jc w:val="both"/>
              <w:rPr>
                <w:bCs/>
                <w:lang w:val="en-US"/>
              </w:rPr>
            </w:pPr>
            <w:r>
              <w:rPr>
                <w:bCs/>
                <w:lang w:val="en-US"/>
              </w:rPr>
              <w:t>PhD E. Ladygin</w:t>
            </w:r>
          </w:p>
          <w:p>
            <w:pPr>
              <w:pStyle w:val="Normal"/>
              <w:widowControl w:val="false"/>
              <w:snapToGrid w:val="false"/>
              <w:spacing w:lineRule="auto" w:line="360" w:before="0" w:after="0"/>
              <w:jc w:val="both"/>
              <w:rPr>
                <w:bCs/>
                <w:lang w:val="en-US"/>
              </w:rPr>
            </w:pPr>
            <w:r>
              <w:rPr>
                <w:bCs/>
                <w:lang w:val="en-US"/>
              </w:rPr>
              <w:t>PhD N. Zimin</w:t>
            </w:r>
          </w:p>
          <w:p>
            <w:pPr>
              <w:pStyle w:val="Normal"/>
              <w:widowControl w:val="false"/>
              <w:snapToGrid w:val="false"/>
              <w:spacing w:lineRule="auto" w:line="360" w:before="0" w:after="0"/>
              <w:jc w:val="both"/>
              <w:rPr>
                <w:bCs/>
                <w:lang w:val="en-US"/>
              </w:rPr>
            </w:pPr>
            <w:r>
              <w:rPr>
                <w:bCs/>
                <w:lang w:val="en-US"/>
              </w:rPr>
              <w:t xml:space="preserve">N. Atanov </w:t>
            </w:r>
          </w:p>
          <w:p>
            <w:pPr>
              <w:pStyle w:val="Normal"/>
              <w:widowControl w:val="false"/>
              <w:snapToGrid w:val="false"/>
              <w:spacing w:lineRule="auto" w:line="360" w:before="0" w:after="0"/>
              <w:jc w:val="both"/>
              <w:rPr>
                <w:bCs/>
                <w:lang w:val="en-US"/>
              </w:rPr>
            </w:pPr>
            <w:r>
              <w:rPr>
                <w:bCs/>
                <w:lang w:val="en-US"/>
              </w:rPr>
              <w:t xml:space="preserve">A. Boikov </w:t>
            </w:r>
          </w:p>
          <w:p>
            <w:pPr>
              <w:pStyle w:val="Normal"/>
              <w:widowControl w:val="false"/>
              <w:snapToGrid w:val="false"/>
              <w:spacing w:lineRule="auto" w:line="360" w:before="0" w:after="0"/>
              <w:jc w:val="both"/>
              <w:rPr>
                <w:bCs/>
                <w:lang w:val="en-US"/>
              </w:rPr>
            </w:pPr>
            <w:r>
              <w:rPr>
                <w:bCs/>
                <w:lang w:val="en-US"/>
              </w:rPr>
              <w:t xml:space="preserve">PhD Yu. Davydov </w:t>
            </w:r>
          </w:p>
          <w:p>
            <w:pPr>
              <w:pStyle w:val="Normal"/>
              <w:widowControl w:val="false"/>
              <w:snapToGrid w:val="false"/>
              <w:spacing w:lineRule="auto" w:line="360" w:before="0" w:after="0"/>
              <w:jc w:val="both"/>
              <w:rPr>
                <w:bCs/>
                <w:lang w:val="en-US"/>
              </w:rPr>
            </w:pPr>
            <w:r>
              <w:rPr>
                <w:bCs/>
                <w:lang w:val="en-US"/>
              </w:rPr>
              <w:t xml:space="preserve">K. Gritsay </w:t>
            </w:r>
          </w:p>
          <w:p>
            <w:pPr>
              <w:pStyle w:val="Normal"/>
              <w:widowControl w:val="false"/>
              <w:snapToGrid w:val="false"/>
              <w:spacing w:lineRule="auto" w:line="360" w:before="0" w:after="0"/>
              <w:jc w:val="both"/>
              <w:rPr>
                <w:bCs/>
                <w:lang w:val="en-US"/>
              </w:rPr>
            </w:pPr>
            <w:r>
              <w:rPr>
                <w:bCs/>
                <w:lang w:val="en-US"/>
              </w:rPr>
              <w:t xml:space="preserve">S. Malyukov </w:t>
            </w:r>
          </w:p>
          <w:p>
            <w:pPr>
              <w:pStyle w:val="Normal"/>
              <w:widowControl w:val="false"/>
              <w:snapToGrid w:val="false"/>
              <w:spacing w:lineRule="auto" w:line="360" w:before="0" w:after="0"/>
              <w:jc w:val="both"/>
              <w:rPr>
                <w:bCs/>
                <w:lang w:val="en-US"/>
              </w:rPr>
            </w:pPr>
            <w:r>
              <w:rPr>
                <w:bCs/>
                <w:lang w:val="en-US"/>
              </w:rPr>
              <w:t>V. Moskalenko</w:t>
            </w:r>
          </w:p>
          <w:p>
            <w:pPr>
              <w:pStyle w:val="Normal"/>
              <w:widowControl w:val="false"/>
              <w:snapToGrid w:val="false"/>
              <w:spacing w:lineRule="auto" w:line="360" w:before="0" w:after="0"/>
              <w:jc w:val="both"/>
              <w:rPr>
                <w:bCs/>
                <w:lang w:val="en-US"/>
              </w:rPr>
            </w:pPr>
            <w:r>
              <w:rPr>
                <w:bCs/>
                <w:lang w:val="en-US"/>
              </w:rPr>
              <w:t>S.Bondarenko</w:t>
            </w:r>
          </w:p>
        </w:tc>
        <w:tc>
          <w:tcPr>
            <w:tcW w:w="1846"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VBLHEP</w:t>
            </w:r>
          </w:p>
          <w:p>
            <w:pPr>
              <w:pStyle w:val="Normal"/>
              <w:widowControl w:val="false"/>
              <w:snapToGrid w:val="false"/>
              <w:spacing w:lineRule="auto" w:line="360" w:before="0" w:after="0"/>
              <w:jc w:val="both"/>
              <w:rPr>
                <w:bCs/>
                <w:lang w:val="en-US"/>
              </w:rPr>
            </w:pPr>
            <w:r>
              <w:rPr>
                <w:bCs/>
                <w:lang w:val="en-US"/>
              </w:rPr>
              <w:t>VBLHEP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VBLHEP</w:t>
            </w:r>
          </w:p>
          <w:p>
            <w:pPr>
              <w:pStyle w:val="Normal"/>
              <w:widowControl w:val="false"/>
              <w:snapToGrid w:val="false"/>
              <w:spacing w:lineRule="auto" w:line="360" w:before="0" w:after="0"/>
              <w:jc w:val="both"/>
              <w:rPr>
                <w:bCs/>
                <w:lang w:val="en-US"/>
              </w:rPr>
            </w:pPr>
            <w:r>
              <w:rPr>
                <w:bCs/>
                <w:lang w:val="en-US"/>
              </w:rPr>
              <w:t>VBLHEP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MLIT</w:t>
            </w:r>
          </w:p>
          <w:p>
            <w:pPr>
              <w:pStyle w:val="Normal"/>
              <w:widowControl w:val="false"/>
              <w:snapToGrid w:val="false"/>
              <w:spacing w:lineRule="auto" w:line="360" w:before="0" w:after="0"/>
              <w:jc w:val="both"/>
              <w:rPr>
                <w:bCs/>
                <w:lang w:val="en-US"/>
              </w:rPr>
            </w:pPr>
            <w:r>
              <w:rPr>
                <w:bCs/>
                <w:lang w:val="en-US"/>
              </w:rPr>
              <w:t>MLIT</w:t>
            </w:r>
          </w:p>
          <w:p>
            <w:pPr>
              <w:pStyle w:val="Normal"/>
              <w:widowControl w:val="false"/>
              <w:snapToGrid w:val="false"/>
              <w:spacing w:lineRule="auto" w:line="360" w:before="0" w:after="0"/>
              <w:jc w:val="both"/>
              <w:rPr>
                <w:bCs/>
                <w:lang w:val="en-US"/>
              </w:rPr>
            </w:pPr>
            <w:r>
              <w:rPr>
                <w:bCs/>
                <w:lang w:val="en-US"/>
              </w:rPr>
              <w:t>MLIT</w:t>
            </w:r>
          </w:p>
          <w:p>
            <w:pPr>
              <w:pStyle w:val="Normal"/>
              <w:widowControl w:val="false"/>
              <w:snapToGrid w:val="false"/>
              <w:spacing w:lineRule="auto" w:line="360" w:before="0" w:after="0"/>
              <w:jc w:val="both"/>
              <w:rPr>
                <w:bCs/>
                <w:lang w:val="en-US"/>
              </w:rPr>
            </w:pPr>
            <w:r>
              <w:rPr>
                <w:bCs/>
                <w:lang w:val="en-US"/>
              </w:rPr>
              <w:t>MLIT</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VBLHEP</w:t>
            </w:r>
          </w:p>
          <w:p>
            <w:pPr>
              <w:pStyle w:val="Normal"/>
              <w:widowControl w:val="false"/>
              <w:snapToGrid w:val="false"/>
              <w:spacing w:lineRule="auto" w:line="360" w:before="0" w:after="0"/>
              <w:jc w:val="both"/>
              <w:rPr>
                <w:bCs/>
                <w:lang w:val="en-US"/>
              </w:rPr>
            </w:pPr>
            <w:r>
              <w:rPr>
                <w:bCs/>
                <w:lang w:val="en-US"/>
              </w:rPr>
              <w:t>VBLHEP</w:t>
            </w:r>
          </w:p>
          <w:p>
            <w:pPr>
              <w:pStyle w:val="Normal"/>
              <w:widowControl w:val="false"/>
              <w:snapToGrid w:val="false"/>
              <w:spacing w:lineRule="auto" w:line="360" w:before="0" w:after="0"/>
              <w:jc w:val="both"/>
              <w:rPr>
                <w:bCs/>
                <w:lang w:val="en-US"/>
              </w:rPr>
            </w:pPr>
            <w:r>
              <w:rPr>
                <w:bCs/>
                <w:lang w:val="en-US"/>
              </w:rPr>
              <w:t>VBLHEP</w:t>
            </w:r>
          </w:p>
          <w:p>
            <w:pPr>
              <w:pStyle w:val="Normal"/>
              <w:widowControl w:val="false"/>
              <w:snapToGrid w:val="false"/>
              <w:spacing w:lineRule="auto" w:line="360" w:before="0" w:after="0"/>
              <w:jc w:val="both"/>
              <w:rPr>
                <w:bCs/>
                <w:lang w:val="en-US"/>
              </w:rPr>
            </w:pPr>
            <w:r>
              <w:rPr>
                <w:bCs/>
                <w:lang w:val="en-US"/>
              </w:rPr>
              <w:t>VBLHEP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BLTP</w:t>
            </w:r>
          </w:p>
        </w:tc>
        <w:tc>
          <w:tcPr>
            <w:tcW w:w="211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bCs/>
                <w:lang w:val="en-US"/>
              </w:rPr>
            </w:pPr>
            <w:r>
              <w:rPr>
                <w:bCs/>
                <w:lang w:val="en-US"/>
              </w:rPr>
              <w:t>Head dep.</w:t>
            </w:r>
          </w:p>
          <w:p>
            <w:pPr>
              <w:pStyle w:val="Normal"/>
              <w:widowControl w:val="false"/>
              <w:spacing w:lineRule="auto" w:line="360" w:before="0" w:after="0"/>
              <w:jc w:val="both"/>
              <w:rPr>
                <w:bCs/>
                <w:lang w:val="en-US"/>
              </w:rPr>
            </w:pPr>
            <w:r>
              <w:rPr>
                <w:bCs/>
                <w:lang w:val="en-US"/>
              </w:rPr>
              <w:t>Sen.scientist</w:t>
            </w:r>
          </w:p>
          <w:p>
            <w:pPr>
              <w:pStyle w:val="Normal"/>
              <w:widowControl w:val="false"/>
              <w:spacing w:lineRule="auto" w:line="360" w:before="0" w:after="0"/>
              <w:jc w:val="both"/>
              <w:rPr>
                <w:bCs/>
                <w:lang w:val="en-US"/>
              </w:rPr>
            </w:pPr>
            <w:r>
              <w:rPr>
                <w:bCs/>
                <w:lang w:val="en-US"/>
              </w:rPr>
              <w:t>Sen.scientist</w:t>
            </w:r>
          </w:p>
          <w:p>
            <w:pPr>
              <w:pStyle w:val="Normal"/>
              <w:widowControl w:val="false"/>
              <w:spacing w:lineRule="auto" w:line="360" w:before="0" w:after="0"/>
              <w:jc w:val="both"/>
              <w:rPr>
                <w:bCs/>
                <w:lang w:val="en-US"/>
              </w:rPr>
            </w:pPr>
            <w:r>
              <w:rPr>
                <w:bCs/>
                <w:lang w:val="en-US"/>
              </w:rPr>
              <w:t>Head dep.</w:t>
            </w:r>
          </w:p>
          <w:p>
            <w:pPr>
              <w:pStyle w:val="Normal"/>
              <w:widowControl w:val="false"/>
              <w:spacing w:lineRule="auto" w:line="360" w:before="0" w:after="0"/>
              <w:jc w:val="both"/>
              <w:rPr>
                <w:bCs/>
                <w:lang w:val="en-US"/>
              </w:rPr>
            </w:pPr>
            <w:r>
              <w:rPr>
                <w:bCs/>
                <w:lang w:val="en-US"/>
              </w:rPr>
              <w:t>Scientist</w:t>
            </w:r>
          </w:p>
          <w:p>
            <w:pPr>
              <w:pStyle w:val="Normal"/>
              <w:widowControl w:val="false"/>
              <w:spacing w:lineRule="auto" w:line="360" w:before="0" w:after="0"/>
              <w:jc w:val="both"/>
              <w:rPr>
                <w:bCs/>
                <w:lang w:val="en-US"/>
              </w:rPr>
            </w:pPr>
            <w:r>
              <w:rPr>
                <w:bCs/>
                <w:lang w:val="en-US"/>
              </w:rPr>
              <w:t>Chief sc.</w:t>
            </w:r>
          </w:p>
          <w:p>
            <w:pPr>
              <w:pStyle w:val="Normal"/>
              <w:widowControl w:val="false"/>
              <w:spacing w:lineRule="auto" w:line="360" w:before="0" w:after="0"/>
              <w:jc w:val="both"/>
              <w:rPr>
                <w:bCs/>
                <w:lang w:val="en-US"/>
              </w:rPr>
            </w:pPr>
            <w:r>
              <w:rPr>
                <w:bCs/>
                <w:lang w:val="en-US"/>
              </w:rPr>
              <w:t>Sen.scientist</w:t>
            </w:r>
          </w:p>
          <w:p>
            <w:pPr>
              <w:pStyle w:val="Normal"/>
              <w:widowControl w:val="false"/>
              <w:spacing w:lineRule="auto" w:line="360" w:before="0" w:after="0"/>
              <w:jc w:val="both"/>
              <w:rPr>
                <w:bCs/>
                <w:lang w:val="en-US"/>
              </w:rPr>
            </w:pPr>
            <w:r>
              <w:rPr>
                <w:bCs/>
                <w:lang w:val="en-US"/>
              </w:rPr>
              <w:t>Scientist</w:t>
            </w:r>
          </w:p>
          <w:p>
            <w:pPr>
              <w:pStyle w:val="Normal"/>
              <w:widowControl w:val="false"/>
              <w:spacing w:lineRule="auto" w:line="360" w:before="0" w:after="0"/>
              <w:jc w:val="both"/>
              <w:rPr>
                <w:bCs/>
                <w:lang w:val="en-US"/>
              </w:rPr>
            </w:pPr>
            <w:r>
              <w:rPr>
                <w:bCs/>
                <w:lang w:val="en-US"/>
              </w:rPr>
              <w:t>Sen.scientist</w:t>
            </w:r>
          </w:p>
          <w:p>
            <w:pPr>
              <w:pStyle w:val="Normal"/>
              <w:widowControl w:val="false"/>
              <w:spacing w:lineRule="auto" w:line="360" w:before="0" w:after="0"/>
              <w:jc w:val="both"/>
              <w:rPr>
                <w:bCs/>
                <w:lang w:val="en-US"/>
              </w:rPr>
            </w:pPr>
            <w:r>
              <w:rPr>
                <w:bCs/>
                <w:lang w:val="en-US"/>
              </w:rPr>
              <w:t>Scientist</w:t>
            </w:r>
          </w:p>
          <w:p>
            <w:pPr>
              <w:pStyle w:val="Normal"/>
              <w:widowControl w:val="false"/>
              <w:spacing w:lineRule="auto" w:line="360" w:before="0" w:after="0"/>
              <w:jc w:val="both"/>
              <w:rPr>
                <w:bCs/>
                <w:lang w:val="en-US"/>
              </w:rPr>
            </w:pPr>
            <w:r>
              <w:rPr>
                <w:bCs/>
                <w:lang w:val="en-US"/>
              </w:rPr>
              <w:t>Sen.scientist</w:t>
            </w:r>
          </w:p>
          <w:p>
            <w:pPr>
              <w:pStyle w:val="Normal"/>
              <w:widowControl w:val="false"/>
              <w:spacing w:lineRule="auto" w:line="360" w:before="0" w:after="0"/>
              <w:jc w:val="both"/>
              <w:rPr>
                <w:bCs/>
                <w:lang w:val="en-US"/>
              </w:rPr>
            </w:pPr>
            <w:r>
              <w:rPr>
                <w:bCs/>
                <w:lang w:val="en-US"/>
              </w:rPr>
              <w:t>Jr.scientist</w:t>
            </w:r>
          </w:p>
          <w:p>
            <w:pPr>
              <w:pStyle w:val="Normal"/>
              <w:widowControl w:val="false"/>
              <w:spacing w:lineRule="auto" w:line="360" w:before="0" w:after="0"/>
              <w:jc w:val="both"/>
              <w:rPr>
                <w:bCs/>
                <w:lang w:val="en-US"/>
              </w:rPr>
            </w:pPr>
            <w:r>
              <w:rPr>
                <w:bCs/>
                <w:lang w:val="en-US"/>
              </w:rPr>
              <w:t>Sen.scientist</w:t>
            </w:r>
          </w:p>
          <w:p>
            <w:pPr>
              <w:pStyle w:val="Normal"/>
              <w:widowControl w:val="false"/>
              <w:spacing w:lineRule="auto" w:line="360" w:before="0" w:after="0"/>
              <w:jc w:val="both"/>
              <w:rPr>
                <w:bCs/>
                <w:lang w:val="en-US"/>
              </w:rPr>
            </w:pPr>
            <w:r>
              <w:rPr>
                <w:bCs/>
                <w:lang w:val="en-US"/>
              </w:rPr>
              <w:t>Sen.scientist</w:t>
            </w:r>
          </w:p>
          <w:p>
            <w:pPr>
              <w:pStyle w:val="Normal"/>
              <w:widowControl w:val="false"/>
              <w:spacing w:lineRule="auto" w:line="360" w:before="0" w:after="0"/>
              <w:jc w:val="both"/>
              <w:rPr>
                <w:bCs/>
                <w:lang w:val="en-US"/>
              </w:rPr>
            </w:pPr>
            <w:r>
              <w:rPr>
                <w:bCs/>
                <w:lang w:val="en-US"/>
              </w:rPr>
              <w:t>Head dep.</w:t>
            </w:r>
          </w:p>
          <w:p>
            <w:pPr>
              <w:pStyle w:val="Normal"/>
              <w:widowControl w:val="false"/>
              <w:spacing w:lineRule="auto" w:line="360" w:before="0" w:after="0"/>
              <w:jc w:val="both"/>
              <w:rPr>
                <w:bCs/>
                <w:lang w:val="en-US"/>
              </w:rPr>
            </w:pPr>
            <w:r>
              <w:rPr>
                <w:bCs/>
                <w:lang w:val="en-US"/>
              </w:rPr>
              <w:t>Sen.scientist</w:t>
            </w:r>
          </w:p>
          <w:p>
            <w:pPr>
              <w:pStyle w:val="Normal"/>
              <w:widowControl w:val="false"/>
              <w:spacing w:lineRule="auto" w:line="360" w:before="0" w:after="0"/>
              <w:jc w:val="both"/>
              <w:rPr>
                <w:bCs/>
                <w:lang w:val="en-US"/>
              </w:rPr>
            </w:pPr>
            <w:r>
              <w:rPr>
                <w:bCs/>
                <w:lang w:val="en-US"/>
              </w:rPr>
              <w:t>Sen.scientist</w:t>
            </w:r>
          </w:p>
          <w:p>
            <w:pPr>
              <w:pStyle w:val="Normal"/>
              <w:widowControl w:val="false"/>
              <w:spacing w:lineRule="auto" w:line="360" w:before="0" w:after="0"/>
              <w:jc w:val="both"/>
              <w:rPr>
                <w:bCs/>
                <w:lang w:val="en-US"/>
              </w:rPr>
            </w:pPr>
            <w:r>
              <w:rPr>
                <w:bCs/>
                <w:lang w:val="en-US"/>
              </w:rPr>
              <w:t>Jr.scientist</w:t>
            </w:r>
          </w:p>
          <w:p>
            <w:pPr>
              <w:pStyle w:val="Normal"/>
              <w:widowControl w:val="false"/>
              <w:spacing w:lineRule="auto" w:line="360" w:before="0" w:after="0"/>
              <w:jc w:val="both"/>
              <w:rPr>
                <w:bCs/>
                <w:lang w:val="en-US"/>
              </w:rPr>
            </w:pPr>
            <w:r>
              <w:rPr>
                <w:bCs/>
                <w:lang w:val="en-US"/>
              </w:rPr>
              <w:t>Jr.scientist</w:t>
            </w:r>
          </w:p>
          <w:p>
            <w:pPr>
              <w:pStyle w:val="Normal"/>
              <w:widowControl w:val="false"/>
              <w:spacing w:lineRule="auto" w:line="360" w:before="0" w:after="0"/>
              <w:jc w:val="both"/>
              <w:rPr>
                <w:bCs/>
                <w:lang w:val="en-US"/>
              </w:rPr>
            </w:pPr>
            <w:r>
              <w:rPr>
                <w:bCs/>
                <w:lang w:val="en-US"/>
              </w:rPr>
              <w:t>Jr.scientist</w:t>
            </w:r>
          </w:p>
          <w:p>
            <w:pPr>
              <w:pStyle w:val="Normal"/>
              <w:widowControl w:val="false"/>
              <w:spacing w:lineRule="auto" w:line="360" w:before="0" w:after="0"/>
              <w:jc w:val="both"/>
              <w:rPr>
                <w:bCs/>
                <w:lang w:val="en-US"/>
              </w:rPr>
            </w:pPr>
            <w:r>
              <w:rPr>
                <w:bCs/>
                <w:lang w:val="en-US"/>
              </w:rPr>
              <w:t>Lab.Assistant</w:t>
            </w:r>
          </w:p>
          <w:p>
            <w:pPr>
              <w:pStyle w:val="Normal"/>
              <w:widowControl w:val="false"/>
              <w:spacing w:lineRule="auto" w:line="360" w:before="0" w:after="0"/>
              <w:jc w:val="both"/>
              <w:rPr>
                <w:bCs/>
                <w:lang w:val="en-US"/>
              </w:rPr>
            </w:pPr>
            <w:r>
              <w:rPr>
                <w:bCs/>
                <w:lang w:val="en-US"/>
              </w:rPr>
              <w:t>Head dep.</w:t>
            </w:r>
          </w:p>
          <w:p>
            <w:pPr>
              <w:pStyle w:val="Normal"/>
              <w:widowControl w:val="false"/>
              <w:spacing w:lineRule="auto" w:line="360" w:before="0" w:after="0"/>
              <w:jc w:val="both"/>
              <w:rPr>
                <w:bCs/>
                <w:lang w:val="en-US"/>
              </w:rPr>
            </w:pPr>
            <w:r>
              <w:rPr>
                <w:bCs/>
                <w:lang w:val="en-US"/>
              </w:rPr>
              <w:t>Scientist</w:t>
            </w:r>
          </w:p>
          <w:p>
            <w:pPr>
              <w:pStyle w:val="Normal"/>
              <w:widowControl w:val="false"/>
              <w:spacing w:lineRule="auto" w:line="360" w:before="0" w:after="0"/>
              <w:jc w:val="both"/>
              <w:rPr>
                <w:bCs/>
                <w:lang w:val="en-US"/>
              </w:rPr>
            </w:pPr>
            <w:r>
              <w:rPr>
                <w:bCs/>
                <w:lang w:val="en-US"/>
              </w:rPr>
              <w:t>Scientist</w:t>
            </w:r>
          </w:p>
          <w:p>
            <w:pPr>
              <w:pStyle w:val="Normal"/>
              <w:widowControl w:val="false"/>
              <w:spacing w:lineRule="auto" w:line="360" w:before="0" w:after="0"/>
              <w:jc w:val="both"/>
              <w:rPr>
                <w:bCs/>
                <w:lang w:val="en-US"/>
              </w:rPr>
            </w:pPr>
            <w:r>
              <w:rPr>
                <w:bCs/>
                <w:lang w:val="en-US"/>
              </w:rPr>
              <w:t>Head dep.</w:t>
            </w:r>
          </w:p>
          <w:p>
            <w:pPr>
              <w:pStyle w:val="Normal"/>
              <w:widowControl w:val="false"/>
              <w:spacing w:lineRule="auto" w:line="360" w:before="0" w:after="0"/>
              <w:jc w:val="both"/>
              <w:rPr>
                <w:bCs/>
                <w:lang w:val="en-US"/>
              </w:rPr>
            </w:pPr>
            <w:r>
              <w:rPr>
                <w:bCs/>
                <w:lang w:val="en-US"/>
              </w:rPr>
              <w:t>Scientist</w:t>
            </w:r>
          </w:p>
          <w:p>
            <w:pPr>
              <w:pStyle w:val="Normal"/>
              <w:widowControl w:val="false"/>
              <w:spacing w:lineRule="auto" w:line="360" w:before="0" w:after="0"/>
              <w:jc w:val="both"/>
              <w:rPr>
                <w:bCs/>
                <w:lang w:val="en-US"/>
              </w:rPr>
            </w:pPr>
            <w:r>
              <w:rPr>
                <w:bCs/>
                <w:lang w:val="en-US"/>
              </w:rPr>
              <w:t>L.programmer</w:t>
            </w:r>
          </w:p>
          <w:p>
            <w:pPr>
              <w:pStyle w:val="Normal"/>
              <w:widowControl w:val="false"/>
              <w:spacing w:lineRule="auto" w:line="360" w:before="0" w:after="0"/>
              <w:jc w:val="both"/>
              <w:rPr>
                <w:bCs/>
                <w:lang w:val="en-US"/>
              </w:rPr>
            </w:pPr>
            <w:r>
              <w:rPr>
                <w:bCs/>
                <w:lang w:val="en-US"/>
              </w:rPr>
              <w:t>Scientist</w:t>
            </w:r>
          </w:p>
          <w:p>
            <w:pPr>
              <w:pStyle w:val="Normal"/>
              <w:widowControl w:val="false"/>
              <w:spacing w:lineRule="auto" w:line="360" w:before="0" w:after="0"/>
              <w:jc w:val="both"/>
              <w:rPr>
                <w:bCs/>
                <w:lang w:val="en-US"/>
              </w:rPr>
            </w:pPr>
            <w:r>
              <w:rPr>
                <w:bCs/>
                <w:lang w:val="en-US"/>
              </w:rPr>
              <w:t>Scientist</w:t>
            </w:r>
          </w:p>
          <w:p>
            <w:pPr>
              <w:pStyle w:val="Normal"/>
              <w:widowControl w:val="false"/>
              <w:spacing w:lineRule="auto" w:line="360" w:before="0" w:after="0"/>
              <w:jc w:val="both"/>
              <w:rPr>
                <w:bCs/>
                <w:lang w:val="en-US"/>
              </w:rPr>
            </w:pPr>
            <w:r>
              <w:rPr>
                <w:bCs/>
                <w:lang w:val="en-US"/>
              </w:rPr>
              <w:t>Head of sector</w:t>
            </w:r>
          </w:p>
          <w:p>
            <w:pPr>
              <w:pStyle w:val="Normal"/>
              <w:widowControl w:val="false"/>
              <w:spacing w:lineRule="auto" w:line="360" w:before="0" w:after="0"/>
              <w:jc w:val="both"/>
              <w:rPr>
                <w:bCs/>
                <w:lang w:val="en-US"/>
              </w:rPr>
            </w:pPr>
            <w:r>
              <w:rPr>
                <w:bCs/>
                <w:lang w:val="en-US"/>
              </w:rPr>
              <w:t>Scientist</w:t>
            </w:r>
          </w:p>
          <w:p>
            <w:pPr>
              <w:pStyle w:val="Normal"/>
              <w:widowControl w:val="false"/>
              <w:spacing w:lineRule="auto" w:line="360" w:before="0" w:after="0"/>
              <w:jc w:val="both"/>
              <w:rPr>
                <w:bCs/>
                <w:lang w:val="en-US"/>
              </w:rPr>
            </w:pPr>
            <w:r>
              <w:rPr>
                <w:bCs/>
                <w:lang w:val="en-US"/>
              </w:rPr>
              <w:t>Jr.scientist</w:t>
            </w:r>
          </w:p>
          <w:p>
            <w:pPr>
              <w:pStyle w:val="Normal"/>
              <w:widowControl w:val="false"/>
              <w:spacing w:lineRule="auto" w:line="360" w:before="0" w:after="0"/>
              <w:jc w:val="both"/>
              <w:rPr>
                <w:bCs/>
                <w:lang w:val="en-US"/>
              </w:rPr>
            </w:pPr>
            <w:r>
              <w:rPr>
                <w:bCs/>
                <w:lang w:val="en-US"/>
              </w:rPr>
              <w:t>Sc. secretary</w:t>
            </w:r>
          </w:p>
          <w:p>
            <w:pPr>
              <w:pStyle w:val="Normal"/>
              <w:widowControl w:val="false"/>
              <w:spacing w:lineRule="auto" w:line="360" w:before="0" w:after="0"/>
              <w:jc w:val="both"/>
              <w:rPr>
                <w:bCs/>
                <w:lang w:val="en-US"/>
              </w:rPr>
            </w:pPr>
            <w:r>
              <w:rPr>
                <w:bCs/>
                <w:lang w:val="en-US"/>
              </w:rPr>
              <w:t>Sen scientist</w:t>
            </w:r>
          </w:p>
          <w:p>
            <w:pPr>
              <w:pStyle w:val="Normal"/>
              <w:widowControl w:val="false"/>
              <w:spacing w:lineRule="auto" w:line="360" w:before="0" w:after="0"/>
              <w:jc w:val="both"/>
              <w:rPr>
                <w:bCs/>
                <w:lang w:val="en-US"/>
              </w:rPr>
            </w:pPr>
            <w:r>
              <w:rPr>
                <w:bCs/>
                <w:lang w:val="en-US"/>
              </w:rPr>
              <w:t>Sen scientist</w:t>
            </w:r>
          </w:p>
          <w:p>
            <w:pPr>
              <w:pStyle w:val="Normal"/>
              <w:widowControl w:val="false"/>
              <w:spacing w:lineRule="auto" w:line="360" w:before="0" w:after="0"/>
              <w:jc w:val="both"/>
              <w:rPr>
                <w:bCs/>
                <w:lang w:val="en-US"/>
              </w:rPr>
            </w:pPr>
            <w:r>
              <w:rPr>
                <w:bCs/>
                <w:lang w:val="en-US"/>
              </w:rPr>
              <w:t>Sen scientist</w:t>
            </w:r>
          </w:p>
          <w:p>
            <w:pPr>
              <w:pStyle w:val="Normal"/>
              <w:widowControl w:val="false"/>
              <w:spacing w:lineRule="auto" w:line="360" w:before="0" w:after="0"/>
              <w:jc w:val="both"/>
              <w:rPr>
                <w:bCs/>
                <w:lang w:val="en-US"/>
              </w:rPr>
            </w:pPr>
            <w:r>
              <w:rPr>
                <w:bCs/>
                <w:lang w:val="en-US"/>
              </w:rPr>
              <w:t>Scientist</w:t>
            </w:r>
          </w:p>
          <w:p>
            <w:pPr>
              <w:pStyle w:val="Normal"/>
              <w:widowControl w:val="false"/>
              <w:spacing w:lineRule="auto" w:line="360" w:before="0" w:after="0"/>
              <w:jc w:val="both"/>
              <w:rPr>
                <w:bCs/>
                <w:lang w:val="en-US"/>
              </w:rPr>
            </w:pPr>
            <w:r>
              <w:rPr>
                <w:bCs/>
                <w:lang w:val="en-US"/>
              </w:rPr>
              <w:t>Jr.scientist</w:t>
            </w:r>
          </w:p>
          <w:p>
            <w:pPr>
              <w:pStyle w:val="Normal"/>
              <w:widowControl w:val="false"/>
              <w:spacing w:lineRule="auto" w:line="360" w:before="0" w:after="0"/>
              <w:jc w:val="both"/>
              <w:rPr>
                <w:bCs/>
                <w:lang w:val="en-US"/>
              </w:rPr>
            </w:pPr>
            <w:r>
              <w:rPr>
                <w:bCs/>
                <w:lang w:val="en-US"/>
              </w:rPr>
              <w:t>Head of dept</w:t>
            </w:r>
          </w:p>
          <w:p>
            <w:pPr>
              <w:pStyle w:val="Normal"/>
              <w:widowControl w:val="false"/>
              <w:spacing w:lineRule="auto" w:line="360" w:before="0" w:after="0"/>
              <w:jc w:val="both"/>
              <w:rPr>
                <w:bCs/>
                <w:lang w:val="en-US"/>
              </w:rPr>
            </w:pPr>
            <w:r>
              <w:rPr>
                <w:bCs/>
                <w:lang w:val="en-US"/>
              </w:rPr>
              <w:t>Scientist</w:t>
            </w:r>
          </w:p>
          <w:p>
            <w:pPr>
              <w:pStyle w:val="Normal"/>
              <w:widowControl w:val="false"/>
              <w:spacing w:lineRule="auto" w:line="360" w:before="0" w:after="0"/>
              <w:jc w:val="both"/>
              <w:rPr>
                <w:bCs/>
                <w:lang w:val="en-US"/>
              </w:rPr>
            </w:pPr>
            <w:r>
              <w:rPr>
                <w:bCs/>
                <w:lang w:val="en-US"/>
              </w:rPr>
              <w:t>Scientist</w:t>
            </w:r>
          </w:p>
          <w:p>
            <w:pPr>
              <w:pStyle w:val="Normal"/>
              <w:widowControl w:val="false"/>
              <w:spacing w:lineRule="auto" w:line="360" w:before="0" w:after="0"/>
              <w:jc w:val="both"/>
              <w:rPr>
                <w:bCs/>
                <w:lang w:val="en-US"/>
              </w:rPr>
            </w:pPr>
            <w:r>
              <w:rPr>
                <w:bCs/>
                <w:lang w:val="en-US"/>
              </w:rPr>
              <w:t>Jr.scientist</w:t>
            </w:r>
          </w:p>
          <w:p>
            <w:pPr>
              <w:pStyle w:val="Normal"/>
              <w:widowControl w:val="false"/>
              <w:spacing w:lineRule="auto" w:line="360" w:before="0" w:after="0"/>
              <w:jc w:val="both"/>
              <w:rPr>
                <w:bCs/>
                <w:lang w:val="en-US"/>
              </w:rPr>
            </w:pPr>
            <w:r>
              <w:rPr>
                <w:bCs/>
                <w:lang w:val="en-US"/>
              </w:rPr>
              <w:t>Prof.</w:t>
            </w:r>
          </w:p>
        </w:tc>
        <w:tc>
          <w:tcPr>
            <w:tcW w:w="1161"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both"/>
              <w:rPr>
                <w:bCs/>
              </w:rPr>
            </w:pPr>
            <w:r>
              <w:rPr>
                <w:bCs/>
              </w:rPr>
              <w:t>0.5</w:t>
            </w:r>
          </w:p>
          <w:p>
            <w:pPr>
              <w:pStyle w:val="Normal"/>
              <w:widowControl w:val="false"/>
              <w:snapToGrid w:val="false"/>
              <w:spacing w:lineRule="auto" w:line="360" w:before="0" w:after="0"/>
              <w:jc w:val="both"/>
              <w:rPr>
                <w:bCs/>
              </w:rPr>
            </w:pPr>
            <w:r>
              <w:rPr>
                <w:bCs/>
              </w:rPr>
              <w:t>0.4</w:t>
            </w:r>
          </w:p>
          <w:p>
            <w:pPr>
              <w:pStyle w:val="Normal"/>
              <w:widowControl w:val="false"/>
              <w:snapToGrid w:val="false"/>
              <w:spacing w:lineRule="auto" w:line="360" w:before="0" w:after="0"/>
              <w:jc w:val="both"/>
              <w:rPr>
                <w:bCs/>
              </w:rPr>
            </w:pPr>
            <w:r>
              <w:rPr>
                <w:bCs/>
              </w:rPr>
              <w:t>0.4</w:t>
            </w:r>
          </w:p>
          <w:p>
            <w:pPr>
              <w:pStyle w:val="Normal"/>
              <w:widowControl w:val="false"/>
              <w:snapToGrid w:val="false"/>
              <w:spacing w:lineRule="auto" w:line="360" w:before="0" w:after="0"/>
              <w:jc w:val="both"/>
              <w:rPr>
                <w:bCs/>
              </w:rPr>
            </w:pPr>
            <w:r>
              <w:rPr>
                <w:bCs/>
              </w:rPr>
              <w:t>1</w:t>
            </w:r>
          </w:p>
          <w:p>
            <w:pPr>
              <w:pStyle w:val="Normal"/>
              <w:widowControl w:val="false"/>
              <w:snapToGrid w:val="false"/>
              <w:spacing w:lineRule="auto" w:line="360" w:before="0" w:after="0"/>
              <w:jc w:val="both"/>
              <w:rPr>
                <w:bCs/>
                <w:lang w:val="en-US"/>
              </w:rPr>
            </w:pPr>
            <w:r>
              <w:rPr>
                <w:bCs/>
                <w:lang w:val="en-US"/>
              </w:rPr>
              <w:t>1</w:t>
            </w:r>
          </w:p>
          <w:p>
            <w:pPr>
              <w:pStyle w:val="Normal"/>
              <w:widowControl w:val="false"/>
              <w:snapToGrid w:val="false"/>
              <w:spacing w:lineRule="auto" w:line="360" w:before="0" w:after="0"/>
              <w:jc w:val="both"/>
              <w:rPr>
                <w:bCs/>
              </w:rPr>
            </w:pPr>
            <w:r>
              <w:rPr>
                <w:bCs/>
              </w:rPr>
              <w:t>0.8</w:t>
            </w:r>
          </w:p>
          <w:p>
            <w:pPr>
              <w:pStyle w:val="Normal"/>
              <w:widowControl w:val="false"/>
              <w:snapToGrid w:val="false"/>
              <w:spacing w:lineRule="auto" w:line="360" w:before="0" w:after="0"/>
              <w:jc w:val="both"/>
              <w:rPr>
                <w:bCs/>
              </w:rPr>
            </w:pPr>
            <w:r>
              <w:rPr>
                <w:bCs/>
              </w:rPr>
              <w:t>0.8</w:t>
            </w:r>
          </w:p>
          <w:p>
            <w:pPr>
              <w:pStyle w:val="Normal"/>
              <w:widowControl w:val="false"/>
              <w:snapToGrid w:val="false"/>
              <w:spacing w:lineRule="auto" w:line="360" w:before="0" w:after="0"/>
              <w:jc w:val="both"/>
              <w:rPr>
                <w:bCs/>
              </w:rPr>
            </w:pPr>
            <w:r>
              <w:rPr>
                <w:bCs/>
              </w:rPr>
              <w:t>1</w:t>
            </w:r>
          </w:p>
          <w:p>
            <w:pPr>
              <w:pStyle w:val="Normal"/>
              <w:widowControl w:val="false"/>
              <w:snapToGrid w:val="false"/>
              <w:spacing w:lineRule="auto" w:line="360" w:before="0" w:after="0"/>
              <w:jc w:val="both"/>
              <w:rPr>
                <w:bCs/>
              </w:rPr>
            </w:pPr>
            <w:r>
              <w:rPr>
                <w:bCs/>
              </w:rPr>
              <w:t>1</w:t>
            </w:r>
          </w:p>
          <w:p>
            <w:pPr>
              <w:pStyle w:val="Normal"/>
              <w:widowControl w:val="false"/>
              <w:snapToGrid w:val="false"/>
              <w:spacing w:lineRule="auto" w:line="360" w:before="0" w:after="0"/>
              <w:jc w:val="both"/>
              <w:rPr>
                <w:bCs/>
              </w:rPr>
            </w:pPr>
            <w:r>
              <w:rPr>
                <w:bCs/>
              </w:rPr>
              <w:t>1</w:t>
            </w:r>
          </w:p>
          <w:p>
            <w:pPr>
              <w:pStyle w:val="Normal"/>
              <w:widowControl w:val="false"/>
              <w:snapToGrid w:val="false"/>
              <w:spacing w:lineRule="auto" w:line="360" w:before="0" w:after="0"/>
              <w:jc w:val="both"/>
              <w:rPr>
                <w:bCs/>
              </w:rPr>
            </w:pPr>
            <w:r>
              <w:rPr>
                <w:bCs/>
              </w:rPr>
              <w:t>1</w:t>
            </w:r>
          </w:p>
          <w:p>
            <w:pPr>
              <w:pStyle w:val="Normal"/>
              <w:widowControl w:val="false"/>
              <w:snapToGrid w:val="false"/>
              <w:spacing w:lineRule="auto" w:line="360" w:before="0" w:after="0"/>
              <w:jc w:val="both"/>
              <w:rPr>
                <w:bCs/>
                <w:lang w:val="en-US"/>
              </w:rPr>
            </w:pPr>
            <w:r>
              <w:rPr>
                <w:bCs/>
                <w:lang w:val="en-US"/>
              </w:rPr>
              <w:t>1</w:t>
            </w:r>
          </w:p>
          <w:p>
            <w:pPr>
              <w:pStyle w:val="Normal"/>
              <w:widowControl w:val="false"/>
              <w:snapToGrid w:val="false"/>
              <w:spacing w:lineRule="auto" w:line="360" w:before="0" w:after="0"/>
              <w:jc w:val="both"/>
              <w:rPr>
                <w:bCs/>
              </w:rPr>
            </w:pPr>
            <w:r>
              <w:rPr>
                <w:bCs/>
              </w:rPr>
              <w:t>1</w:t>
            </w:r>
          </w:p>
          <w:p>
            <w:pPr>
              <w:pStyle w:val="Normal"/>
              <w:widowControl w:val="false"/>
              <w:snapToGrid w:val="false"/>
              <w:spacing w:lineRule="auto" w:line="360" w:before="0" w:after="0"/>
              <w:jc w:val="both"/>
              <w:rPr>
                <w:bCs/>
              </w:rPr>
            </w:pPr>
            <w:r>
              <w:rPr>
                <w:bCs/>
              </w:rPr>
              <w:t>1</w:t>
            </w:r>
          </w:p>
          <w:p>
            <w:pPr>
              <w:pStyle w:val="Normal"/>
              <w:widowControl w:val="false"/>
              <w:snapToGrid w:val="false"/>
              <w:spacing w:lineRule="auto" w:line="360" w:before="0" w:after="0"/>
              <w:jc w:val="both"/>
              <w:rPr>
                <w:bCs/>
              </w:rPr>
            </w:pPr>
            <w:r>
              <w:rPr>
                <w:bCs/>
              </w:rPr>
              <w:t>1</w:t>
            </w:r>
          </w:p>
          <w:p>
            <w:pPr>
              <w:pStyle w:val="Normal"/>
              <w:widowControl w:val="false"/>
              <w:snapToGrid w:val="false"/>
              <w:spacing w:lineRule="auto" w:line="360" w:before="0" w:after="0"/>
              <w:jc w:val="both"/>
              <w:rPr>
                <w:bCs/>
              </w:rPr>
            </w:pPr>
            <w:r>
              <w:rPr>
                <w:bCs/>
              </w:rPr>
              <w:t>1</w:t>
            </w:r>
          </w:p>
          <w:p>
            <w:pPr>
              <w:pStyle w:val="Normal"/>
              <w:widowControl w:val="false"/>
              <w:snapToGrid w:val="false"/>
              <w:spacing w:lineRule="auto" w:line="360" w:before="0" w:after="0"/>
              <w:jc w:val="both"/>
              <w:rPr>
                <w:bCs/>
              </w:rPr>
            </w:pPr>
            <w:r>
              <w:rPr>
                <w:bCs/>
              </w:rPr>
              <w:t>0.5</w:t>
            </w:r>
          </w:p>
          <w:p>
            <w:pPr>
              <w:pStyle w:val="Normal"/>
              <w:widowControl w:val="false"/>
              <w:snapToGrid w:val="false"/>
              <w:spacing w:lineRule="auto" w:line="360" w:before="0" w:after="0"/>
              <w:jc w:val="both"/>
              <w:rPr>
                <w:bCs/>
              </w:rPr>
            </w:pPr>
            <w:r>
              <w:rPr>
                <w:bCs/>
              </w:rPr>
              <w:t>0.5</w:t>
            </w:r>
          </w:p>
          <w:p>
            <w:pPr>
              <w:pStyle w:val="Normal"/>
              <w:widowControl w:val="false"/>
              <w:snapToGrid w:val="false"/>
              <w:spacing w:lineRule="auto" w:line="360" w:before="0" w:after="0"/>
              <w:jc w:val="both"/>
              <w:rPr>
                <w:bCs/>
              </w:rPr>
            </w:pPr>
            <w:r>
              <w:rPr>
                <w:bCs/>
              </w:rPr>
              <w:t>1</w:t>
            </w:r>
          </w:p>
          <w:p>
            <w:pPr>
              <w:pStyle w:val="Normal"/>
              <w:widowControl w:val="false"/>
              <w:snapToGrid w:val="false"/>
              <w:spacing w:lineRule="auto" w:line="360" w:before="0" w:after="0"/>
              <w:jc w:val="both"/>
              <w:rPr>
                <w:bCs/>
              </w:rPr>
            </w:pPr>
            <w:r>
              <w:rPr>
                <w:bCs/>
              </w:rPr>
              <w:t>1</w:t>
            </w:r>
          </w:p>
          <w:p>
            <w:pPr>
              <w:pStyle w:val="Normal"/>
              <w:widowControl w:val="false"/>
              <w:snapToGrid w:val="false"/>
              <w:spacing w:lineRule="auto" w:line="360" w:before="0" w:after="0"/>
              <w:jc w:val="both"/>
              <w:rPr>
                <w:bCs/>
              </w:rPr>
            </w:pPr>
            <w:r>
              <w:rPr>
                <w:bCs/>
              </w:rPr>
              <w:t>1</w:t>
            </w:r>
          </w:p>
          <w:p>
            <w:pPr>
              <w:pStyle w:val="Normal"/>
              <w:widowControl w:val="false"/>
              <w:snapToGrid w:val="false"/>
              <w:spacing w:lineRule="auto" w:line="360" w:before="0" w:after="0"/>
              <w:jc w:val="both"/>
              <w:rPr>
                <w:bCs/>
              </w:rPr>
            </w:pPr>
            <w:r>
              <w:rPr>
                <w:bCs/>
              </w:rPr>
              <w:t>1</w:t>
            </w:r>
          </w:p>
          <w:p>
            <w:pPr>
              <w:pStyle w:val="Normal"/>
              <w:widowControl w:val="false"/>
              <w:snapToGrid w:val="false"/>
              <w:spacing w:lineRule="auto" w:line="360" w:before="0" w:after="0"/>
              <w:jc w:val="both"/>
              <w:rPr>
                <w:bCs/>
              </w:rPr>
            </w:pPr>
            <w:r>
              <w:rPr>
                <w:bCs/>
              </w:rPr>
              <w:t>0.8</w:t>
            </w:r>
          </w:p>
          <w:p>
            <w:pPr>
              <w:pStyle w:val="Normal"/>
              <w:widowControl w:val="false"/>
              <w:snapToGrid w:val="false"/>
              <w:spacing w:lineRule="auto" w:line="360" w:before="0" w:after="0"/>
              <w:jc w:val="both"/>
              <w:rPr>
                <w:bCs/>
              </w:rPr>
            </w:pPr>
            <w:r>
              <w:rPr>
                <w:bCs/>
              </w:rPr>
              <w:t>0.8</w:t>
            </w:r>
          </w:p>
          <w:p>
            <w:pPr>
              <w:pStyle w:val="Normal"/>
              <w:widowControl w:val="false"/>
              <w:snapToGrid w:val="false"/>
              <w:spacing w:lineRule="auto" w:line="360" w:before="0" w:after="0"/>
              <w:jc w:val="both"/>
              <w:rPr>
                <w:bCs/>
              </w:rPr>
            </w:pPr>
            <w:r>
              <w:rPr>
                <w:bCs/>
              </w:rPr>
              <w:t>0.4</w:t>
            </w:r>
          </w:p>
          <w:p>
            <w:pPr>
              <w:pStyle w:val="Normal"/>
              <w:widowControl w:val="false"/>
              <w:snapToGrid w:val="false"/>
              <w:spacing w:lineRule="auto" w:line="360" w:before="0" w:after="0"/>
              <w:jc w:val="both"/>
              <w:rPr>
                <w:bCs/>
              </w:rPr>
            </w:pPr>
            <w:r>
              <w:rPr>
                <w:bCs/>
              </w:rPr>
              <w:t>0.2</w:t>
            </w:r>
          </w:p>
          <w:p>
            <w:pPr>
              <w:pStyle w:val="Normal"/>
              <w:widowControl w:val="false"/>
              <w:snapToGrid w:val="false"/>
              <w:spacing w:lineRule="auto" w:line="360" w:before="0" w:after="0"/>
              <w:jc w:val="both"/>
              <w:rPr>
                <w:bCs/>
              </w:rPr>
            </w:pPr>
            <w:r>
              <w:rPr>
                <w:bCs/>
              </w:rPr>
              <w:t>0.2</w:t>
            </w:r>
          </w:p>
          <w:p>
            <w:pPr>
              <w:pStyle w:val="Normal"/>
              <w:widowControl w:val="false"/>
              <w:snapToGrid w:val="false"/>
              <w:spacing w:lineRule="auto" w:line="360" w:before="0" w:after="0"/>
              <w:jc w:val="both"/>
              <w:rPr>
                <w:bCs/>
              </w:rPr>
            </w:pPr>
            <w:r>
              <w:rPr>
                <w:bCs/>
              </w:rPr>
              <w:t>0.2</w:t>
            </w:r>
          </w:p>
          <w:p>
            <w:pPr>
              <w:pStyle w:val="Normal"/>
              <w:widowControl w:val="false"/>
              <w:snapToGrid w:val="false"/>
              <w:spacing w:lineRule="auto" w:line="360" w:before="0" w:after="0"/>
              <w:jc w:val="both"/>
              <w:rPr>
                <w:bCs/>
              </w:rPr>
            </w:pPr>
            <w:r>
              <w:rPr>
                <w:bCs/>
              </w:rPr>
              <w:t>1</w:t>
            </w:r>
          </w:p>
          <w:p>
            <w:pPr>
              <w:pStyle w:val="Normal"/>
              <w:widowControl w:val="false"/>
              <w:snapToGrid w:val="false"/>
              <w:spacing w:lineRule="auto" w:line="360" w:before="0" w:after="0"/>
              <w:jc w:val="both"/>
              <w:rPr>
                <w:bCs/>
              </w:rPr>
            </w:pPr>
            <w:r>
              <w:rPr>
                <w:bCs/>
              </w:rPr>
              <w:t>0.5</w:t>
            </w:r>
          </w:p>
          <w:p>
            <w:pPr>
              <w:pStyle w:val="Normal"/>
              <w:widowControl w:val="false"/>
              <w:snapToGrid w:val="false"/>
              <w:spacing w:lineRule="auto" w:line="360" w:before="0" w:after="0"/>
              <w:jc w:val="both"/>
              <w:rPr>
                <w:bCs/>
              </w:rPr>
            </w:pPr>
            <w:r>
              <w:rPr>
                <w:bCs/>
              </w:rPr>
              <w:t>1</w:t>
            </w:r>
          </w:p>
          <w:p>
            <w:pPr>
              <w:pStyle w:val="Normal"/>
              <w:widowControl w:val="false"/>
              <w:snapToGrid w:val="false"/>
              <w:spacing w:lineRule="auto" w:line="360" w:before="0" w:after="0"/>
              <w:jc w:val="both"/>
              <w:rPr>
                <w:bCs/>
              </w:rPr>
            </w:pPr>
            <w:r>
              <w:rPr>
                <w:bCs/>
              </w:rPr>
              <w:t>0.5</w:t>
            </w:r>
          </w:p>
          <w:p>
            <w:pPr>
              <w:pStyle w:val="Normal"/>
              <w:widowControl w:val="false"/>
              <w:snapToGrid w:val="false"/>
              <w:spacing w:lineRule="auto" w:line="360" w:before="0" w:after="0"/>
              <w:jc w:val="both"/>
              <w:rPr>
                <w:bCs/>
              </w:rPr>
            </w:pPr>
            <w:r>
              <w:rPr>
                <w:bCs/>
              </w:rPr>
              <w:t>0.7</w:t>
            </w:r>
          </w:p>
          <w:p>
            <w:pPr>
              <w:pStyle w:val="Normal"/>
              <w:widowControl w:val="false"/>
              <w:snapToGrid w:val="false"/>
              <w:spacing w:lineRule="auto" w:line="360" w:before="0" w:after="0"/>
              <w:jc w:val="both"/>
              <w:rPr>
                <w:bCs/>
              </w:rPr>
            </w:pPr>
            <w:r>
              <w:rPr>
                <w:bCs/>
              </w:rPr>
              <w:t>1</w:t>
            </w:r>
          </w:p>
          <w:p>
            <w:pPr>
              <w:pStyle w:val="Normal"/>
              <w:widowControl w:val="false"/>
              <w:snapToGrid w:val="false"/>
              <w:spacing w:lineRule="auto" w:line="360" w:before="0" w:after="0"/>
              <w:jc w:val="both"/>
              <w:rPr>
                <w:bCs/>
              </w:rPr>
            </w:pPr>
            <w:r>
              <w:rPr>
                <w:bCs/>
              </w:rPr>
              <w:t>0.3</w:t>
            </w:r>
          </w:p>
          <w:p>
            <w:pPr>
              <w:pStyle w:val="Normal"/>
              <w:widowControl w:val="false"/>
              <w:snapToGrid w:val="false"/>
              <w:spacing w:lineRule="auto" w:line="360" w:before="0" w:after="0"/>
              <w:jc w:val="both"/>
              <w:rPr>
                <w:bCs/>
              </w:rPr>
            </w:pPr>
            <w:r>
              <w:rPr>
                <w:bCs/>
              </w:rPr>
              <w:t>1</w:t>
            </w:r>
          </w:p>
          <w:p>
            <w:pPr>
              <w:pStyle w:val="Normal"/>
              <w:widowControl w:val="false"/>
              <w:snapToGrid w:val="false"/>
              <w:spacing w:lineRule="auto" w:line="360" w:before="0" w:after="0"/>
              <w:jc w:val="both"/>
              <w:rPr>
                <w:bCs/>
              </w:rPr>
            </w:pPr>
            <w:r>
              <w:rPr>
                <w:bCs/>
              </w:rPr>
              <w:t>0.3</w:t>
            </w:r>
          </w:p>
          <w:p>
            <w:pPr>
              <w:pStyle w:val="Normal"/>
              <w:widowControl w:val="false"/>
              <w:snapToGrid w:val="false"/>
              <w:spacing w:lineRule="auto" w:line="360" w:before="0" w:after="0"/>
              <w:jc w:val="both"/>
              <w:rPr>
                <w:bCs/>
              </w:rPr>
            </w:pPr>
            <w:r>
              <w:rPr>
                <w:bCs/>
              </w:rPr>
              <w:t>0.2</w:t>
            </w:r>
          </w:p>
          <w:p>
            <w:pPr>
              <w:pStyle w:val="Normal"/>
              <w:widowControl w:val="false"/>
              <w:snapToGrid w:val="false"/>
              <w:spacing w:lineRule="auto" w:line="360" w:before="0" w:after="0"/>
              <w:jc w:val="both"/>
              <w:rPr>
                <w:bCs/>
              </w:rPr>
            </w:pPr>
            <w:r>
              <w:rPr>
                <w:bCs/>
              </w:rPr>
              <w:t>0.3</w:t>
            </w:r>
          </w:p>
          <w:p>
            <w:pPr>
              <w:pStyle w:val="Normal"/>
              <w:widowControl w:val="false"/>
              <w:snapToGrid w:val="false"/>
              <w:spacing w:lineRule="auto" w:line="360" w:before="0" w:after="0"/>
              <w:jc w:val="both"/>
              <w:rPr>
                <w:bCs/>
              </w:rPr>
            </w:pPr>
            <w:r>
              <w:rPr>
                <w:bCs/>
              </w:rPr>
              <w:t>0.4</w:t>
            </w:r>
          </w:p>
          <w:p>
            <w:pPr>
              <w:pStyle w:val="Normal"/>
              <w:widowControl w:val="false"/>
              <w:snapToGrid w:val="false"/>
              <w:spacing w:lineRule="auto" w:line="360" w:before="0" w:after="0"/>
              <w:jc w:val="both"/>
              <w:rPr>
                <w:bCs/>
              </w:rPr>
            </w:pPr>
            <w:r>
              <w:rPr>
                <w:bCs/>
              </w:rPr>
              <w:t>1</w:t>
            </w:r>
          </w:p>
          <w:p>
            <w:pPr>
              <w:pStyle w:val="Normal"/>
              <w:widowControl w:val="false"/>
              <w:snapToGrid w:val="false"/>
              <w:spacing w:lineRule="auto" w:line="360" w:before="0" w:after="0"/>
              <w:jc w:val="both"/>
              <w:rPr>
                <w:bCs/>
              </w:rPr>
            </w:pPr>
            <w:r>
              <w:rPr>
                <w:bCs/>
              </w:rPr>
              <w:t>0.3</w:t>
            </w:r>
          </w:p>
          <w:p>
            <w:pPr>
              <w:pStyle w:val="Normal"/>
              <w:widowControl w:val="false"/>
              <w:snapToGrid w:val="false"/>
              <w:spacing w:lineRule="auto" w:line="360" w:before="0" w:after="0"/>
              <w:jc w:val="both"/>
              <w:rPr>
                <w:bCs/>
              </w:rPr>
            </w:pPr>
            <w:r>
              <w:rPr>
                <w:bCs/>
              </w:rPr>
              <w:t>0.4</w:t>
            </w:r>
          </w:p>
        </w:tc>
      </w:tr>
      <w:tr>
        <w:trPr/>
        <w:tc>
          <w:tcPr>
            <w:tcW w:w="69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center"/>
              <w:rPr>
                <w:bCs/>
              </w:rPr>
            </w:pPr>
            <w:r>
              <w:rPr>
                <w:bCs/>
              </w:rPr>
              <w:t>2.</w:t>
            </w:r>
          </w:p>
        </w:tc>
        <w:tc>
          <w:tcPr>
            <w:tcW w:w="154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bCs/>
              </w:rPr>
            </w:pPr>
            <w:r>
              <w:rPr>
                <w:bCs/>
              </w:rPr>
              <w:t>инженеры</w:t>
            </w:r>
          </w:p>
        </w:tc>
        <w:tc>
          <w:tcPr>
            <w:tcW w:w="2413" w:type="dxa"/>
            <w:tcBorders>
              <w:top w:val="single" w:sz="4" w:space="0" w:color="000000"/>
              <w:left w:val="single" w:sz="4" w:space="0" w:color="000000"/>
              <w:bottom w:val="single" w:sz="4" w:space="0" w:color="000000"/>
            </w:tcBorders>
          </w:tcPr>
          <w:p>
            <w:pPr>
              <w:pStyle w:val="Normal"/>
              <w:widowControl w:val="false"/>
              <w:snapToGrid w:val="false"/>
              <w:spacing w:lineRule="auto" w:line="360" w:before="0" w:after="0"/>
              <w:jc w:val="both"/>
              <w:rPr>
                <w:bCs/>
                <w:lang w:val="en-US"/>
              </w:rPr>
            </w:pPr>
            <w:r>
              <w:rPr>
                <w:bCs/>
                <w:lang w:val="en-US"/>
              </w:rPr>
              <w:t>I. Gongadze</w:t>
            </w:r>
          </w:p>
          <w:p>
            <w:pPr>
              <w:pStyle w:val="Normal"/>
              <w:widowControl w:val="false"/>
              <w:snapToGrid w:val="false"/>
              <w:spacing w:lineRule="auto" w:line="360" w:before="0" w:after="0"/>
              <w:jc w:val="both"/>
              <w:rPr>
                <w:bCs/>
                <w:lang w:val="en-US"/>
              </w:rPr>
            </w:pPr>
            <w:r>
              <w:rPr>
                <w:bCs/>
                <w:lang w:val="en-US"/>
              </w:rPr>
              <w:t>L. Gongadze</w:t>
            </w:r>
          </w:p>
          <w:p>
            <w:pPr>
              <w:pStyle w:val="Normal"/>
              <w:widowControl w:val="false"/>
              <w:snapToGrid w:val="false"/>
              <w:spacing w:lineRule="auto" w:line="360" w:before="0" w:after="0"/>
              <w:jc w:val="both"/>
              <w:rPr>
                <w:bCs/>
                <w:lang w:val="en-US"/>
              </w:rPr>
            </w:pPr>
            <w:r>
              <w:rPr>
                <w:bCs/>
                <w:lang w:val="en-US"/>
              </w:rPr>
              <w:t>N. Kaurtsev</w:t>
            </w:r>
          </w:p>
          <w:p>
            <w:pPr>
              <w:pStyle w:val="Normal"/>
              <w:widowControl w:val="false"/>
              <w:snapToGrid w:val="false"/>
              <w:spacing w:lineRule="auto" w:line="360" w:before="0" w:after="0"/>
              <w:jc w:val="both"/>
              <w:rPr>
                <w:bCs/>
                <w:lang w:val="en-US"/>
              </w:rPr>
            </w:pPr>
            <w:r>
              <w:rPr>
                <w:bCs/>
                <w:lang w:val="en-US"/>
              </w:rPr>
              <w:t>T. Rudenko</w:t>
            </w:r>
          </w:p>
          <w:p>
            <w:pPr>
              <w:pStyle w:val="Normal"/>
              <w:widowControl w:val="false"/>
              <w:snapToGrid w:val="false"/>
              <w:spacing w:lineRule="auto" w:line="360" w:before="0" w:after="0"/>
              <w:jc w:val="both"/>
              <w:rPr>
                <w:bCs/>
                <w:lang w:val="en-US"/>
              </w:rPr>
            </w:pPr>
            <w:r>
              <w:rPr>
                <w:bCs/>
                <w:lang w:val="en-US"/>
              </w:rPr>
              <w:t xml:space="preserve">O. Atanova </w:t>
            </w:r>
          </w:p>
          <w:p>
            <w:pPr>
              <w:pStyle w:val="Normal"/>
              <w:widowControl w:val="false"/>
              <w:snapToGrid w:val="false"/>
              <w:spacing w:lineRule="auto" w:line="360" w:before="0" w:after="0"/>
              <w:jc w:val="both"/>
              <w:rPr>
                <w:bCs/>
                <w:lang w:val="en-US"/>
              </w:rPr>
            </w:pPr>
            <w:r>
              <w:rPr>
                <w:bCs/>
                <w:lang w:val="en-US"/>
              </w:rPr>
              <w:t xml:space="preserve">V. Rogozin </w:t>
            </w:r>
          </w:p>
          <w:p>
            <w:pPr>
              <w:pStyle w:val="Normal"/>
              <w:widowControl w:val="false"/>
              <w:snapToGrid w:val="false"/>
              <w:spacing w:lineRule="auto" w:line="360" w:before="0" w:after="0"/>
              <w:jc w:val="both"/>
              <w:rPr>
                <w:bCs/>
                <w:lang w:val="en-US"/>
              </w:rPr>
            </w:pPr>
            <w:r>
              <w:rPr>
                <w:bCs/>
                <w:lang w:val="en-US"/>
              </w:rPr>
              <w:t>A. Shaikovskii</w:t>
            </w:r>
          </w:p>
          <w:p>
            <w:pPr>
              <w:pStyle w:val="Normal"/>
              <w:widowControl w:val="false"/>
              <w:snapToGrid w:val="false"/>
              <w:spacing w:lineRule="auto" w:line="360" w:before="0" w:after="0"/>
              <w:jc w:val="both"/>
              <w:rPr>
                <w:bCs/>
                <w:lang w:val="en-US"/>
              </w:rPr>
            </w:pPr>
            <w:r>
              <w:rPr>
                <w:bCs/>
                <w:lang w:val="en-US"/>
              </w:rPr>
              <w:t>I. Troeglazov</w:t>
            </w:r>
          </w:p>
          <w:p>
            <w:pPr>
              <w:pStyle w:val="Normal"/>
              <w:widowControl w:val="false"/>
              <w:snapToGrid w:val="false"/>
              <w:spacing w:lineRule="auto" w:line="360" w:before="0" w:after="0"/>
              <w:jc w:val="both"/>
              <w:rPr>
                <w:bCs/>
                <w:lang w:val="en-US"/>
              </w:rPr>
            </w:pPr>
            <w:r>
              <w:rPr>
                <w:bCs/>
                <w:lang w:val="en-US"/>
              </w:rPr>
              <w:t>S. Mokrenko</w:t>
            </w:r>
          </w:p>
          <w:p>
            <w:pPr>
              <w:pStyle w:val="Normal"/>
              <w:widowControl w:val="false"/>
              <w:snapToGrid w:val="false"/>
              <w:spacing w:lineRule="auto" w:line="360" w:before="0" w:after="0"/>
              <w:jc w:val="both"/>
              <w:rPr>
                <w:bCs/>
                <w:lang w:val="en-US"/>
              </w:rPr>
            </w:pPr>
            <w:r>
              <w:rPr>
                <w:bCs/>
                <w:lang w:val="en-US"/>
              </w:rPr>
              <w:t>I. Fomichev</w:t>
            </w:r>
          </w:p>
          <w:p>
            <w:pPr>
              <w:pStyle w:val="Normal"/>
              <w:widowControl w:val="false"/>
              <w:snapToGrid w:val="false"/>
              <w:spacing w:lineRule="auto" w:line="360" w:before="0" w:after="0"/>
              <w:jc w:val="both"/>
              <w:rPr>
                <w:bCs/>
                <w:lang w:val="en-US"/>
              </w:rPr>
            </w:pPr>
            <w:r>
              <w:rPr>
                <w:bCs/>
                <w:lang w:val="en-US"/>
              </w:rPr>
              <w:t>A. Shutov</w:t>
            </w:r>
          </w:p>
        </w:tc>
        <w:tc>
          <w:tcPr>
            <w:tcW w:w="1846"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p>
            <w:pPr>
              <w:pStyle w:val="Normal"/>
              <w:widowControl w:val="false"/>
              <w:snapToGrid w:val="false"/>
              <w:spacing w:lineRule="auto" w:line="360" w:before="0" w:after="0"/>
              <w:jc w:val="both"/>
              <w:rPr>
                <w:bCs/>
                <w:lang w:val="en-US"/>
              </w:rPr>
            </w:pPr>
            <w:r>
              <w:rPr>
                <w:bCs/>
                <w:lang w:val="en-US"/>
              </w:rPr>
              <w:t>DLNP</w:t>
            </w:r>
          </w:p>
        </w:tc>
        <w:tc>
          <w:tcPr>
            <w:tcW w:w="2112"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both"/>
              <w:rPr>
                <w:bCs/>
                <w:lang w:val="en-US"/>
              </w:rPr>
            </w:pPr>
            <w:r>
              <w:rPr>
                <w:bCs/>
                <w:lang w:val="en-US"/>
              </w:rPr>
              <w:t>Engineer</w:t>
            </w:r>
          </w:p>
          <w:p>
            <w:pPr>
              <w:pStyle w:val="Normal"/>
              <w:widowControl w:val="false"/>
              <w:snapToGrid w:val="false"/>
              <w:spacing w:lineRule="auto" w:line="360" w:before="0" w:after="0"/>
              <w:jc w:val="both"/>
              <w:rPr>
                <w:bCs/>
                <w:lang w:val="en-US"/>
              </w:rPr>
            </w:pPr>
            <w:r>
              <w:rPr>
                <w:bCs/>
                <w:lang w:val="en-US"/>
              </w:rPr>
              <w:t>Engineer</w:t>
            </w:r>
          </w:p>
          <w:p>
            <w:pPr>
              <w:pStyle w:val="Normal"/>
              <w:widowControl w:val="false"/>
              <w:snapToGrid w:val="false"/>
              <w:spacing w:lineRule="auto" w:line="360" w:before="0" w:after="0"/>
              <w:jc w:val="both"/>
              <w:rPr>
                <w:bCs/>
                <w:lang w:val="en-US"/>
              </w:rPr>
            </w:pPr>
            <w:r>
              <w:rPr>
                <w:bCs/>
                <w:lang w:val="en-US"/>
              </w:rPr>
              <w:t>Engineer</w:t>
            </w:r>
          </w:p>
          <w:p>
            <w:pPr>
              <w:pStyle w:val="Normal"/>
              <w:widowControl w:val="false"/>
              <w:snapToGrid w:val="false"/>
              <w:spacing w:lineRule="auto" w:line="360" w:before="0" w:after="0"/>
              <w:jc w:val="both"/>
              <w:rPr>
                <w:bCs/>
                <w:lang w:val="en-US"/>
              </w:rPr>
            </w:pPr>
            <w:r>
              <w:rPr>
                <w:bCs/>
                <w:lang w:val="en-US"/>
              </w:rPr>
              <w:t>Engineer</w:t>
            </w:r>
          </w:p>
          <w:p>
            <w:pPr>
              <w:pStyle w:val="Normal"/>
              <w:widowControl w:val="false"/>
              <w:snapToGrid w:val="false"/>
              <w:spacing w:lineRule="auto" w:line="360" w:before="0" w:after="0"/>
              <w:jc w:val="both"/>
              <w:rPr>
                <w:bCs/>
                <w:lang w:val="en-US"/>
              </w:rPr>
            </w:pPr>
            <w:r>
              <w:rPr>
                <w:bCs/>
                <w:lang w:val="en-US"/>
              </w:rPr>
              <w:t>Engineer</w:t>
            </w:r>
          </w:p>
          <w:p>
            <w:pPr>
              <w:pStyle w:val="Normal"/>
              <w:widowControl w:val="false"/>
              <w:snapToGrid w:val="false"/>
              <w:spacing w:lineRule="auto" w:line="360" w:before="0" w:after="0"/>
              <w:jc w:val="both"/>
              <w:rPr>
                <w:bCs/>
                <w:lang w:val="en-US"/>
              </w:rPr>
            </w:pPr>
            <w:r>
              <w:rPr>
                <w:bCs/>
                <w:lang w:val="en-US"/>
              </w:rPr>
              <w:t>Engineer</w:t>
            </w:r>
          </w:p>
          <w:p>
            <w:pPr>
              <w:pStyle w:val="Normal"/>
              <w:widowControl w:val="false"/>
              <w:snapToGrid w:val="false"/>
              <w:spacing w:lineRule="auto" w:line="360" w:before="0" w:after="0"/>
              <w:jc w:val="both"/>
              <w:rPr>
                <w:bCs/>
                <w:lang w:val="en-US"/>
              </w:rPr>
            </w:pPr>
            <w:r>
              <w:rPr>
                <w:bCs/>
                <w:lang w:val="en-US"/>
              </w:rPr>
              <w:t>Engineer</w:t>
            </w:r>
          </w:p>
          <w:p>
            <w:pPr>
              <w:pStyle w:val="Normal"/>
              <w:widowControl w:val="false"/>
              <w:spacing w:lineRule="auto" w:line="360" w:before="0" w:after="0"/>
              <w:jc w:val="both"/>
              <w:rPr>
                <w:bCs/>
                <w:lang w:val="en-US"/>
              </w:rPr>
            </w:pPr>
            <w:r>
              <w:rPr>
                <w:bCs/>
                <w:lang w:val="en-US"/>
              </w:rPr>
              <w:t>Engineer</w:t>
            </w:r>
          </w:p>
          <w:p>
            <w:pPr>
              <w:pStyle w:val="Normal"/>
              <w:widowControl w:val="false"/>
              <w:spacing w:lineRule="auto" w:line="360" w:before="0" w:after="0"/>
              <w:jc w:val="both"/>
              <w:rPr>
                <w:bCs/>
                <w:lang w:val="en-US"/>
              </w:rPr>
            </w:pPr>
            <w:r>
              <w:rPr>
                <w:bCs/>
                <w:lang w:val="en-US"/>
              </w:rPr>
              <w:t>Engineer</w:t>
            </w:r>
          </w:p>
          <w:p>
            <w:pPr>
              <w:pStyle w:val="Normal"/>
              <w:widowControl w:val="false"/>
              <w:spacing w:lineRule="auto" w:line="360" w:before="0" w:after="0"/>
              <w:jc w:val="both"/>
              <w:rPr>
                <w:bCs/>
                <w:lang w:val="en-US"/>
              </w:rPr>
            </w:pPr>
            <w:r>
              <w:rPr>
                <w:bCs/>
                <w:lang w:val="en-US"/>
              </w:rPr>
              <w:t>Engineer</w:t>
            </w:r>
          </w:p>
          <w:p>
            <w:pPr>
              <w:pStyle w:val="Normal"/>
              <w:widowControl w:val="false"/>
              <w:spacing w:lineRule="auto" w:line="360" w:before="0" w:after="0"/>
              <w:jc w:val="both"/>
              <w:rPr>
                <w:bCs/>
                <w:lang w:val="en-US"/>
              </w:rPr>
            </w:pPr>
            <w:r>
              <w:rPr>
                <w:bCs/>
                <w:lang w:val="en-US"/>
              </w:rPr>
              <w:t>Engineer</w:t>
            </w:r>
          </w:p>
        </w:tc>
        <w:tc>
          <w:tcPr>
            <w:tcW w:w="1161"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both"/>
              <w:rPr>
                <w:bCs/>
              </w:rPr>
            </w:pPr>
            <w:r>
              <w:rPr>
                <w:bCs/>
              </w:rPr>
              <w:t>0.7</w:t>
            </w:r>
          </w:p>
          <w:p>
            <w:pPr>
              <w:pStyle w:val="Normal"/>
              <w:widowControl w:val="false"/>
              <w:snapToGrid w:val="false"/>
              <w:spacing w:lineRule="auto" w:line="360" w:before="0" w:after="0"/>
              <w:jc w:val="both"/>
              <w:rPr>
                <w:bCs/>
              </w:rPr>
            </w:pPr>
            <w:r>
              <w:rPr>
                <w:bCs/>
              </w:rPr>
              <w:t>0.5</w:t>
            </w:r>
          </w:p>
          <w:p>
            <w:pPr>
              <w:pStyle w:val="Normal"/>
              <w:widowControl w:val="false"/>
              <w:snapToGrid w:val="false"/>
              <w:spacing w:lineRule="auto" w:line="360" w:before="0" w:after="0"/>
              <w:jc w:val="both"/>
              <w:rPr>
                <w:bCs/>
              </w:rPr>
            </w:pPr>
            <w:r>
              <w:rPr>
                <w:bCs/>
              </w:rPr>
              <w:t>0.5</w:t>
            </w:r>
          </w:p>
          <w:p>
            <w:pPr>
              <w:pStyle w:val="Normal"/>
              <w:widowControl w:val="false"/>
              <w:snapToGrid w:val="false"/>
              <w:spacing w:lineRule="auto" w:line="360" w:before="0" w:after="0"/>
              <w:jc w:val="both"/>
              <w:rPr>
                <w:bCs/>
              </w:rPr>
            </w:pPr>
            <w:r>
              <w:rPr>
                <w:bCs/>
              </w:rPr>
              <w:t>0.5</w:t>
            </w:r>
          </w:p>
          <w:p>
            <w:pPr>
              <w:pStyle w:val="Normal"/>
              <w:widowControl w:val="false"/>
              <w:snapToGrid w:val="false"/>
              <w:spacing w:lineRule="auto" w:line="360" w:before="0" w:after="0"/>
              <w:jc w:val="both"/>
              <w:rPr>
                <w:bCs/>
              </w:rPr>
            </w:pPr>
            <w:r>
              <w:rPr>
                <w:bCs/>
              </w:rPr>
              <w:t>0.4</w:t>
            </w:r>
          </w:p>
          <w:p>
            <w:pPr>
              <w:pStyle w:val="Normal"/>
              <w:widowControl w:val="false"/>
              <w:snapToGrid w:val="false"/>
              <w:spacing w:lineRule="auto" w:line="360" w:before="0" w:after="0"/>
              <w:jc w:val="both"/>
              <w:rPr>
                <w:bCs/>
              </w:rPr>
            </w:pPr>
            <w:r>
              <w:rPr>
                <w:bCs/>
              </w:rPr>
              <w:t>0.4</w:t>
            </w:r>
          </w:p>
          <w:p>
            <w:pPr>
              <w:pStyle w:val="Normal"/>
              <w:widowControl w:val="false"/>
              <w:snapToGrid w:val="false"/>
              <w:spacing w:lineRule="auto" w:line="360" w:before="0" w:after="0"/>
              <w:jc w:val="both"/>
              <w:rPr>
                <w:bCs/>
              </w:rPr>
            </w:pPr>
            <w:r>
              <w:rPr>
                <w:bCs/>
              </w:rPr>
              <w:t>0.3</w:t>
            </w:r>
          </w:p>
          <w:p>
            <w:pPr>
              <w:pStyle w:val="Normal"/>
              <w:widowControl w:val="false"/>
              <w:snapToGrid w:val="false"/>
              <w:spacing w:lineRule="auto" w:line="360" w:before="0" w:after="0"/>
              <w:jc w:val="both"/>
              <w:rPr>
                <w:bCs/>
              </w:rPr>
            </w:pPr>
            <w:r>
              <w:rPr>
                <w:bCs/>
              </w:rPr>
              <w:t>1</w:t>
            </w:r>
          </w:p>
          <w:p>
            <w:pPr>
              <w:pStyle w:val="Normal"/>
              <w:widowControl w:val="false"/>
              <w:snapToGrid w:val="false"/>
              <w:spacing w:lineRule="auto" w:line="360" w:before="0" w:after="0"/>
              <w:jc w:val="both"/>
              <w:rPr>
                <w:bCs/>
              </w:rPr>
            </w:pPr>
            <w:r>
              <w:rPr>
                <w:bCs/>
              </w:rPr>
              <w:t>0.4</w:t>
            </w:r>
          </w:p>
          <w:p>
            <w:pPr>
              <w:pStyle w:val="Normal"/>
              <w:widowControl w:val="false"/>
              <w:snapToGrid w:val="false"/>
              <w:spacing w:lineRule="auto" w:line="360" w:before="0" w:after="0"/>
              <w:jc w:val="both"/>
              <w:rPr>
                <w:bCs/>
              </w:rPr>
            </w:pPr>
            <w:r>
              <w:rPr>
                <w:bCs/>
              </w:rPr>
              <w:t>0.3</w:t>
            </w:r>
          </w:p>
          <w:p>
            <w:pPr>
              <w:pStyle w:val="Normal"/>
              <w:widowControl w:val="false"/>
              <w:snapToGrid w:val="false"/>
              <w:spacing w:lineRule="auto" w:line="360" w:before="0" w:after="0"/>
              <w:jc w:val="both"/>
              <w:rPr>
                <w:bCs/>
              </w:rPr>
            </w:pPr>
            <w:r>
              <w:rPr>
                <w:bCs/>
              </w:rPr>
              <w:t>0.3</w:t>
            </w:r>
          </w:p>
        </w:tc>
      </w:tr>
      <w:tr>
        <w:trPr/>
        <w:tc>
          <w:tcPr>
            <w:tcW w:w="69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center"/>
              <w:rPr>
                <w:bCs/>
              </w:rPr>
            </w:pPr>
            <w:r>
              <w:rPr>
                <w:bCs/>
              </w:rPr>
              <w:t>3.</w:t>
            </w:r>
          </w:p>
        </w:tc>
        <w:tc>
          <w:tcPr>
            <w:tcW w:w="154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bCs/>
              </w:rPr>
            </w:pPr>
            <w:r>
              <w:rPr>
                <w:bCs/>
              </w:rPr>
              <w:t>специалисты</w:t>
            </w:r>
          </w:p>
        </w:tc>
        <w:tc>
          <w:tcPr>
            <w:tcW w:w="2413" w:type="dxa"/>
            <w:tcBorders>
              <w:top w:val="single" w:sz="4" w:space="0" w:color="000000"/>
              <w:left w:val="single" w:sz="4" w:space="0" w:color="000000"/>
              <w:bottom w:val="single" w:sz="4" w:space="0" w:color="000000"/>
            </w:tcBorders>
          </w:tcPr>
          <w:p>
            <w:pPr>
              <w:pStyle w:val="Normal"/>
              <w:widowControl w:val="false"/>
              <w:snapToGrid w:val="false"/>
              <w:spacing w:lineRule="auto" w:line="360" w:before="0" w:after="0"/>
              <w:jc w:val="both"/>
              <w:rPr>
                <w:bCs/>
              </w:rPr>
            </w:pPr>
            <w:r>
              <w:rPr>
                <w:bCs/>
                <w:lang w:val="en-US"/>
              </w:rPr>
              <w:t>N. Ponomarenko</w:t>
            </w:r>
          </w:p>
        </w:tc>
        <w:tc>
          <w:tcPr>
            <w:tcW w:w="1846"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both"/>
              <w:rPr>
                <w:bCs/>
              </w:rPr>
            </w:pPr>
            <w:r>
              <w:rPr>
                <w:bCs/>
                <w:lang w:val="en-US"/>
              </w:rPr>
              <w:t>VBLHEP</w:t>
            </w:r>
          </w:p>
        </w:tc>
        <w:tc>
          <w:tcPr>
            <w:tcW w:w="211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bCs/>
              </w:rPr>
            </w:pPr>
            <w:r>
              <w:rPr>
                <w:bCs/>
                <w:lang w:val="en-US"/>
              </w:rPr>
              <w:t>S</w:t>
            </w:r>
            <w:r>
              <w:rPr>
                <w:bCs/>
              </w:rPr>
              <w:t>pecialists</w:t>
            </w:r>
          </w:p>
        </w:tc>
        <w:tc>
          <w:tcPr>
            <w:tcW w:w="1161"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both"/>
              <w:rPr>
                <w:bCs/>
              </w:rPr>
            </w:pPr>
            <w:r>
              <w:rPr>
                <w:bCs/>
                <w:lang w:val="en-US"/>
              </w:rPr>
              <w:t>0.3</w:t>
            </w:r>
          </w:p>
        </w:tc>
      </w:tr>
      <w:tr>
        <w:trPr/>
        <w:tc>
          <w:tcPr>
            <w:tcW w:w="69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center"/>
              <w:rPr>
                <w:bCs/>
              </w:rPr>
            </w:pPr>
            <w:r>
              <w:rPr>
                <w:bCs/>
              </w:rPr>
              <w:t>4.</w:t>
            </w:r>
          </w:p>
        </w:tc>
        <w:tc>
          <w:tcPr>
            <w:tcW w:w="154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bCs/>
              </w:rPr>
            </w:pPr>
            <w:r>
              <w:rPr>
                <w:bCs/>
              </w:rPr>
              <w:t>рабочие</w:t>
            </w:r>
          </w:p>
        </w:tc>
        <w:tc>
          <w:tcPr>
            <w:tcW w:w="2413" w:type="dxa"/>
            <w:tcBorders>
              <w:top w:val="single" w:sz="4" w:space="0" w:color="000000"/>
              <w:left w:val="single" w:sz="4" w:space="0" w:color="000000"/>
              <w:bottom w:val="single" w:sz="4" w:space="0" w:color="000000"/>
            </w:tcBorders>
          </w:tcPr>
          <w:p>
            <w:pPr>
              <w:pStyle w:val="Normal"/>
              <w:widowControl w:val="false"/>
              <w:snapToGrid w:val="false"/>
              <w:spacing w:lineRule="auto" w:line="360" w:before="0" w:after="0"/>
              <w:jc w:val="both"/>
              <w:rPr>
                <w:bCs/>
              </w:rPr>
            </w:pPr>
            <w:r>
              <w:rPr>
                <w:bCs/>
                <w:lang w:val="en-US"/>
              </w:rPr>
              <w:t>M. Serochkin</w:t>
            </w:r>
          </w:p>
        </w:tc>
        <w:tc>
          <w:tcPr>
            <w:tcW w:w="1846"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both"/>
              <w:rPr>
                <w:bCs/>
              </w:rPr>
            </w:pPr>
            <w:r>
              <w:rPr>
                <w:bCs/>
                <w:lang w:val="en-US"/>
              </w:rPr>
              <w:t>DLNP</w:t>
            </w:r>
          </w:p>
        </w:tc>
        <w:tc>
          <w:tcPr>
            <w:tcW w:w="2112"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both"/>
              <w:rPr>
                <w:bCs/>
              </w:rPr>
            </w:pPr>
            <w:r>
              <w:rPr>
                <w:bCs/>
                <w:lang w:val="en-US"/>
              </w:rPr>
              <w:t>Technician</w:t>
            </w:r>
          </w:p>
        </w:tc>
        <w:tc>
          <w:tcPr>
            <w:tcW w:w="1161"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both"/>
              <w:rPr>
                <w:bCs/>
                <w:lang w:val="en-US"/>
              </w:rPr>
            </w:pPr>
            <w:r>
              <w:rPr>
                <w:bCs/>
                <w:lang w:val="en-US"/>
              </w:rPr>
              <w:t>1</w:t>
            </w:r>
          </w:p>
        </w:tc>
      </w:tr>
      <w:tr>
        <w:trPr/>
        <w:tc>
          <w:tcPr>
            <w:tcW w:w="69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b/>
              </w:rPr>
            </w:pPr>
            <w:r>
              <w:rPr>
                <w:b/>
              </w:rPr>
            </w:r>
          </w:p>
        </w:tc>
        <w:tc>
          <w:tcPr>
            <w:tcW w:w="154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pPr>
            <w:r>
              <w:rPr>
                <w:b/>
              </w:rPr>
              <w:t>Итого</w:t>
            </w:r>
            <w:r>
              <w:rPr>
                <w:b/>
                <w:lang w:val="en-US"/>
              </w:rPr>
              <w:t>:</w:t>
            </w:r>
            <w:r>
              <w:rPr>
                <w:b/>
              </w:rPr>
              <w:t xml:space="preserve">  </w:t>
            </w:r>
          </w:p>
        </w:tc>
        <w:tc>
          <w:tcPr>
            <w:tcW w:w="2413" w:type="dxa"/>
            <w:tcBorders>
              <w:top w:val="single" w:sz="4" w:space="0" w:color="000000"/>
              <w:left w:val="single" w:sz="4" w:space="0" w:color="000000"/>
              <w:bottom w:val="single" w:sz="4" w:space="0" w:color="000000"/>
            </w:tcBorders>
          </w:tcPr>
          <w:p>
            <w:pPr>
              <w:pStyle w:val="Normal"/>
              <w:widowControl w:val="false"/>
              <w:snapToGrid w:val="false"/>
              <w:spacing w:lineRule="auto" w:line="360" w:before="0" w:after="0"/>
              <w:jc w:val="both"/>
              <w:rPr>
                <w:b/>
              </w:rPr>
            </w:pPr>
            <w:r>
              <w:rPr>
                <w:b/>
              </w:rPr>
            </w:r>
          </w:p>
        </w:tc>
        <w:tc>
          <w:tcPr>
            <w:tcW w:w="1846"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both"/>
              <w:rPr>
                <w:b/>
              </w:rPr>
            </w:pPr>
            <w:r>
              <w:rPr>
                <w:b/>
              </w:rPr>
            </w:r>
          </w:p>
        </w:tc>
        <w:tc>
          <w:tcPr>
            <w:tcW w:w="2112"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both"/>
              <w:rPr>
                <w:b/>
              </w:rPr>
            </w:pPr>
            <w:r>
              <w:rPr>
                <w:b/>
              </w:rPr>
            </w:r>
          </w:p>
        </w:tc>
        <w:tc>
          <w:tcPr>
            <w:tcW w:w="1161"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both"/>
              <w:rPr>
                <w:b/>
                <w:lang w:val="en-US"/>
              </w:rPr>
            </w:pPr>
            <w:r>
              <w:rPr>
                <w:b/>
                <w:lang w:val="en-US"/>
              </w:rPr>
              <w:t>36.</w:t>
            </w:r>
            <w:r>
              <w:rPr>
                <w:b/>
                <w:lang w:val="en-US"/>
              </w:rPr>
              <w:t>5</w:t>
            </w:r>
          </w:p>
        </w:tc>
      </w:tr>
    </w:tbl>
    <w:p>
      <w:pPr>
        <w:pStyle w:val="Normal"/>
        <w:spacing w:lineRule="atLeast" w:line="240" w:before="0" w:after="0"/>
        <w:jc w:val="both"/>
        <w:rPr>
          <w:b/>
        </w:rPr>
      </w:pPr>
      <w:r>
        <w:rPr>
          <w:b/>
        </w:rPr>
      </w:r>
    </w:p>
    <w:p>
      <w:pPr>
        <w:pStyle w:val="Normal"/>
        <w:spacing w:lineRule="atLeast" w:line="240"/>
        <w:jc w:val="both"/>
        <w:rPr>
          <w:bCs/>
        </w:rPr>
      </w:pPr>
      <w:r>
        <w:rPr>
          <w:b/>
        </w:rPr>
        <w:t xml:space="preserve">3.2.2. Ассоциированный персонал ОИЯИ </w:t>
      </w:r>
      <w:r>
        <w:rPr>
          <w:bCs/>
        </w:rPr>
        <w:t>(общее количество участников)</w:t>
      </w:r>
    </w:p>
    <w:tbl>
      <w:tblPr>
        <w:tblW w:w="981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704"/>
        <w:gridCol w:w="2835"/>
        <w:gridCol w:w="3689"/>
        <w:gridCol w:w="2581"/>
      </w:tblGrid>
      <w:tr>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160"/>
              <w:jc w:val="center"/>
              <w:rPr>
                <w:b/>
                <w:sz w:val="20"/>
                <w:szCs w:val="20"/>
              </w:rPr>
            </w:pPr>
            <w:r>
              <w:rPr>
                <w:b/>
                <w:sz w:val="20"/>
                <w:szCs w:val="20"/>
              </w:rPr>
              <w:t>№№</w:t>
            </w:r>
            <w:r>
              <w:rPr>
                <w:b/>
                <w:sz w:val="20"/>
                <w:szCs w:val="20"/>
              </w:rPr>
              <w:br/>
              <w:t>п/п</w:t>
            </w:r>
          </w:p>
        </w:tc>
        <w:tc>
          <w:tcPr>
            <w:tcW w:w="28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160"/>
              <w:jc w:val="center"/>
              <w:rPr>
                <w:b/>
                <w:sz w:val="20"/>
                <w:szCs w:val="20"/>
              </w:rPr>
            </w:pPr>
            <w:r>
              <w:rPr>
                <w:b/>
                <w:sz w:val="20"/>
                <w:szCs w:val="20"/>
              </w:rPr>
              <w:t>Категория работников</w:t>
            </w:r>
          </w:p>
        </w:tc>
        <w:tc>
          <w:tcPr>
            <w:tcW w:w="36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160"/>
              <w:jc w:val="center"/>
              <w:rPr>
                <w:b/>
                <w:sz w:val="20"/>
                <w:szCs w:val="20"/>
              </w:rPr>
            </w:pPr>
            <w:r>
              <w:rPr>
                <w:b/>
                <w:sz w:val="20"/>
                <w:szCs w:val="20"/>
              </w:rPr>
              <w:t>Организация-партнер</w:t>
            </w:r>
          </w:p>
        </w:tc>
        <w:tc>
          <w:tcPr>
            <w:tcW w:w="25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160"/>
              <w:jc w:val="center"/>
              <w:rPr>
                <w:b/>
                <w:sz w:val="20"/>
                <w:szCs w:val="20"/>
              </w:rPr>
            </w:pPr>
            <w:r>
              <w:rPr>
                <w:b/>
                <w:sz w:val="20"/>
                <w:szCs w:val="20"/>
              </w:rPr>
              <w:t>Сумма FTE</w:t>
            </w:r>
          </w:p>
        </w:tc>
      </w:tr>
      <w:tr>
        <w:trPr/>
        <w:tc>
          <w:tcPr>
            <w:tcW w:w="70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center"/>
              <w:rPr>
                <w:bCs/>
              </w:rPr>
            </w:pPr>
            <w:r>
              <w:rPr>
                <w:bCs/>
              </w:rPr>
              <w:t>1.</w:t>
            </w:r>
          </w:p>
        </w:tc>
        <w:tc>
          <w:tcPr>
            <w:tcW w:w="283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bCs/>
              </w:rPr>
            </w:pPr>
            <w:r>
              <w:rPr>
                <w:bCs/>
              </w:rPr>
              <w:t>научные работники</w:t>
            </w:r>
          </w:p>
        </w:tc>
        <w:tc>
          <w:tcPr>
            <w:tcW w:w="3689"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both"/>
              <w:rPr>
                <w:bCs/>
              </w:rPr>
            </w:pPr>
            <w:r>
              <w:rPr>
                <w:bCs/>
              </w:rPr>
              <w:t>ИЯФ</w:t>
            </w:r>
            <w:r>
              <w:rPr>
                <w:bCs/>
                <w:lang w:val="en-US"/>
              </w:rPr>
              <w:t xml:space="preserve"> (</w:t>
            </w:r>
            <w:r>
              <w:rPr>
                <w:bCs/>
              </w:rPr>
              <w:t>Новосибирск</w:t>
            </w:r>
            <w:r>
              <w:rPr>
                <w:bCs/>
                <w:lang w:val="en-US"/>
              </w:rPr>
              <w:t>)</w:t>
            </w:r>
          </w:p>
          <w:p>
            <w:pPr>
              <w:pStyle w:val="Normal"/>
              <w:widowControl w:val="false"/>
              <w:snapToGrid w:val="false"/>
              <w:spacing w:lineRule="auto" w:line="360" w:before="0" w:after="0"/>
              <w:jc w:val="both"/>
              <w:rPr>
                <w:bCs/>
              </w:rPr>
            </w:pPr>
            <w:r>
              <w:rPr>
                <w:bCs/>
              </w:rPr>
              <w:t>ТГУ (Томск)</w:t>
            </w:r>
          </w:p>
        </w:tc>
        <w:tc>
          <w:tcPr>
            <w:tcW w:w="2581"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both"/>
              <w:rPr>
                <w:bCs/>
              </w:rPr>
            </w:pPr>
            <w:r>
              <w:rPr>
                <w:bCs/>
              </w:rPr>
              <w:t>3</w:t>
            </w:r>
          </w:p>
          <w:p>
            <w:pPr>
              <w:pStyle w:val="Normal"/>
              <w:widowControl w:val="false"/>
              <w:snapToGrid w:val="false"/>
              <w:spacing w:lineRule="auto" w:line="360" w:before="0" w:after="0"/>
              <w:jc w:val="both"/>
              <w:rPr>
                <w:bCs/>
              </w:rPr>
            </w:pPr>
            <w:r>
              <w:rPr>
                <w:bCs/>
              </w:rPr>
              <w:t>3</w:t>
            </w:r>
          </w:p>
        </w:tc>
      </w:tr>
      <w:tr>
        <w:trPr>
          <w:trHeight w:val="314" w:hRule="atLeast"/>
        </w:trPr>
        <w:tc>
          <w:tcPr>
            <w:tcW w:w="70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center"/>
              <w:rPr>
                <w:bCs/>
              </w:rPr>
            </w:pPr>
            <w:r>
              <w:rPr>
                <w:bCs/>
              </w:rPr>
              <w:t>2.</w:t>
            </w:r>
          </w:p>
        </w:tc>
        <w:tc>
          <w:tcPr>
            <w:tcW w:w="283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bCs/>
              </w:rPr>
            </w:pPr>
            <w:r>
              <w:rPr>
                <w:bCs/>
              </w:rPr>
              <w:t>инженеры</w:t>
            </w:r>
          </w:p>
        </w:tc>
        <w:tc>
          <w:tcPr>
            <w:tcW w:w="3689"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both"/>
              <w:rPr>
                <w:bCs/>
              </w:rPr>
            </w:pPr>
            <w:r>
              <w:rPr>
                <w:bCs/>
              </w:rPr>
              <w:t>ФИАН</w:t>
            </w:r>
            <w:r>
              <w:rPr>
                <w:bCs/>
                <w:lang w:val="en-US"/>
              </w:rPr>
              <w:t xml:space="preserve"> (M</w:t>
            </w:r>
            <w:r>
              <w:rPr>
                <w:bCs/>
              </w:rPr>
              <w:t>осква</w:t>
            </w:r>
            <w:r>
              <w:rPr>
                <w:bCs/>
                <w:lang w:val="en-US"/>
              </w:rPr>
              <w:t>)</w:t>
            </w:r>
          </w:p>
        </w:tc>
        <w:tc>
          <w:tcPr>
            <w:tcW w:w="2581"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both"/>
              <w:rPr>
                <w:bCs/>
              </w:rPr>
            </w:pPr>
            <w:r>
              <w:rPr>
                <w:bCs/>
                <w:lang w:val="en-US"/>
              </w:rPr>
              <w:t>1</w:t>
            </w:r>
          </w:p>
        </w:tc>
      </w:tr>
      <w:tr>
        <w:trPr>
          <w:trHeight w:val="369" w:hRule="atLeast"/>
        </w:trPr>
        <w:tc>
          <w:tcPr>
            <w:tcW w:w="70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center"/>
              <w:rPr>
                <w:bCs/>
              </w:rPr>
            </w:pPr>
            <w:r>
              <w:rPr>
                <w:bCs/>
              </w:rPr>
              <w:t>3.</w:t>
            </w:r>
          </w:p>
        </w:tc>
        <w:tc>
          <w:tcPr>
            <w:tcW w:w="283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bCs/>
              </w:rPr>
            </w:pPr>
            <w:r>
              <w:rPr>
                <w:bCs/>
              </w:rPr>
              <w:t>специалисты</w:t>
            </w:r>
          </w:p>
        </w:tc>
        <w:tc>
          <w:tcPr>
            <w:tcW w:w="3689"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both"/>
              <w:rPr>
                <w:bCs/>
              </w:rPr>
            </w:pPr>
            <w:r>
              <w:rPr>
                <w:bCs/>
              </w:rPr>
            </w:r>
          </w:p>
        </w:tc>
        <w:tc>
          <w:tcPr>
            <w:tcW w:w="2581"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both"/>
              <w:rPr>
                <w:bCs/>
              </w:rPr>
            </w:pPr>
            <w:r>
              <w:rPr>
                <w:bCs/>
              </w:rPr>
            </w:r>
          </w:p>
        </w:tc>
      </w:tr>
      <w:tr>
        <w:trPr/>
        <w:tc>
          <w:tcPr>
            <w:tcW w:w="70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center"/>
              <w:rPr>
                <w:bCs/>
              </w:rPr>
            </w:pPr>
            <w:r>
              <w:rPr>
                <w:bCs/>
              </w:rPr>
              <w:t>4.</w:t>
            </w:r>
          </w:p>
        </w:tc>
        <w:tc>
          <w:tcPr>
            <w:tcW w:w="283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bCs/>
              </w:rPr>
            </w:pPr>
            <w:r>
              <w:rPr>
                <w:bCs/>
              </w:rPr>
              <w:t>рабочие</w:t>
            </w:r>
          </w:p>
        </w:tc>
        <w:tc>
          <w:tcPr>
            <w:tcW w:w="3689"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both"/>
              <w:rPr>
                <w:bCs/>
              </w:rPr>
            </w:pPr>
            <w:r>
              <w:rPr>
                <w:bCs/>
              </w:rPr>
            </w:r>
          </w:p>
        </w:tc>
        <w:tc>
          <w:tcPr>
            <w:tcW w:w="2581"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both"/>
              <w:rPr>
                <w:bCs/>
                <w:lang w:val="en-US"/>
              </w:rPr>
            </w:pPr>
            <w:r>
              <w:rPr>
                <w:bCs/>
                <w:lang w:val="en-US"/>
              </w:rPr>
            </w:r>
          </w:p>
        </w:tc>
      </w:tr>
      <w:tr>
        <w:trPr/>
        <w:tc>
          <w:tcPr>
            <w:tcW w:w="3539"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pPr>
            <w:r>
              <w:rPr>
                <w:b/>
              </w:rPr>
              <w:t>Итого</w:t>
            </w:r>
            <w:r>
              <w:rPr>
                <w:b/>
                <w:lang w:val="en-US"/>
              </w:rPr>
              <w:t>:</w:t>
            </w:r>
            <w:r>
              <w:rPr>
                <w:b/>
              </w:rPr>
              <w:t xml:space="preserve">  </w:t>
            </w:r>
          </w:p>
        </w:tc>
        <w:tc>
          <w:tcPr>
            <w:tcW w:w="3689"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both"/>
              <w:rPr>
                <w:b/>
              </w:rPr>
            </w:pPr>
            <w:r>
              <w:rPr>
                <w:b/>
              </w:rPr>
            </w:r>
          </w:p>
        </w:tc>
        <w:tc>
          <w:tcPr>
            <w:tcW w:w="2581"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both"/>
              <w:rPr>
                <w:b/>
              </w:rPr>
            </w:pPr>
            <w:bookmarkStart w:id="0" w:name="_Hlk126579434"/>
            <w:bookmarkEnd w:id="0"/>
            <w:r>
              <w:rPr>
                <w:b/>
              </w:rPr>
              <w:t>7</w:t>
            </w:r>
          </w:p>
        </w:tc>
      </w:tr>
    </w:tbl>
    <w:p>
      <w:pPr>
        <w:pStyle w:val="Normal"/>
        <w:spacing w:lineRule="atLeast" w:line="240" w:before="0" w:after="0"/>
        <w:jc w:val="both"/>
        <w:rPr/>
      </w:pPr>
      <w:r>
        <w:rPr/>
      </w:r>
    </w:p>
    <w:p>
      <w:pPr>
        <w:pStyle w:val="Normal"/>
        <w:spacing w:lineRule="atLeast" w:line="240" w:before="0" w:after="0"/>
        <w:jc w:val="both"/>
        <w:rPr>
          <w:b/>
        </w:rPr>
      </w:pPr>
      <w:r>
        <w:rPr>
          <w:b/>
        </w:rPr>
        <w:t>4. Финансовое обеспечение</w:t>
      </w:r>
    </w:p>
    <w:p>
      <w:pPr>
        <w:pStyle w:val="Normal"/>
        <w:spacing w:lineRule="atLeast" w:line="240" w:before="0" w:after="0"/>
        <w:jc w:val="both"/>
        <w:rPr>
          <w:b/>
        </w:rPr>
      </w:pPr>
      <w:r>
        <w:rPr>
          <w:b/>
        </w:rPr>
        <w:t xml:space="preserve">4.1. Полная сметная стоимость проекта </w:t>
      </w:r>
    </w:p>
    <w:p>
      <w:pPr>
        <w:pStyle w:val="Normal"/>
        <w:spacing w:lineRule="atLeast" w:line="240" w:before="0" w:after="0"/>
        <w:ind w:firstLine="426"/>
        <w:jc w:val="both"/>
        <w:rPr/>
      </w:pPr>
      <w:r>
        <w:rPr/>
        <w:t>В текущий момент в авторском списке коллаборации ATLAS находится 48 сотрудников ОИЯИ и ассоциированных с ОИЯИ ученых. Обязательства института по участию в сменах, эксплуатации детектора с одной стороны и поддержке программного обеспечения и сопутствующих задачах с другой, составляют около 2FTE и 9-10FTE соответственно.  Соответствующие этому масштабу участия ОИЯИ в коллаборации траты на международное сотрудничество составляют суммарно 530 х 5 = 2650k$ за 5 лет реализации проекта. Из них 300 х 5 = 1500k$ составляют авторские коллаборационные взносы. Оставшаяся сумма 230 х 5 = 1150k$ -- траты на командирование сотрудников в ЦЕРН для покрытия обязательств института по участию в эксперименте (смены,эксплуатация+ПО).</w:t>
      </w:r>
    </w:p>
    <w:p>
      <w:pPr>
        <w:pStyle w:val="Normal"/>
        <w:spacing w:lineRule="atLeast" w:line="240" w:before="0" w:after="0"/>
        <w:ind w:firstLine="426"/>
        <w:jc w:val="both"/>
        <w:rPr/>
      </w:pPr>
      <w:r>
        <w:rPr/>
        <w:t>Затраты, связанные с участием во второй фазе модернизации установки включают расходы на командирование сотрудников для участия в тестовых испытаниях детекторных систем на ускорителях ЦЕРН, проведения монтажных и сборочных работ, размещение оборудования в шахте и других совместных работах, что в сумме составит 1160</w:t>
      </w:r>
      <w:r>
        <w:rPr>
          <w:lang w:val="en-US"/>
        </w:rPr>
        <w:t>k</w:t>
      </w:r>
      <w:r>
        <w:rPr/>
        <w:t>$. Основные работы будут выполняться в Институте, и около 900</w:t>
      </w:r>
      <w:r>
        <w:rPr>
          <w:lang w:val="en-US"/>
        </w:rPr>
        <w:t>k</w:t>
      </w:r>
      <w:r>
        <w:rPr/>
        <w:t xml:space="preserve">$ будет израсходовано на приобретение материалов. Соответствующий вклад ОИЯИ составит около 12 </w:t>
      </w:r>
      <w:r>
        <w:rPr>
          <w:lang w:val="en-US"/>
        </w:rPr>
        <w:t>FTE</w:t>
      </w:r>
      <w:r>
        <w:rPr/>
        <w:t>.</w:t>
      </w:r>
    </w:p>
    <w:p>
      <w:pPr>
        <w:pStyle w:val="Normal"/>
        <w:spacing w:lineRule="atLeast" w:line="240" w:before="0" w:after="0"/>
        <w:ind w:firstLine="426"/>
        <w:jc w:val="both"/>
        <w:rPr/>
      </w:pPr>
      <w:r>
        <w:rPr/>
        <w:t>За время выполнения проекта его полная стоимость составит 5,040 тыс.долларов. Детализация приводится в отдельной форме.</w:t>
      </w:r>
    </w:p>
    <w:p>
      <w:pPr>
        <w:pStyle w:val="Normal"/>
        <w:spacing w:lineRule="exact" w:line="240" w:before="0" w:after="0"/>
        <w:jc w:val="both"/>
        <w:rPr/>
      </w:pPr>
      <w:r>
        <w:rPr/>
      </w:r>
    </w:p>
    <w:p>
      <w:pPr>
        <w:pStyle w:val="Normal"/>
        <w:spacing w:lineRule="exact" w:line="240" w:before="0" w:after="0"/>
        <w:jc w:val="both"/>
        <w:rPr>
          <w:b/>
        </w:rPr>
      </w:pPr>
      <w:r>
        <w:rPr>
          <w:b/>
        </w:rPr>
        <w:t xml:space="preserve">4.2. Внебюджетные источники финансирования </w:t>
      </w:r>
    </w:p>
    <w:p>
      <w:pPr>
        <w:pStyle w:val="Normal"/>
        <w:spacing w:lineRule="exact" w:line="240" w:before="0" w:after="0"/>
        <w:ind w:left="426"/>
        <w:jc w:val="both"/>
        <w:rPr/>
      </w:pPr>
      <w:r>
        <w:rPr/>
        <w:t>Предполагаемое финансирование со стороны соисполнителей/заказчиков (общий объем).</w:t>
      </w:r>
    </w:p>
    <w:p>
      <w:pPr>
        <w:pStyle w:val="Normal"/>
        <w:spacing w:lineRule="exact" w:line="240" w:before="0" w:after="0"/>
        <w:jc w:val="both"/>
        <w:rPr/>
      </w:pPr>
      <w:r>
        <w:rPr/>
      </w:r>
    </w:p>
    <w:p>
      <w:pPr>
        <w:pStyle w:val="Normal"/>
        <w:spacing w:lineRule="exact" w:line="240" w:before="0" w:after="0"/>
        <w:jc w:val="both"/>
        <w:rPr/>
      </w:pPr>
      <w:r>
        <w:rPr/>
      </w:r>
    </w:p>
    <w:p>
      <w:pPr>
        <w:pStyle w:val="Normal"/>
        <w:spacing w:lineRule="exact" w:line="240" w:before="0" w:after="0"/>
        <w:jc w:val="both"/>
        <w:rPr/>
      </w:pPr>
      <w:r>
        <w:rPr/>
      </w:r>
    </w:p>
    <w:p>
      <w:pPr>
        <w:pStyle w:val="Normal"/>
        <w:spacing w:lineRule="atLeast" w:line="240" w:before="0" w:after="0"/>
        <w:jc w:val="both"/>
        <w:rPr/>
      </w:pPr>
      <w:r>
        <w:rPr>
          <w:b/>
          <w:bCs/>
        </w:rPr>
        <w:t xml:space="preserve">Руководитель проекта </w:t>
        <w:tab/>
      </w:r>
      <w:r>
        <w:rPr/>
        <w:t>_________/_________________/</w:t>
      </w:r>
    </w:p>
    <w:p>
      <w:pPr>
        <w:pStyle w:val="Normal"/>
        <w:spacing w:lineRule="atLeast" w:line="240" w:before="0" w:after="0"/>
        <w:jc w:val="both"/>
        <w:rPr/>
      </w:pPr>
      <w:r>
        <w:rPr/>
      </w:r>
    </w:p>
    <w:p>
      <w:pPr>
        <w:pStyle w:val="Normal"/>
        <w:spacing w:lineRule="atLeast" w:line="240" w:before="0" w:after="0"/>
        <w:jc w:val="both"/>
        <w:rPr/>
      </w:pPr>
      <w:r>
        <w:rPr/>
      </w:r>
    </w:p>
    <w:p>
      <w:pPr>
        <w:pStyle w:val="Normal"/>
        <w:spacing w:lineRule="atLeast" w:line="240" w:before="0" w:after="0"/>
        <w:jc w:val="both"/>
        <w:rPr/>
      </w:pPr>
      <w:r>
        <w:rPr/>
      </w:r>
    </w:p>
    <w:p>
      <w:pPr>
        <w:pStyle w:val="Normal"/>
        <w:spacing w:lineRule="atLeast" w:line="240" w:before="0" w:after="0"/>
        <w:jc w:val="both"/>
        <w:rPr/>
      </w:pPr>
      <w:r>
        <w:rPr/>
      </w:r>
    </w:p>
    <w:p>
      <w:pPr>
        <w:pStyle w:val="Normal"/>
        <w:spacing w:lineRule="atLeast" w:line="240" w:before="0" w:after="0"/>
        <w:jc w:val="both"/>
        <w:rPr/>
      </w:pPr>
      <w:r>
        <w:rPr/>
      </w:r>
    </w:p>
    <w:p>
      <w:pPr>
        <w:pStyle w:val="Normal"/>
        <w:spacing w:lineRule="atLeast" w:line="240" w:before="0" w:after="0"/>
        <w:jc w:val="both"/>
        <w:rPr/>
      </w:pPr>
      <w:r>
        <w:rPr/>
      </w:r>
    </w:p>
    <w:p>
      <w:pPr>
        <w:pStyle w:val="Normal"/>
        <w:spacing w:lineRule="atLeast" w:line="240" w:before="0" w:after="0"/>
        <w:jc w:val="both"/>
        <w:rPr/>
      </w:pPr>
      <w:r>
        <w:rPr/>
      </w:r>
    </w:p>
    <w:p>
      <w:pPr>
        <w:pStyle w:val="Normal"/>
        <w:spacing w:lineRule="atLeast" w:line="240" w:before="0" w:after="0"/>
        <w:jc w:val="both"/>
        <w:rPr/>
      </w:pPr>
      <w:r>
        <w:rPr/>
      </w:r>
    </w:p>
    <w:p>
      <w:pPr>
        <w:pStyle w:val="Normal"/>
        <w:spacing w:lineRule="atLeast" w:line="240" w:before="0" w:after="0"/>
        <w:jc w:val="both"/>
        <w:rPr/>
      </w:pPr>
      <w:r>
        <w:rPr/>
      </w:r>
    </w:p>
    <w:p>
      <w:pPr>
        <w:pStyle w:val="Normal"/>
        <w:spacing w:lineRule="atLeast" w:line="240" w:before="0" w:after="0"/>
        <w:jc w:val="both"/>
        <w:rPr/>
      </w:pPr>
      <w:r>
        <w:rPr/>
      </w:r>
    </w:p>
    <w:p>
      <w:pPr>
        <w:pStyle w:val="Normal"/>
        <w:spacing w:lineRule="atLeast" w:line="240" w:before="0" w:after="0"/>
        <w:jc w:val="both"/>
        <w:rPr/>
      </w:pPr>
      <w:r>
        <w:rPr/>
        <w:t>Дата представления проекта в ДНОД _________</w:t>
      </w:r>
    </w:p>
    <w:p>
      <w:pPr>
        <w:pStyle w:val="Normal"/>
        <w:spacing w:lineRule="atLeast" w:line="240" w:before="0" w:after="0"/>
        <w:jc w:val="both"/>
        <w:rPr/>
      </w:pPr>
      <w:r>
        <w:rPr/>
        <w:t>Дата решения НТС Лаборатории _________, номер документа _________</w:t>
      </w:r>
    </w:p>
    <w:p>
      <w:pPr>
        <w:pStyle w:val="Normal"/>
        <w:spacing w:lineRule="auto" w:line="360" w:before="0" w:after="0"/>
        <w:jc w:val="both"/>
        <w:rPr/>
      </w:pPr>
      <w:r>
        <w:rPr/>
        <w:t>Год начала проекта ________________</w:t>
      </w:r>
    </w:p>
    <w:p>
      <w:pPr>
        <w:pStyle w:val="Normal"/>
        <w:spacing w:lineRule="auto" w:line="360" w:before="0" w:after="0"/>
        <w:jc w:val="both"/>
        <w:rPr/>
      </w:pPr>
      <w:r>
        <w:rPr/>
        <w:t>(для продлеваемых проектов) –– год начала работ по проекту __________</w:t>
      </w:r>
    </w:p>
    <w:p>
      <w:pPr>
        <w:pStyle w:val="Normal"/>
        <w:spacing w:lineRule="auto" w:line="360" w:before="0" w:after="0"/>
        <w:jc w:val="both"/>
        <w:rPr/>
      </w:pPr>
      <w:r>
        <w:rPr/>
      </w:r>
    </w:p>
    <w:p>
      <w:pPr>
        <w:pStyle w:val="Normal"/>
        <w:spacing w:lineRule="auto" w:line="240" w:before="0" w:after="0"/>
        <w:ind w:firstLine="708"/>
        <w:jc w:val="center"/>
        <w:rPr>
          <w:b/>
          <w:bCs/>
        </w:rPr>
      </w:pPr>
      <w:r>
        <w:rPr>
          <w:b/>
          <w:bCs/>
        </w:rPr>
        <w:t xml:space="preserve">Предлагаемый план-график и необходимые ресурсы </w:t>
        <w:br/>
        <w:t>для осуществления проекта</w:t>
      </w:r>
    </w:p>
    <w:tbl>
      <w:tblPr>
        <w:tblW w:w="9900" w:type="dxa"/>
        <w:jc w:val="left"/>
        <w:tblInd w:w="0" w:type="dxa"/>
        <w:tblLayout w:type="fixed"/>
        <w:tblCellMar>
          <w:top w:w="0" w:type="dxa"/>
          <w:left w:w="108" w:type="dxa"/>
          <w:bottom w:w="0" w:type="dxa"/>
          <w:right w:w="108" w:type="dxa"/>
        </w:tblCellMar>
        <w:tblLook w:val="01e0" w:noHBand="0" w:noVBand="0" w:firstColumn="1" w:lastRow="1" w:lastColumn="1" w:firstRow="1"/>
      </w:tblPr>
      <w:tblGrid>
        <w:gridCol w:w="670"/>
        <w:gridCol w:w="600"/>
        <w:gridCol w:w="3680"/>
        <w:gridCol w:w="1434"/>
        <w:gridCol w:w="722"/>
        <w:gridCol w:w="759"/>
        <w:gridCol w:w="678"/>
        <w:gridCol w:w="678"/>
        <w:gridCol w:w="678"/>
      </w:tblGrid>
      <w:tr>
        <w:trPr>
          <w:trHeight w:val="753" w:hRule="atLeast"/>
        </w:trPr>
        <w:tc>
          <w:tcPr>
            <w:tcW w:w="4950" w:type="dxa"/>
            <w:gridSpan w:val="3"/>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jc w:val="center"/>
              <w:rPr>
                <w:rFonts w:eastAsia="Calibri"/>
                <w:b/>
                <w:bCs/>
                <w:sz w:val="20"/>
                <w:szCs w:val="20"/>
              </w:rPr>
            </w:pPr>
            <w:r>
              <w:rPr>
                <w:rFonts w:eastAsia="Calibri"/>
                <w:b/>
                <w:bCs/>
                <w:sz w:val="20"/>
                <w:szCs w:val="20"/>
              </w:rPr>
              <w:t xml:space="preserve">Наименования затрат, ресурсов, </w:t>
            </w:r>
          </w:p>
          <w:p>
            <w:pPr>
              <w:pStyle w:val="Normal"/>
              <w:widowControl w:val="false"/>
              <w:spacing w:before="0" w:after="0"/>
              <w:jc w:val="center"/>
              <w:rPr>
                <w:rFonts w:eastAsia="Calibri"/>
                <w:b/>
                <w:bCs/>
                <w:sz w:val="20"/>
                <w:szCs w:val="20"/>
              </w:rPr>
            </w:pPr>
            <w:r>
              <w:rPr>
                <w:rFonts w:eastAsia="Calibri"/>
                <w:b/>
                <w:bCs/>
                <w:sz w:val="20"/>
                <w:szCs w:val="20"/>
              </w:rPr>
              <w:t>источников финансирования</w:t>
            </w:r>
          </w:p>
        </w:tc>
        <w:tc>
          <w:tcPr>
            <w:tcW w:w="1434" w:type="dxa"/>
            <w:vMerge w:val="restar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pPr>
              <w:pStyle w:val="Normal"/>
              <w:widowControl w:val="false"/>
              <w:spacing w:before="0" w:after="160"/>
              <w:jc w:val="center"/>
              <w:rPr>
                <w:rFonts w:eastAsia="Calibri"/>
                <w:b/>
                <w:bCs/>
                <w:sz w:val="20"/>
                <w:szCs w:val="20"/>
              </w:rPr>
            </w:pPr>
            <w:r>
              <w:rPr>
                <w:rFonts w:eastAsia="Calibri"/>
                <w:b/>
                <w:bCs/>
                <w:sz w:val="20"/>
                <w:szCs w:val="20"/>
              </w:rPr>
              <w:t>Стоимость (тыс. долл.) потребности в ресурсах</w:t>
            </w:r>
          </w:p>
        </w:tc>
        <w:tc>
          <w:tcPr>
            <w:tcW w:w="3515" w:type="dxa"/>
            <w:gridSpan w:val="5"/>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0"/>
              <w:jc w:val="center"/>
              <w:rPr>
                <w:rFonts w:eastAsia="Calibri"/>
                <w:b/>
                <w:bCs/>
                <w:sz w:val="20"/>
                <w:szCs w:val="20"/>
              </w:rPr>
            </w:pPr>
            <w:r>
              <w:rPr>
                <w:rFonts w:eastAsia="Calibri"/>
                <w:b/>
                <w:bCs/>
                <w:sz w:val="20"/>
                <w:szCs w:val="20"/>
              </w:rPr>
              <w:t xml:space="preserve">Стоимость (тыс.долл.), </w:t>
            </w:r>
          </w:p>
          <w:p>
            <w:pPr>
              <w:pStyle w:val="Normal"/>
              <w:widowControl w:val="false"/>
              <w:spacing w:lineRule="atLeast" w:line="240" w:before="0" w:after="0"/>
              <w:jc w:val="center"/>
              <w:rPr>
                <w:rFonts w:eastAsia="Calibri"/>
                <w:b/>
                <w:bCs/>
                <w:sz w:val="20"/>
                <w:szCs w:val="20"/>
              </w:rPr>
            </w:pPr>
            <w:r>
              <w:rPr>
                <w:rFonts w:eastAsia="Calibri"/>
                <w:b/>
                <w:bCs/>
                <w:sz w:val="20"/>
                <w:szCs w:val="20"/>
              </w:rPr>
              <w:t>распределение по годам</w:t>
            </w:r>
          </w:p>
        </w:tc>
      </w:tr>
      <w:tr>
        <w:trPr>
          <w:trHeight w:val="209" w:hRule="atLeast"/>
        </w:trPr>
        <w:tc>
          <w:tcPr>
            <w:tcW w:w="4950" w:type="dxa"/>
            <w:gridSpan w:val="3"/>
            <w:vMerge w:val="continue"/>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jc w:val="both"/>
              <w:rPr>
                <w:rFonts w:eastAsia="Calibri"/>
                <w:b/>
                <w:bCs/>
                <w:sz w:val="20"/>
                <w:szCs w:val="20"/>
              </w:rPr>
            </w:pPr>
            <w:r>
              <w:rPr>
                <w:rFonts w:eastAsia="Calibri"/>
                <w:b/>
                <w:bCs/>
                <w:sz w:val="20"/>
                <w:szCs w:val="20"/>
              </w:rPr>
            </w:r>
          </w:p>
        </w:tc>
        <w:tc>
          <w:tcPr>
            <w:tcW w:w="14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jc w:val="both"/>
              <w:rPr>
                <w:rFonts w:eastAsia="Calibri"/>
                <w:b/>
                <w:bCs/>
                <w:sz w:val="20"/>
                <w:szCs w:val="20"/>
              </w:rPr>
            </w:pPr>
            <w:r>
              <w:rPr>
                <w:rFonts w:eastAsia="Calibri"/>
                <w:b/>
                <w:bCs/>
                <w:sz w:val="20"/>
                <w:szCs w:val="20"/>
              </w:rPr>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0"/>
              <w:jc w:val="center"/>
              <w:rPr>
                <w:rFonts w:eastAsia="Calibri"/>
                <w:sz w:val="20"/>
                <w:szCs w:val="20"/>
              </w:rPr>
            </w:pPr>
            <w:r>
              <w:rPr>
                <w:rFonts w:eastAsia="Calibri"/>
                <w:sz w:val="20"/>
                <w:szCs w:val="20"/>
              </w:rPr>
              <w:t>1 год</w:t>
            </w:r>
          </w:p>
        </w:tc>
        <w:tc>
          <w:tcPr>
            <w:tcW w:w="7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0"/>
              <w:jc w:val="center"/>
              <w:rPr>
                <w:rFonts w:eastAsia="Calibri"/>
                <w:sz w:val="20"/>
                <w:szCs w:val="20"/>
              </w:rPr>
            </w:pPr>
            <w:r>
              <w:rPr>
                <w:rFonts w:eastAsia="Calibri"/>
                <w:sz w:val="20"/>
                <w:szCs w:val="20"/>
              </w:rPr>
              <w:t>2 год</w:t>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0"/>
              <w:jc w:val="center"/>
              <w:rPr>
                <w:rFonts w:eastAsia="Calibri"/>
                <w:sz w:val="20"/>
                <w:szCs w:val="20"/>
              </w:rPr>
            </w:pPr>
            <w:r>
              <w:rPr>
                <w:rFonts w:eastAsia="Calibri"/>
                <w:sz w:val="20"/>
                <w:szCs w:val="20"/>
              </w:rPr>
              <w:t>3 год</w:t>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0"/>
              <w:jc w:val="center"/>
              <w:rPr>
                <w:rFonts w:eastAsia="Calibri"/>
                <w:sz w:val="20"/>
                <w:szCs w:val="20"/>
              </w:rPr>
            </w:pPr>
            <w:r>
              <w:rPr>
                <w:rFonts w:eastAsia="Calibri"/>
                <w:sz w:val="20"/>
                <w:szCs w:val="20"/>
              </w:rPr>
              <w:t>4 год</w:t>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0"/>
              <w:jc w:val="center"/>
              <w:rPr>
                <w:rFonts w:eastAsia="Calibri"/>
                <w:sz w:val="20"/>
                <w:szCs w:val="20"/>
              </w:rPr>
            </w:pPr>
            <w:r>
              <w:rPr>
                <w:rFonts w:eastAsia="Calibri"/>
                <w:sz w:val="20"/>
                <w:szCs w:val="20"/>
              </w:rPr>
              <w:t>5 год</w:t>
            </w:r>
          </w:p>
        </w:tc>
      </w:tr>
      <w:tr>
        <w:trPr>
          <w:trHeight w:val="388" w:hRule="atLeast"/>
        </w:trPr>
        <w:tc>
          <w:tcPr>
            <w:tcW w:w="1270" w:type="dxa"/>
            <w:gridSpan w:val="2"/>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both"/>
              <w:rPr>
                <w:rFonts w:eastAsia="Calibri"/>
                <w:b/>
                <w:bCs/>
              </w:rPr>
            </w:pPr>
            <w:r>
              <w:rPr>
                <w:rFonts w:eastAsia="Calibri"/>
                <w:b/>
                <w:bCs/>
              </w:rPr>
            </w:r>
          </w:p>
        </w:tc>
        <w:tc>
          <w:tcPr>
            <w:tcW w:w="368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both"/>
              <w:rPr>
                <w:bCs/>
              </w:rPr>
            </w:pPr>
            <w:r>
              <w:rPr>
                <w:bCs/>
              </w:rPr>
              <w:t>Международное сотрудничество (МНТС)</w:t>
            </w:r>
          </w:p>
        </w:tc>
        <w:tc>
          <w:tcPr>
            <w:tcW w:w="14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lang w:val="en-US"/>
              </w:rPr>
            </w:pPr>
            <w:r>
              <w:rPr>
                <w:rFonts w:eastAsia="Calibri"/>
                <w:lang w:val="en-US"/>
              </w:rPr>
              <w:t>3810</w:t>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lang w:val="en-US"/>
              </w:rPr>
              <w:t>77</w:t>
            </w:r>
            <w:r>
              <w:rPr>
                <w:rFonts w:eastAsia="Calibri"/>
              </w:rPr>
              <w:t>0</w:t>
            </w:r>
          </w:p>
        </w:tc>
        <w:tc>
          <w:tcPr>
            <w:tcW w:w="7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lang w:val="en-US"/>
              </w:rPr>
              <w:t>77</w:t>
            </w:r>
            <w:r>
              <w:rPr>
                <w:rFonts w:eastAsia="Calibri"/>
              </w:rPr>
              <w:t>0</w:t>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lang w:val="en-US"/>
              </w:rPr>
              <w:t>77</w:t>
            </w:r>
            <w:r>
              <w:rPr>
                <w:rFonts w:eastAsia="Calibri"/>
              </w:rPr>
              <w:t>0</w:t>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lang w:val="en-US"/>
              </w:rPr>
              <w:t>75</w:t>
            </w:r>
            <w:r>
              <w:rPr>
                <w:rFonts w:eastAsia="Calibri"/>
              </w:rPr>
              <w:t>0</w:t>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lang w:val="en-US"/>
              </w:rPr>
              <w:t>75</w:t>
            </w:r>
            <w:r>
              <w:rPr>
                <w:rFonts w:eastAsia="Calibri"/>
              </w:rPr>
              <w:t>0</w:t>
            </w:r>
          </w:p>
        </w:tc>
      </w:tr>
      <w:tr>
        <w:trPr>
          <w:trHeight w:val="407" w:hRule="atLeast"/>
        </w:trPr>
        <w:tc>
          <w:tcPr>
            <w:tcW w:w="1270" w:type="dxa"/>
            <w:gridSpan w:val="2"/>
            <w:vMerge w:val="continue"/>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jc w:val="both"/>
              <w:rPr>
                <w:rFonts w:eastAsia="Calibri"/>
                <w:b/>
                <w:bCs/>
              </w:rPr>
            </w:pPr>
            <w:r>
              <w:rPr>
                <w:rFonts w:eastAsia="Calibri"/>
                <w:b/>
                <w:bCs/>
              </w:rPr>
            </w:r>
          </w:p>
        </w:tc>
        <w:tc>
          <w:tcPr>
            <w:tcW w:w="368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both"/>
              <w:rPr>
                <w:bCs/>
              </w:rPr>
            </w:pPr>
            <w:r>
              <w:rPr>
                <w:bCs/>
              </w:rPr>
              <w:t xml:space="preserve">Материалы </w:t>
            </w:r>
          </w:p>
        </w:tc>
        <w:tc>
          <w:tcPr>
            <w:tcW w:w="14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lang w:val="en-US"/>
              </w:rPr>
            </w:pPr>
            <w:r>
              <w:rPr>
                <w:rFonts w:eastAsia="Calibri"/>
                <w:lang w:val="en-US"/>
              </w:rPr>
              <w:t>900</w:t>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lang w:val="en-US"/>
              </w:rPr>
            </w:pPr>
            <w:r>
              <w:rPr>
                <w:rFonts w:eastAsia="Calibri"/>
                <w:lang w:val="en-US"/>
              </w:rPr>
              <w:t>480</w:t>
            </w:r>
          </w:p>
        </w:tc>
        <w:tc>
          <w:tcPr>
            <w:tcW w:w="7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lang w:val="en-US"/>
              </w:rPr>
            </w:pPr>
            <w:r>
              <w:rPr>
                <w:rFonts w:eastAsia="Calibri"/>
                <w:lang w:val="en-US"/>
              </w:rPr>
              <w:t>270</w:t>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lang w:val="en-US"/>
              </w:rPr>
            </w:pPr>
            <w:r>
              <w:rPr>
                <w:rFonts w:eastAsia="Calibri"/>
                <w:lang w:val="en-US"/>
              </w:rPr>
              <w:t>90</w:t>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lang w:val="en-US"/>
              </w:rPr>
            </w:pPr>
            <w:r>
              <w:rPr>
                <w:rFonts w:eastAsia="Calibri"/>
                <w:lang w:val="en-US"/>
              </w:rPr>
              <w:t>30</w:t>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lang w:val="en-US"/>
              </w:rPr>
            </w:pPr>
            <w:r>
              <w:rPr>
                <w:rFonts w:eastAsia="Calibri"/>
                <w:lang w:val="en-US"/>
              </w:rPr>
              <w:t>30</w:t>
            </w:r>
          </w:p>
        </w:tc>
      </w:tr>
      <w:tr>
        <w:trPr>
          <w:trHeight w:val="171" w:hRule="atLeast"/>
        </w:trPr>
        <w:tc>
          <w:tcPr>
            <w:tcW w:w="1270" w:type="dxa"/>
            <w:gridSpan w:val="2"/>
            <w:vMerge w:val="continue"/>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jc w:val="both"/>
              <w:rPr>
                <w:rFonts w:eastAsia="Calibri"/>
                <w:b/>
                <w:bCs/>
              </w:rPr>
            </w:pPr>
            <w:r>
              <w:rPr>
                <w:rFonts w:eastAsia="Calibri"/>
                <w:b/>
                <w:bCs/>
              </w:rPr>
            </w:r>
          </w:p>
        </w:tc>
        <w:tc>
          <w:tcPr>
            <w:tcW w:w="368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0"/>
              <w:rPr>
                <w:bCs/>
              </w:rPr>
            </w:pPr>
            <w:r>
              <w:rPr>
                <w:bCs/>
              </w:rPr>
              <w:t xml:space="preserve">Оборудование и услуги сторонних организаций </w:t>
            </w:r>
          </w:p>
          <w:p>
            <w:pPr>
              <w:pStyle w:val="Normal"/>
              <w:widowControl w:val="false"/>
              <w:spacing w:lineRule="atLeast" w:line="240" w:before="0" w:after="0"/>
              <w:rPr>
                <w:bCs/>
              </w:rPr>
            </w:pPr>
            <w:r>
              <w:rPr>
                <w:bCs/>
              </w:rPr>
              <w:t>(пуско-наладочные работы)</w:t>
            </w:r>
          </w:p>
        </w:tc>
        <w:tc>
          <w:tcPr>
            <w:tcW w:w="14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7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r>
      <w:tr>
        <w:trPr>
          <w:trHeight w:val="171" w:hRule="atLeast"/>
        </w:trPr>
        <w:tc>
          <w:tcPr>
            <w:tcW w:w="1270" w:type="dxa"/>
            <w:gridSpan w:val="2"/>
            <w:vMerge w:val="continue"/>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jc w:val="both"/>
              <w:rPr>
                <w:rFonts w:eastAsia="Calibri"/>
                <w:b/>
                <w:bCs/>
              </w:rPr>
            </w:pPr>
            <w:r>
              <w:rPr>
                <w:rFonts w:eastAsia="Calibri"/>
                <w:b/>
                <w:bCs/>
              </w:rPr>
            </w:r>
          </w:p>
        </w:tc>
        <w:tc>
          <w:tcPr>
            <w:tcW w:w="368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rPr>
                <w:bCs/>
                <w:highlight w:val="white"/>
              </w:rPr>
            </w:pPr>
            <w:r>
              <w:rPr>
                <w:bCs/>
                <w:shd w:fill="FFFFFF" w:val="clear"/>
              </w:rPr>
              <w:t>Пуско-наладочные работы</w:t>
            </w:r>
          </w:p>
        </w:tc>
        <w:tc>
          <w:tcPr>
            <w:tcW w:w="14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7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r>
      <w:tr>
        <w:trPr>
          <w:trHeight w:val="171" w:hRule="atLeast"/>
        </w:trPr>
        <w:tc>
          <w:tcPr>
            <w:tcW w:w="1270" w:type="dxa"/>
            <w:gridSpan w:val="2"/>
            <w:vMerge w:val="continue"/>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jc w:val="both"/>
              <w:rPr>
                <w:rFonts w:eastAsia="Calibri"/>
                <w:b/>
                <w:bCs/>
              </w:rPr>
            </w:pPr>
            <w:r>
              <w:rPr>
                <w:rFonts w:eastAsia="Calibri"/>
                <w:b/>
                <w:bCs/>
              </w:rPr>
            </w:r>
          </w:p>
        </w:tc>
        <w:tc>
          <w:tcPr>
            <w:tcW w:w="3680" w:type="dxa"/>
            <w:tcBorders>
              <w:left w:val="single" w:sz="4" w:space="0" w:color="000000"/>
              <w:bottom w:val="single" w:sz="4" w:space="0" w:color="000000"/>
              <w:right w:val="single" w:sz="4" w:space="0" w:color="000000"/>
            </w:tcBorders>
            <w:vAlign w:val="center"/>
          </w:tcPr>
          <w:p>
            <w:pPr>
              <w:pStyle w:val="Normal"/>
              <w:widowControl w:val="false"/>
              <w:spacing w:before="0" w:after="160"/>
              <w:rPr>
                <w:bCs/>
              </w:rPr>
            </w:pPr>
            <w:r>
              <w:rPr>
                <w:bCs/>
              </w:rPr>
              <w:t xml:space="preserve">Услуги научно-исследовательских организаций </w:t>
            </w:r>
          </w:p>
        </w:tc>
        <w:tc>
          <w:tcPr>
            <w:tcW w:w="1434" w:type="dxa"/>
            <w:tcBorders>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t>2</w:t>
            </w:r>
            <w:r>
              <w:rPr>
                <w:rFonts w:eastAsia="Calibri"/>
                <w:lang w:val="en-US"/>
              </w:rPr>
              <w:t>7</w:t>
            </w:r>
            <w:r>
              <w:rPr>
                <w:rFonts w:eastAsia="Calibri"/>
              </w:rPr>
              <w:t xml:space="preserve">0 </w:t>
            </w:r>
          </w:p>
        </w:tc>
        <w:tc>
          <w:tcPr>
            <w:tcW w:w="722" w:type="dxa"/>
            <w:tcBorders>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lang w:val="en-US"/>
              </w:rPr>
              <w:t>6</w:t>
            </w:r>
            <w:r>
              <w:rPr>
                <w:rFonts w:eastAsia="Calibri"/>
              </w:rPr>
              <w:t>0</w:t>
            </w:r>
          </w:p>
        </w:tc>
        <w:tc>
          <w:tcPr>
            <w:tcW w:w="759" w:type="dxa"/>
            <w:tcBorders>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lang w:val="en-US"/>
              </w:rPr>
              <w:t>6</w:t>
            </w:r>
            <w:r>
              <w:rPr>
                <w:rFonts w:eastAsia="Calibri"/>
              </w:rPr>
              <w:t>0</w:t>
            </w:r>
          </w:p>
        </w:tc>
        <w:tc>
          <w:tcPr>
            <w:tcW w:w="678" w:type="dxa"/>
            <w:tcBorders>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t>50</w:t>
            </w:r>
          </w:p>
        </w:tc>
        <w:tc>
          <w:tcPr>
            <w:tcW w:w="678" w:type="dxa"/>
            <w:tcBorders>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t>50</w:t>
            </w:r>
          </w:p>
        </w:tc>
        <w:tc>
          <w:tcPr>
            <w:tcW w:w="678" w:type="dxa"/>
            <w:tcBorders>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t>50</w:t>
            </w:r>
          </w:p>
        </w:tc>
      </w:tr>
      <w:tr>
        <w:trPr>
          <w:trHeight w:val="362" w:hRule="atLeast"/>
        </w:trPr>
        <w:tc>
          <w:tcPr>
            <w:tcW w:w="1270" w:type="dxa"/>
            <w:gridSpan w:val="2"/>
            <w:vMerge w:val="continue"/>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jc w:val="both"/>
              <w:rPr>
                <w:rFonts w:eastAsia="Calibri"/>
                <w:b/>
                <w:bCs/>
              </w:rPr>
            </w:pPr>
            <w:r>
              <w:rPr>
                <w:rFonts w:eastAsia="Calibri"/>
                <w:b/>
                <w:bCs/>
              </w:rPr>
            </w:r>
          </w:p>
        </w:tc>
        <w:tc>
          <w:tcPr>
            <w:tcW w:w="368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rPr>
                <w:rFonts w:eastAsia="Calibri"/>
              </w:rPr>
            </w:pPr>
            <w:r>
              <w:rPr>
                <w:rFonts w:eastAsia="Calibri"/>
              </w:rPr>
              <w:t>Приобретение программного обеспечения</w:t>
            </w:r>
          </w:p>
        </w:tc>
        <w:tc>
          <w:tcPr>
            <w:tcW w:w="14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t>50</w:t>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t>10</w:t>
            </w:r>
          </w:p>
        </w:tc>
        <w:tc>
          <w:tcPr>
            <w:tcW w:w="7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t>10</w:t>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t>10</w:t>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t>10</w:t>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t>10</w:t>
            </w:r>
          </w:p>
        </w:tc>
      </w:tr>
      <w:tr>
        <w:trPr>
          <w:trHeight w:val="380" w:hRule="atLeast"/>
        </w:trPr>
        <w:tc>
          <w:tcPr>
            <w:tcW w:w="1270" w:type="dxa"/>
            <w:gridSpan w:val="2"/>
            <w:vMerge w:val="continue"/>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jc w:val="both"/>
              <w:rPr>
                <w:rFonts w:eastAsia="Calibri"/>
                <w:b/>
                <w:bCs/>
              </w:rPr>
            </w:pPr>
            <w:r>
              <w:rPr>
                <w:rFonts w:eastAsia="Calibri"/>
                <w:b/>
                <w:bCs/>
              </w:rPr>
            </w:r>
          </w:p>
        </w:tc>
        <w:tc>
          <w:tcPr>
            <w:tcW w:w="368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rPr>
                <w:rFonts w:eastAsia="Calibri"/>
              </w:rPr>
            </w:pPr>
            <w:r>
              <w:rPr>
                <w:rFonts w:eastAsia="Calibri"/>
              </w:rPr>
              <w:t>Проектирование/строительство</w:t>
            </w:r>
          </w:p>
        </w:tc>
        <w:tc>
          <w:tcPr>
            <w:tcW w:w="14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lang w:val="en-US"/>
              </w:rPr>
            </w:pPr>
            <w:r>
              <w:rPr>
                <w:rFonts w:eastAsia="Calibri"/>
                <w:lang w:val="en-US"/>
              </w:rPr>
              <w:t>10</w:t>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lang w:val="en-US"/>
              </w:rPr>
            </w:pPr>
            <w:r>
              <w:rPr>
                <w:rFonts w:eastAsia="Calibri"/>
                <w:lang w:val="en-US"/>
              </w:rPr>
              <w:t>5</w:t>
            </w:r>
          </w:p>
        </w:tc>
        <w:tc>
          <w:tcPr>
            <w:tcW w:w="7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lang w:val="en-US"/>
              </w:rPr>
            </w:pPr>
            <w:r>
              <w:rPr>
                <w:rFonts w:eastAsia="Calibri"/>
                <w:lang w:val="en-US"/>
              </w:rPr>
              <w:t>5</w:t>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r>
      <w:tr>
        <w:trPr>
          <w:trHeight w:val="437" w:hRule="atLeast"/>
        </w:trPr>
        <w:tc>
          <w:tcPr>
            <w:tcW w:w="1270" w:type="dxa"/>
            <w:gridSpan w:val="2"/>
            <w:vMerge w:val="continue"/>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jc w:val="both"/>
              <w:rPr>
                <w:rFonts w:eastAsia="Calibri"/>
                <w:b/>
                <w:bCs/>
              </w:rPr>
            </w:pPr>
            <w:r>
              <w:rPr>
                <w:rFonts w:eastAsia="Calibri"/>
                <w:b/>
                <w:bCs/>
              </w:rPr>
            </w:r>
          </w:p>
        </w:tc>
        <w:tc>
          <w:tcPr>
            <w:tcW w:w="368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pPr>
            <w:r>
              <w:rPr>
                <w:bCs/>
              </w:rPr>
              <w:t>Сервисные расходы (</w:t>
            </w:r>
            <w:r>
              <w:rPr>
                <w:rFonts w:eastAsia="Calibri"/>
                <w:i/>
              </w:rPr>
              <w:t>планируются в случае прямой принадлежности к проекту)</w:t>
            </w:r>
          </w:p>
        </w:tc>
        <w:tc>
          <w:tcPr>
            <w:tcW w:w="14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7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r>
      <w:tr>
        <w:trPr>
          <w:trHeight w:val="304" w:hRule="atLeast"/>
          <w:cantSplit w:val="true"/>
        </w:trPr>
        <w:tc>
          <w:tcPr>
            <w:tcW w:w="670" w:type="dxa"/>
            <w:vMerge w:val="restart"/>
            <w:tcBorders>
              <w:top w:val="single" w:sz="4" w:space="0" w:color="000000"/>
              <w:left w:val="single" w:sz="4" w:space="0" w:color="000000"/>
              <w:right w:val="single" w:sz="4" w:space="0" w:color="000000"/>
            </w:tcBorders>
            <w:tcMar>
              <w:left w:w="57" w:type="dxa"/>
              <w:right w:w="57" w:type="dxa"/>
            </w:tcMar>
            <w:textDirection w:val="btLr"/>
            <w:vAlign w:val="center"/>
          </w:tcPr>
          <w:p>
            <w:pPr>
              <w:pStyle w:val="Normal"/>
              <w:widowControl w:val="false"/>
              <w:spacing w:lineRule="exact" w:line="220" w:before="0" w:after="0"/>
              <w:ind w:left="113" w:right="113"/>
              <w:jc w:val="center"/>
              <w:rPr>
                <w:rFonts w:eastAsia="Calibri"/>
                <w:b/>
                <w:bCs/>
              </w:rPr>
            </w:pPr>
            <w:r>
              <w:rPr>
                <w:rFonts w:eastAsia="Calibri"/>
                <w:b/>
                <w:bCs/>
              </w:rPr>
              <w:t>Необходимые ресурсы</w:t>
            </w:r>
          </w:p>
        </w:tc>
        <w:tc>
          <w:tcPr>
            <w:tcW w:w="600" w:type="dxa"/>
            <w:vMerge w:val="restart"/>
            <w:tcBorders>
              <w:top w:val="single" w:sz="4" w:space="0" w:color="000000"/>
              <w:left w:val="single" w:sz="4" w:space="0" w:color="000000"/>
              <w:right w:val="single" w:sz="4" w:space="0" w:color="000000"/>
            </w:tcBorders>
            <w:tcMar>
              <w:left w:w="57" w:type="dxa"/>
              <w:right w:w="57" w:type="dxa"/>
            </w:tcMar>
            <w:textDirection w:val="btLr"/>
            <w:vAlign w:val="center"/>
          </w:tcPr>
          <w:p>
            <w:pPr>
              <w:pStyle w:val="Normal"/>
              <w:widowControl w:val="false"/>
              <w:spacing w:lineRule="exact" w:line="220" w:before="0" w:after="0"/>
              <w:ind w:left="113" w:right="113"/>
              <w:jc w:val="center"/>
              <w:rPr>
                <w:rFonts w:eastAsia="Calibri"/>
                <w:b/>
                <w:bCs/>
              </w:rPr>
            </w:pPr>
            <w:r>
              <w:rPr>
                <w:rFonts w:eastAsia="Calibri"/>
                <w:b/>
                <w:bCs/>
              </w:rPr>
              <w:t>Нормо-час</w:t>
            </w:r>
          </w:p>
        </w:tc>
        <w:tc>
          <w:tcPr>
            <w:tcW w:w="368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ind w:left="175"/>
              <w:jc w:val="both"/>
              <w:rPr>
                <w:rFonts w:eastAsia="Calibri"/>
              </w:rPr>
            </w:pPr>
            <w:r>
              <w:rPr>
                <w:rFonts w:eastAsia="Calibri"/>
              </w:rPr>
            </w:r>
          </w:p>
        </w:tc>
        <w:tc>
          <w:tcPr>
            <w:tcW w:w="14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7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r>
      <w:tr>
        <w:trPr>
          <w:trHeight w:val="279" w:hRule="atLeast"/>
          <w:cantSplit w:val="true"/>
        </w:trPr>
        <w:tc>
          <w:tcPr>
            <w:tcW w:w="670" w:type="dxa"/>
            <w:vMerge w:val="continue"/>
            <w:tcBorders>
              <w:top w:val="single" w:sz="4" w:space="0" w:color="000000"/>
              <w:left w:val="single" w:sz="4" w:space="0" w:color="000000"/>
              <w:right w:val="single" w:sz="4" w:space="0" w:color="000000"/>
            </w:tcBorders>
            <w:vAlign w:val="center"/>
          </w:tcPr>
          <w:p>
            <w:pPr>
              <w:pStyle w:val="Normal"/>
              <w:spacing w:lineRule="auto" w:line="240" w:before="0" w:after="0"/>
              <w:jc w:val="both"/>
              <w:rPr>
                <w:rFonts w:eastAsia="Calibri"/>
                <w:b/>
                <w:bCs/>
              </w:rPr>
            </w:pPr>
            <w:r>
              <w:rPr>
                <w:rFonts w:eastAsia="Calibri"/>
                <w:b/>
                <w:bCs/>
              </w:rPr>
            </w:r>
          </w:p>
        </w:tc>
        <w:tc>
          <w:tcPr>
            <w:tcW w:w="600" w:type="dxa"/>
            <w:vMerge w:val="continue"/>
            <w:tcBorders>
              <w:top w:val="single" w:sz="4" w:space="0" w:color="000000"/>
              <w:left w:val="single" w:sz="4" w:space="0" w:color="000000"/>
              <w:right w:val="single" w:sz="4" w:space="0" w:color="000000"/>
            </w:tcBorders>
            <w:vAlign w:val="center"/>
          </w:tcPr>
          <w:p>
            <w:pPr>
              <w:pStyle w:val="Normal"/>
              <w:spacing w:lineRule="auto" w:line="240" w:before="0" w:after="0"/>
              <w:jc w:val="both"/>
              <w:rPr>
                <w:rFonts w:eastAsia="Calibri"/>
                <w:b/>
                <w:bCs/>
              </w:rPr>
            </w:pPr>
            <w:r>
              <w:rPr>
                <w:rFonts w:eastAsia="Calibri"/>
                <w:b/>
                <w:bCs/>
              </w:rPr>
            </w:r>
          </w:p>
        </w:tc>
        <w:tc>
          <w:tcPr>
            <w:tcW w:w="3680" w:type="dxa"/>
            <w:tcBorders>
              <w:top w:val="single" w:sz="4" w:space="0" w:color="000000"/>
              <w:left w:val="single" w:sz="4" w:space="0" w:color="000000"/>
              <w:bottom w:val="single" w:sz="4" w:space="0" w:color="000000"/>
              <w:right w:val="single" w:sz="4" w:space="0" w:color="000000"/>
            </w:tcBorders>
            <w:vAlign w:val="center"/>
          </w:tcPr>
          <w:p>
            <w:pPr>
              <w:pStyle w:val="ListParagraph"/>
              <w:widowControl w:val="false"/>
              <w:numPr>
                <w:ilvl w:val="0"/>
                <w:numId w:val="1"/>
              </w:numPr>
              <w:spacing w:before="0" w:after="0"/>
              <w:contextualSpacing/>
              <w:jc w:val="both"/>
              <w:rPr/>
            </w:pPr>
            <w:r>
              <w:rPr>
                <w:rFonts w:eastAsia="Calibri"/>
                <w:lang w:val="en-US"/>
              </w:rPr>
              <w:t>c</w:t>
            </w:r>
            <w:r>
              <w:rPr>
                <w:rFonts w:eastAsia="Calibri"/>
              </w:rPr>
              <w:t xml:space="preserve">умма </w:t>
            </w:r>
            <w:r>
              <w:rPr>
                <w:rFonts w:eastAsia="Calibri"/>
                <w:lang w:val="en-US"/>
              </w:rPr>
              <w:t>FTE</w:t>
            </w:r>
          </w:p>
        </w:tc>
        <w:tc>
          <w:tcPr>
            <w:tcW w:w="14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lang w:val="en-US"/>
              </w:rPr>
            </w:pPr>
            <w:r>
              <w:rPr>
                <w:rFonts w:eastAsia="Calibri"/>
                <w:lang w:val="en-US"/>
              </w:rPr>
              <w:t>18</w:t>
            </w:r>
            <w:r>
              <w:rPr>
                <w:rFonts w:eastAsia="Calibri"/>
                <w:lang w:val="en-US"/>
              </w:rPr>
              <w:t>2</w:t>
            </w:r>
            <w:r>
              <w:rPr>
                <w:rFonts w:eastAsia="Calibri"/>
                <w:lang w:val="en-US"/>
              </w:rPr>
              <w:t>.5</w:t>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lang w:val="en-US"/>
              </w:rPr>
            </w:pPr>
            <w:r>
              <w:rPr>
                <w:rFonts w:eastAsia="Calibri"/>
                <w:lang w:val="en-US"/>
              </w:rPr>
              <w:t>36.</w:t>
            </w:r>
            <w:r>
              <w:rPr>
                <w:rFonts w:eastAsia="Calibri"/>
                <w:lang w:val="en-US"/>
              </w:rPr>
              <w:t>5</w:t>
            </w:r>
          </w:p>
        </w:tc>
        <w:tc>
          <w:tcPr>
            <w:tcW w:w="7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lang w:val="en-US"/>
              </w:rPr>
              <w:t>36</w:t>
            </w:r>
            <w:r>
              <w:rPr>
                <w:rFonts w:eastAsia="Calibri"/>
              </w:rPr>
              <w:t>.</w:t>
            </w:r>
            <w:r>
              <w:rPr>
                <w:rFonts w:eastAsia="Calibri"/>
              </w:rPr>
              <w:t>5</w:t>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lang w:val="en-US"/>
              </w:rPr>
              <w:t>36</w:t>
            </w:r>
            <w:r>
              <w:rPr>
                <w:rFonts w:eastAsia="Calibri"/>
              </w:rPr>
              <w:t>.</w:t>
            </w:r>
            <w:r>
              <w:rPr>
                <w:rFonts w:eastAsia="Calibri"/>
              </w:rPr>
              <w:t>5</w:t>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lang w:val="en-US"/>
              </w:rPr>
              <w:t>36</w:t>
            </w:r>
            <w:r>
              <w:rPr>
                <w:rFonts w:eastAsia="Calibri"/>
              </w:rPr>
              <w:t>.</w:t>
            </w:r>
            <w:r>
              <w:rPr>
                <w:rFonts w:eastAsia="Calibri"/>
              </w:rPr>
              <w:t>5</w:t>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lang w:val="en-US"/>
              </w:rPr>
            </w:pPr>
            <w:r>
              <w:rPr>
                <w:rFonts w:eastAsia="Calibri"/>
                <w:lang w:val="en-US"/>
              </w:rPr>
              <w:t>36.</w:t>
            </w:r>
            <w:r>
              <w:rPr>
                <w:rFonts w:eastAsia="Calibri"/>
                <w:lang w:val="en-US"/>
              </w:rPr>
              <w:t>5</w:t>
            </w:r>
          </w:p>
        </w:tc>
      </w:tr>
      <w:tr>
        <w:trPr>
          <w:trHeight w:val="309" w:hRule="atLeast"/>
          <w:cantSplit w:val="true"/>
        </w:trPr>
        <w:tc>
          <w:tcPr>
            <w:tcW w:w="670" w:type="dxa"/>
            <w:vMerge w:val="continue"/>
            <w:tcBorders>
              <w:top w:val="single" w:sz="4" w:space="0" w:color="000000"/>
              <w:left w:val="single" w:sz="4" w:space="0" w:color="000000"/>
              <w:right w:val="single" w:sz="4" w:space="0" w:color="000000"/>
            </w:tcBorders>
            <w:vAlign w:val="center"/>
          </w:tcPr>
          <w:p>
            <w:pPr>
              <w:pStyle w:val="Normal"/>
              <w:spacing w:lineRule="auto" w:line="240" w:before="0" w:after="0"/>
              <w:jc w:val="both"/>
              <w:rPr>
                <w:rFonts w:eastAsia="Calibri"/>
                <w:b/>
                <w:bCs/>
              </w:rPr>
            </w:pPr>
            <w:r>
              <w:rPr>
                <w:rFonts w:eastAsia="Calibri"/>
                <w:b/>
                <w:bCs/>
              </w:rPr>
            </w:r>
          </w:p>
        </w:tc>
        <w:tc>
          <w:tcPr>
            <w:tcW w:w="600" w:type="dxa"/>
            <w:vMerge w:val="continue"/>
            <w:tcBorders>
              <w:top w:val="single" w:sz="4" w:space="0" w:color="000000"/>
              <w:left w:val="single" w:sz="4" w:space="0" w:color="000000"/>
              <w:right w:val="single" w:sz="4" w:space="0" w:color="000000"/>
            </w:tcBorders>
            <w:vAlign w:val="center"/>
          </w:tcPr>
          <w:p>
            <w:pPr>
              <w:pStyle w:val="Normal"/>
              <w:spacing w:lineRule="auto" w:line="240" w:before="0" w:after="0"/>
              <w:jc w:val="both"/>
              <w:rPr>
                <w:rFonts w:eastAsia="Calibri"/>
                <w:b/>
                <w:bCs/>
              </w:rPr>
            </w:pPr>
            <w:r>
              <w:rPr>
                <w:rFonts w:eastAsia="Calibri"/>
                <w:b/>
                <w:bCs/>
              </w:rPr>
            </w:r>
          </w:p>
        </w:tc>
        <w:tc>
          <w:tcPr>
            <w:tcW w:w="3680" w:type="dxa"/>
            <w:tcBorders>
              <w:top w:val="single" w:sz="4" w:space="0" w:color="000000"/>
              <w:left w:val="single" w:sz="4" w:space="0" w:color="000000"/>
              <w:bottom w:val="single" w:sz="4" w:space="0" w:color="000000"/>
              <w:right w:val="single" w:sz="4" w:space="0" w:color="000000"/>
            </w:tcBorders>
            <w:vAlign w:val="center"/>
          </w:tcPr>
          <w:p>
            <w:pPr>
              <w:pStyle w:val="ListParagraph"/>
              <w:widowControl w:val="false"/>
              <w:numPr>
                <w:ilvl w:val="0"/>
                <w:numId w:val="1"/>
              </w:numPr>
              <w:spacing w:before="0" w:after="0"/>
              <w:contextualSpacing/>
              <w:jc w:val="both"/>
              <w:rPr/>
            </w:pPr>
            <w:r>
              <w:rPr/>
              <w:t>ускорителя/установки,</w:t>
            </w:r>
          </w:p>
        </w:tc>
        <w:tc>
          <w:tcPr>
            <w:tcW w:w="14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7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r>
      <w:tr>
        <w:trPr>
          <w:trHeight w:val="311" w:hRule="atLeast"/>
          <w:cantSplit w:val="true"/>
        </w:trPr>
        <w:tc>
          <w:tcPr>
            <w:tcW w:w="670" w:type="dxa"/>
            <w:vMerge w:val="continue"/>
            <w:tcBorders>
              <w:top w:val="single" w:sz="4" w:space="0" w:color="000000"/>
              <w:left w:val="single" w:sz="4" w:space="0" w:color="000000"/>
              <w:right w:val="single" w:sz="4" w:space="0" w:color="000000"/>
            </w:tcBorders>
            <w:vAlign w:val="center"/>
          </w:tcPr>
          <w:p>
            <w:pPr>
              <w:pStyle w:val="Normal"/>
              <w:spacing w:lineRule="auto" w:line="240" w:before="0" w:after="0"/>
              <w:jc w:val="both"/>
              <w:rPr>
                <w:rFonts w:eastAsia="Calibri"/>
                <w:b/>
                <w:bCs/>
              </w:rPr>
            </w:pPr>
            <w:r>
              <w:rPr>
                <w:rFonts w:eastAsia="Calibri"/>
                <w:b/>
                <w:bCs/>
              </w:rPr>
            </w:r>
          </w:p>
        </w:tc>
        <w:tc>
          <w:tcPr>
            <w:tcW w:w="600" w:type="dxa"/>
            <w:vMerge w:val="continue"/>
            <w:tcBorders>
              <w:top w:val="single" w:sz="4" w:space="0" w:color="000000"/>
              <w:left w:val="single" w:sz="4" w:space="0" w:color="000000"/>
              <w:right w:val="single" w:sz="4" w:space="0" w:color="000000"/>
            </w:tcBorders>
            <w:vAlign w:val="center"/>
          </w:tcPr>
          <w:p>
            <w:pPr>
              <w:pStyle w:val="Normal"/>
              <w:spacing w:lineRule="auto" w:line="240" w:before="0" w:after="0"/>
              <w:jc w:val="both"/>
              <w:rPr>
                <w:rFonts w:eastAsia="Calibri"/>
                <w:b/>
                <w:bCs/>
              </w:rPr>
            </w:pPr>
            <w:r>
              <w:rPr>
                <w:rFonts w:eastAsia="Calibri"/>
                <w:b/>
                <w:bCs/>
              </w:rPr>
            </w:r>
          </w:p>
        </w:tc>
        <w:tc>
          <w:tcPr>
            <w:tcW w:w="3680" w:type="dxa"/>
            <w:tcBorders>
              <w:top w:val="single" w:sz="4" w:space="0" w:color="000000"/>
              <w:left w:val="single" w:sz="4" w:space="0" w:color="000000"/>
              <w:bottom w:val="single" w:sz="4" w:space="0" w:color="000000"/>
              <w:right w:val="single" w:sz="4" w:space="0" w:color="000000"/>
            </w:tcBorders>
            <w:vAlign w:val="center"/>
          </w:tcPr>
          <w:p>
            <w:pPr>
              <w:pStyle w:val="ListParagraph"/>
              <w:widowControl w:val="false"/>
              <w:numPr>
                <w:ilvl w:val="0"/>
                <w:numId w:val="1"/>
              </w:numPr>
              <w:spacing w:before="0" w:after="0"/>
              <w:contextualSpacing/>
              <w:jc w:val="both"/>
              <w:rPr/>
            </w:pPr>
            <w:r>
              <w:rPr/>
              <w:t>реактора,…..</w:t>
            </w:r>
          </w:p>
        </w:tc>
        <w:tc>
          <w:tcPr>
            <w:tcW w:w="14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lang w:val="en-US"/>
              </w:rPr>
            </w:pPr>
            <w:r>
              <w:rPr>
                <w:rFonts w:eastAsia="Calibri"/>
                <w:lang w:val="en-US"/>
              </w:rPr>
              <w:t>200</w:t>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lang w:val="en-US"/>
              </w:rPr>
            </w:pPr>
            <w:r>
              <w:rPr>
                <w:rFonts w:eastAsia="Calibri"/>
                <w:lang w:val="en-US"/>
              </w:rPr>
              <w:t>200</w:t>
            </w:r>
          </w:p>
        </w:tc>
        <w:tc>
          <w:tcPr>
            <w:tcW w:w="7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60"/>
              <w:jc w:val="center"/>
              <w:rPr>
                <w:rFonts w:eastAsia="Calibri"/>
              </w:rPr>
            </w:pPr>
            <w:r>
              <w:rPr>
                <w:rFonts w:eastAsia="Calibri"/>
              </w:rPr>
            </w:r>
          </w:p>
        </w:tc>
      </w:tr>
      <w:tr>
        <w:trPr>
          <w:trHeight w:val="1835" w:hRule="atLeast"/>
          <w:cantSplit w:val="true"/>
        </w:trPr>
        <w:tc>
          <w:tcPr>
            <w:tcW w:w="670" w:type="dxa"/>
            <w:vMerge w:val="restart"/>
            <w:tcBorders>
              <w:top w:val="single" w:sz="4" w:space="0" w:color="000000"/>
              <w:left w:val="single" w:sz="4" w:space="0" w:color="000000"/>
              <w:bottom w:val="single" w:sz="4" w:space="0" w:color="000000"/>
              <w:right w:val="single" w:sz="4" w:space="0" w:color="000000"/>
            </w:tcBorders>
            <w:tcMar>
              <w:left w:w="57" w:type="dxa"/>
              <w:right w:w="57" w:type="dxa"/>
            </w:tcMar>
            <w:textDirection w:val="btLr"/>
            <w:vAlign w:val="center"/>
          </w:tcPr>
          <w:p>
            <w:pPr>
              <w:pStyle w:val="Normal"/>
              <w:widowControl w:val="false"/>
              <w:spacing w:lineRule="exact" w:line="220" w:before="0" w:after="0"/>
              <w:ind w:left="113" w:right="-108"/>
              <w:jc w:val="center"/>
              <w:rPr>
                <w:rFonts w:eastAsia="Calibri"/>
                <w:b/>
                <w:bCs/>
              </w:rPr>
            </w:pPr>
            <w:r>
              <w:rPr>
                <w:rFonts w:eastAsia="Calibri"/>
                <w:b/>
                <w:bCs/>
              </w:rPr>
              <w:t>Источники финансирования</w:t>
            </w:r>
          </w:p>
        </w:tc>
        <w:tc>
          <w:tcPr>
            <w:tcW w:w="600" w:type="dxa"/>
            <w:tcBorders>
              <w:top w:val="single" w:sz="4" w:space="0" w:color="000000"/>
              <w:left w:val="single" w:sz="4" w:space="0" w:color="000000"/>
              <w:bottom w:val="single" w:sz="4" w:space="0" w:color="000000"/>
              <w:right w:val="single" w:sz="4" w:space="0" w:color="000000"/>
            </w:tcBorders>
            <w:tcMar>
              <w:left w:w="57" w:type="dxa"/>
              <w:right w:w="57" w:type="dxa"/>
            </w:tcMar>
            <w:textDirection w:val="btLr"/>
            <w:vAlign w:val="center"/>
          </w:tcPr>
          <w:p>
            <w:pPr>
              <w:pStyle w:val="Normal"/>
              <w:widowControl w:val="false"/>
              <w:spacing w:lineRule="atLeast" w:line="240" w:before="0" w:after="0"/>
              <w:ind w:left="113" w:right="113"/>
              <w:jc w:val="center"/>
              <w:rPr>
                <w:rFonts w:eastAsia="Calibri"/>
                <w:b/>
                <w:bCs/>
              </w:rPr>
            </w:pPr>
            <w:r>
              <w:rPr>
                <w:rFonts w:eastAsia="Calibri"/>
                <w:b/>
                <w:bCs/>
              </w:rPr>
              <w:t>Бюджетные средства</w:t>
            </w:r>
          </w:p>
        </w:tc>
        <w:tc>
          <w:tcPr>
            <w:tcW w:w="368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0"/>
              <w:ind w:left="175"/>
              <w:rPr/>
            </w:pPr>
            <w:r>
              <w:rPr>
                <w:rFonts w:eastAsia="Calibri"/>
              </w:rPr>
              <w:t xml:space="preserve">Бюджет ОИЯИ </w:t>
            </w:r>
            <w:r>
              <w:rPr>
                <w:rFonts w:eastAsia="Calibri"/>
                <w:i/>
              </w:rPr>
              <w:t>(статьи бюджета)</w:t>
            </w:r>
          </w:p>
        </w:tc>
        <w:tc>
          <w:tcPr>
            <w:tcW w:w="14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0"/>
              <w:jc w:val="center"/>
              <w:rPr>
                <w:rFonts w:eastAsia="Calibri"/>
                <w:lang w:val="en-US"/>
              </w:rPr>
            </w:pPr>
            <w:r>
              <w:rPr>
                <w:rFonts w:eastAsia="Calibri"/>
                <w:lang w:val="en-US"/>
              </w:rPr>
              <w:t>5040</w:t>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0"/>
              <w:jc w:val="center"/>
              <w:rPr>
                <w:rFonts w:eastAsia="Calibri"/>
                <w:lang w:val="en-US"/>
              </w:rPr>
            </w:pPr>
            <w:r>
              <w:rPr>
                <w:rFonts w:eastAsia="Calibri"/>
                <w:lang w:val="en-US"/>
              </w:rPr>
              <w:t>1325</w:t>
            </w:r>
          </w:p>
        </w:tc>
        <w:tc>
          <w:tcPr>
            <w:tcW w:w="7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0"/>
              <w:jc w:val="center"/>
              <w:rPr>
                <w:rFonts w:eastAsia="Calibri"/>
                <w:lang w:val="en-US"/>
              </w:rPr>
            </w:pPr>
            <w:r>
              <w:rPr>
                <w:rFonts w:eastAsia="Calibri"/>
                <w:lang w:val="en-US"/>
              </w:rPr>
              <w:t>1115</w:t>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0"/>
              <w:jc w:val="center"/>
              <w:rPr>
                <w:rFonts w:eastAsia="Calibri"/>
                <w:lang w:val="en-US"/>
              </w:rPr>
            </w:pPr>
            <w:r>
              <w:rPr>
                <w:rFonts w:eastAsia="Calibri"/>
                <w:lang w:val="en-US"/>
              </w:rPr>
              <w:t>920</w:t>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0"/>
              <w:jc w:val="center"/>
              <w:rPr>
                <w:rFonts w:eastAsia="Calibri"/>
                <w:lang w:val="en-US"/>
              </w:rPr>
            </w:pPr>
            <w:r>
              <w:rPr>
                <w:rFonts w:eastAsia="Calibri"/>
                <w:lang w:val="en-US"/>
              </w:rPr>
              <w:t>840</w:t>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0"/>
              <w:jc w:val="center"/>
              <w:rPr>
                <w:rFonts w:eastAsia="Calibri"/>
                <w:lang w:val="en-US"/>
              </w:rPr>
            </w:pPr>
            <w:r>
              <w:rPr>
                <w:rFonts w:eastAsia="Calibri"/>
                <w:lang w:val="en-US"/>
              </w:rPr>
              <w:t>840</w:t>
            </w:r>
          </w:p>
        </w:tc>
      </w:tr>
      <w:tr>
        <w:trPr>
          <w:trHeight w:val="1992" w:hRule="atLeast"/>
          <w:cantSplit w:val="true"/>
        </w:trPr>
        <w:tc>
          <w:tcPr>
            <w:tcW w:w="67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jc w:val="both"/>
              <w:rPr>
                <w:rFonts w:eastAsia="Calibri"/>
                <w:b/>
                <w:bCs/>
              </w:rPr>
            </w:pPr>
            <w:r>
              <w:rPr>
                <w:rFonts w:eastAsia="Calibri"/>
                <w:b/>
                <w:bCs/>
              </w:rPr>
            </w:r>
          </w:p>
        </w:tc>
        <w:tc>
          <w:tcPr>
            <w:tcW w:w="600" w:type="dxa"/>
            <w:tcBorders>
              <w:top w:val="single" w:sz="4" w:space="0" w:color="000000"/>
              <w:left w:val="single" w:sz="4" w:space="0" w:color="000000"/>
              <w:bottom w:val="single" w:sz="4" w:space="0" w:color="000000"/>
              <w:right w:val="single" w:sz="4" w:space="0" w:color="000000"/>
            </w:tcBorders>
            <w:tcMar>
              <w:left w:w="57" w:type="dxa"/>
              <w:right w:w="57" w:type="dxa"/>
            </w:tcMar>
            <w:textDirection w:val="btLr"/>
            <w:vAlign w:val="center"/>
          </w:tcPr>
          <w:p>
            <w:pPr>
              <w:pStyle w:val="Normal"/>
              <w:widowControl w:val="false"/>
              <w:spacing w:lineRule="atLeast" w:line="240" w:before="0" w:after="0"/>
              <w:ind w:left="113" w:right="113"/>
              <w:jc w:val="center"/>
              <w:rPr>
                <w:rFonts w:eastAsia="Calibri"/>
                <w:b/>
                <w:bCs/>
              </w:rPr>
            </w:pPr>
            <w:r>
              <w:rPr>
                <w:rFonts w:eastAsia="Calibri"/>
                <w:b/>
                <w:bCs/>
              </w:rPr>
              <w:t>Внебюджет (доп. смета)</w:t>
            </w:r>
          </w:p>
        </w:tc>
        <w:tc>
          <w:tcPr>
            <w:tcW w:w="368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0"/>
              <w:ind w:left="175"/>
              <w:rPr>
                <w:rFonts w:eastAsia="Calibri"/>
              </w:rPr>
            </w:pPr>
            <w:r>
              <w:rPr>
                <w:rFonts w:eastAsia="Calibri"/>
              </w:rPr>
              <w:t xml:space="preserve">Вклады соисполнителей </w:t>
            </w:r>
          </w:p>
          <w:p>
            <w:pPr>
              <w:pStyle w:val="Normal"/>
              <w:widowControl w:val="false"/>
              <w:spacing w:lineRule="atLeast" w:line="240" w:before="0" w:after="0"/>
              <w:ind w:left="175"/>
              <w:rPr>
                <w:strike/>
                <w:sz w:val="16"/>
                <w:szCs w:val="16"/>
              </w:rPr>
            </w:pPr>
            <w:r>
              <w:rPr>
                <w:strike/>
                <w:sz w:val="16"/>
                <w:szCs w:val="16"/>
              </w:rPr>
            </w:r>
          </w:p>
          <w:p>
            <w:pPr>
              <w:pStyle w:val="Normal"/>
              <w:widowControl w:val="false"/>
              <w:spacing w:lineRule="atLeast" w:line="240" w:before="0" w:after="0"/>
              <w:ind w:left="175"/>
              <w:rPr>
                <w:rFonts w:eastAsia="Calibri"/>
              </w:rPr>
            </w:pPr>
            <w:r>
              <w:rPr>
                <w:rFonts w:eastAsia="Calibri"/>
              </w:rPr>
              <w:t xml:space="preserve">Средства по договорам </w:t>
              <w:br/>
              <w:t>с заказчиками</w:t>
            </w:r>
          </w:p>
          <w:p>
            <w:pPr>
              <w:pStyle w:val="Normal"/>
              <w:widowControl w:val="false"/>
              <w:spacing w:lineRule="atLeast" w:line="240" w:before="0" w:after="0"/>
              <w:ind w:left="175"/>
              <w:rPr>
                <w:sz w:val="16"/>
                <w:szCs w:val="16"/>
              </w:rPr>
            </w:pPr>
            <w:r>
              <w:rPr>
                <w:sz w:val="16"/>
                <w:szCs w:val="16"/>
              </w:rPr>
            </w:r>
          </w:p>
          <w:p>
            <w:pPr>
              <w:pStyle w:val="Normal"/>
              <w:widowControl w:val="false"/>
              <w:spacing w:lineRule="atLeast" w:line="240" w:before="0" w:after="0"/>
              <w:ind w:left="175"/>
              <w:rPr>
                <w:rFonts w:eastAsia="Calibri"/>
              </w:rPr>
            </w:pPr>
            <w:r>
              <w:rPr>
                <w:rFonts w:eastAsia="Calibri"/>
              </w:rPr>
              <w:t xml:space="preserve">Другие источники финансирования </w:t>
            </w:r>
          </w:p>
        </w:tc>
        <w:tc>
          <w:tcPr>
            <w:tcW w:w="14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0"/>
              <w:jc w:val="center"/>
              <w:rPr>
                <w:rFonts w:eastAsia="Calibri"/>
              </w:rPr>
            </w:pPr>
            <w:r>
              <w:rPr>
                <w:rFonts w:eastAsia="Calibri"/>
              </w:rPr>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0"/>
              <w:jc w:val="center"/>
              <w:rPr>
                <w:rFonts w:eastAsia="Calibri"/>
              </w:rPr>
            </w:pPr>
            <w:r>
              <w:rPr>
                <w:rFonts w:eastAsia="Calibri"/>
              </w:rPr>
            </w:r>
          </w:p>
        </w:tc>
        <w:tc>
          <w:tcPr>
            <w:tcW w:w="7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0"/>
              <w:jc w:val="center"/>
              <w:rPr>
                <w:rFonts w:eastAsia="Calibri"/>
              </w:rPr>
            </w:pPr>
            <w:r>
              <w:rPr>
                <w:rFonts w:eastAsia="Calibri"/>
              </w:rPr>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0"/>
              <w:jc w:val="center"/>
              <w:rPr>
                <w:rFonts w:eastAsia="Calibri"/>
              </w:rPr>
            </w:pPr>
            <w:r>
              <w:rPr>
                <w:rFonts w:eastAsia="Calibri"/>
              </w:rPr>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0"/>
              <w:jc w:val="center"/>
              <w:rPr>
                <w:rFonts w:eastAsia="Calibri"/>
              </w:rPr>
            </w:pPr>
            <w:r>
              <w:rPr>
                <w:rFonts w:eastAsia="Calibri"/>
              </w:rPr>
            </w:r>
          </w:p>
        </w:tc>
        <w:tc>
          <w:tcPr>
            <w:tcW w:w="6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tLeast" w:line="240" w:before="0" w:after="0"/>
              <w:jc w:val="center"/>
              <w:rPr>
                <w:rFonts w:eastAsia="Calibri"/>
              </w:rPr>
            </w:pPr>
            <w:r>
              <w:rPr>
                <w:rFonts w:eastAsia="Calibri"/>
              </w:rPr>
            </w:r>
            <w:bookmarkStart w:id="1" w:name="_Hlk125558409"/>
            <w:bookmarkStart w:id="2" w:name="_Hlk125558409"/>
            <w:bookmarkEnd w:id="2"/>
          </w:p>
        </w:tc>
      </w:tr>
    </w:tbl>
    <w:p>
      <w:pPr>
        <w:pStyle w:val="Normal"/>
        <w:jc w:val="both"/>
        <w:rPr/>
      </w:pPr>
      <w:r>
        <w:rPr/>
        <w:br/>
        <w:t>Руководитель проекта</w:t>
      </w:r>
      <w:r>
        <w:rPr>
          <w:lang w:val="en-US"/>
        </w:rPr>
        <w:t xml:space="preserve"> </w:t>
      </w:r>
      <w:r>
        <w:rPr/>
        <w:tab/>
        <w:tab/>
        <w:t xml:space="preserve">            _________/________________/</w:t>
      </w:r>
    </w:p>
    <w:p>
      <w:pPr>
        <w:pStyle w:val="Normal"/>
        <w:jc w:val="both"/>
        <w:rPr/>
      </w:pPr>
      <w:r>
        <w:rPr/>
        <w:t>Экономист Лаборатории</w:t>
        <w:tab/>
        <w:tab/>
        <w:tab/>
        <w:t xml:space="preserve"> _________/________________/</w:t>
      </w:r>
    </w:p>
    <w:p>
      <w:pPr>
        <w:pStyle w:val="Normal"/>
        <w:spacing w:lineRule="auto" w:line="360"/>
        <w:jc w:val="center"/>
        <w:rPr>
          <w:b/>
          <w:bCs/>
        </w:rPr>
      </w:pPr>
      <w:r>
        <w:rPr>
          <w:b/>
          <w:bCs/>
        </w:rPr>
      </w:r>
    </w:p>
    <w:p>
      <w:pPr>
        <w:pStyle w:val="Normal"/>
        <w:spacing w:lineRule="auto" w:line="360"/>
        <w:jc w:val="center"/>
        <w:rPr/>
      </w:pPr>
      <w:r>
        <w:rPr>
          <w:b/>
          <w:bCs/>
        </w:rPr>
        <w:t xml:space="preserve">ЛИСТ СОГЛАСОВАНИЙ ПРОЕКТА </w:t>
      </w:r>
    </w:p>
    <w:p>
      <w:pPr>
        <w:pStyle w:val="Normal"/>
        <w:spacing w:lineRule="auto" w:line="240" w:before="0" w:after="0"/>
        <w:rPr/>
      </w:pPr>
      <w:r>
        <w:rPr/>
        <w:t>НАИМЕНОВАНИЕ ПРОЕКТА ______________________________</w:t>
      </w:r>
    </w:p>
    <w:p>
      <w:pPr>
        <w:pStyle w:val="Normal"/>
        <w:spacing w:lineRule="auto" w:line="240" w:before="0" w:after="0"/>
        <w:rPr/>
      </w:pPr>
      <w:r>
        <w:rPr/>
        <w:br/>
        <w:t xml:space="preserve">УСЛОВНОЕ ОБОЗНАЧЕНИЕ ПРОЕКТА ___________________________ </w:t>
      </w:r>
    </w:p>
    <w:p>
      <w:pPr>
        <w:pStyle w:val="Normal"/>
        <w:spacing w:lineRule="auto" w:line="240" w:before="0" w:after="0"/>
        <w:rPr/>
      </w:pPr>
      <w:r>
        <w:rPr/>
      </w:r>
    </w:p>
    <w:p>
      <w:pPr>
        <w:pStyle w:val="Normal"/>
        <w:spacing w:lineRule="auto" w:line="240" w:before="0" w:after="0"/>
        <w:rPr/>
      </w:pPr>
      <w:r>
        <w:rPr/>
        <w:t>ШИФР ПРОЕКТА  _________________________</w:t>
      </w:r>
    </w:p>
    <w:p>
      <w:pPr>
        <w:pStyle w:val="Normal"/>
        <w:spacing w:lineRule="auto" w:line="240" w:before="0" w:after="0"/>
        <w:rPr/>
      </w:pPr>
      <w:r>
        <w:rPr/>
      </w:r>
    </w:p>
    <w:p>
      <w:pPr>
        <w:pStyle w:val="Normal"/>
        <w:spacing w:lineRule="auto" w:line="240" w:before="0" w:after="0"/>
        <w:rPr/>
      </w:pPr>
      <w:r>
        <w:rPr/>
        <w:t>ШИФР ТЕМЫ _____________________________</w:t>
      </w:r>
    </w:p>
    <w:p>
      <w:pPr>
        <w:pStyle w:val="Normal"/>
        <w:spacing w:lineRule="auto" w:line="240" w:before="0" w:after="0"/>
        <w:jc w:val="center"/>
        <w:rPr/>
      </w:pPr>
      <w:r>
        <w:rPr/>
      </w:r>
    </w:p>
    <w:p>
      <w:pPr>
        <w:pStyle w:val="Normal"/>
        <w:spacing w:lineRule="auto" w:line="240" w:before="0" w:after="0"/>
        <w:rPr/>
      </w:pPr>
      <w:r>
        <w:rPr/>
        <w:t>ФИО РУКОВОДИТЕЛЯ(-ЕЙ) ПРОЕКТА  __________________________</w:t>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tbl>
      <w:tblPr>
        <w:tblW w:w="9675" w:type="dxa"/>
        <w:jc w:val="left"/>
        <w:tblInd w:w="0" w:type="dxa"/>
        <w:tblLayout w:type="fixed"/>
        <w:tblCellMar>
          <w:top w:w="0" w:type="dxa"/>
          <w:left w:w="108" w:type="dxa"/>
          <w:bottom w:w="0" w:type="dxa"/>
          <w:right w:w="108" w:type="dxa"/>
        </w:tblCellMar>
        <w:tblLook w:val="01e0" w:noHBand="0" w:noVBand="0" w:firstColumn="1" w:lastRow="1" w:lastColumn="1" w:firstRow="1"/>
      </w:tblPr>
      <w:tblGrid>
        <w:gridCol w:w="4524"/>
        <w:gridCol w:w="1571"/>
        <w:gridCol w:w="1983"/>
        <w:gridCol w:w="1329"/>
        <w:gridCol w:w="268"/>
      </w:tblGrid>
      <w:tr>
        <w:trPr/>
        <w:tc>
          <w:tcPr>
            <w:tcW w:w="4524" w:type="dxa"/>
            <w:tcBorders/>
          </w:tcPr>
          <w:p>
            <w:pPr>
              <w:pStyle w:val="Normal"/>
              <w:spacing w:lineRule="auto" w:line="240" w:before="0" w:after="0"/>
              <w:jc w:val="both"/>
              <w:rPr/>
            </w:pPr>
            <w:r>
              <w:rPr/>
            </w:r>
          </w:p>
        </w:tc>
        <w:tc>
          <w:tcPr>
            <w:tcW w:w="1571" w:type="dxa"/>
            <w:tcBorders/>
          </w:tcPr>
          <w:p>
            <w:pPr>
              <w:pStyle w:val="Normal"/>
              <w:widowControl w:val="false"/>
              <w:spacing w:before="0" w:after="0"/>
              <w:jc w:val="both"/>
              <w:rPr/>
            </w:pPr>
            <w:r>
              <w:rPr/>
            </w:r>
          </w:p>
        </w:tc>
        <w:tc>
          <w:tcPr>
            <w:tcW w:w="1983" w:type="dxa"/>
            <w:tcBorders/>
          </w:tcPr>
          <w:p>
            <w:pPr>
              <w:pStyle w:val="Normal"/>
              <w:widowControl w:val="false"/>
              <w:spacing w:before="0" w:after="0"/>
              <w:jc w:val="both"/>
              <w:rPr/>
            </w:pPr>
            <w:r>
              <w:rPr/>
            </w:r>
          </w:p>
        </w:tc>
        <w:tc>
          <w:tcPr>
            <w:tcW w:w="1597" w:type="dxa"/>
            <w:gridSpan w:val="2"/>
            <w:tcBorders/>
          </w:tcPr>
          <w:p>
            <w:pPr>
              <w:pStyle w:val="Normal"/>
              <w:widowControl w:val="false"/>
              <w:spacing w:before="0" w:after="0"/>
              <w:jc w:val="both"/>
              <w:rPr/>
            </w:pPr>
            <w:r>
              <w:rPr/>
            </w:r>
          </w:p>
        </w:tc>
      </w:tr>
      <w:tr>
        <w:trPr/>
        <w:tc>
          <w:tcPr>
            <w:tcW w:w="4524" w:type="dxa"/>
            <w:tcBorders/>
          </w:tcPr>
          <w:p>
            <w:pPr>
              <w:pStyle w:val="Normal"/>
              <w:widowControl w:val="false"/>
              <w:spacing w:before="0" w:after="0"/>
              <w:jc w:val="both"/>
              <w:rPr/>
            </w:pPr>
            <w:r>
              <w:rPr/>
              <w:t>СОГЛАСОВАНО:</w:t>
            </w:r>
          </w:p>
          <w:p>
            <w:pPr>
              <w:pStyle w:val="Normal"/>
              <w:widowControl w:val="false"/>
              <w:spacing w:before="0" w:after="0"/>
              <w:jc w:val="both"/>
              <w:rPr/>
            </w:pPr>
            <w:r>
              <w:rPr/>
            </w:r>
          </w:p>
        </w:tc>
        <w:tc>
          <w:tcPr>
            <w:tcW w:w="1571" w:type="dxa"/>
            <w:tcBorders/>
          </w:tcPr>
          <w:p>
            <w:pPr>
              <w:pStyle w:val="Normal"/>
              <w:widowControl w:val="false"/>
              <w:spacing w:before="0" w:after="0"/>
              <w:jc w:val="center"/>
              <w:rPr/>
            </w:pPr>
            <w:r>
              <w:rPr/>
            </w:r>
          </w:p>
        </w:tc>
        <w:tc>
          <w:tcPr>
            <w:tcW w:w="1983" w:type="dxa"/>
            <w:tcBorders/>
          </w:tcPr>
          <w:p>
            <w:pPr>
              <w:pStyle w:val="Normal"/>
              <w:widowControl w:val="false"/>
              <w:spacing w:before="0" w:after="0"/>
              <w:jc w:val="center"/>
              <w:rPr/>
            </w:pPr>
            <w:r>
              <w:rPr/>
            </w:r>
          </w:p>
        </w:tc>
        <w:tc>
          <w:tcPr>
            <w:tcW w:w="1597" w:type="dxa"/>
            <w:gridSpan w:val="2"/>
            <w:tcBorders/>
          </w:tcPr>
          <w:p>
            <w:pPr>
              <w:pStyle w:val="Normal"/>
              <w:widowControl w:val="false"/>
              <w:spacing w:before="0" w:after="0"/>
              <w:jc w:val="center"/>
              <w:rPr/>
            </w:pPr>
            <w:r>
              <w:rPr/>
            </w:r>
          </w:p>
        </w:tc>
      </w:tr>
      <w:tr>
        <w:trPr/>
        <w:tc>
          <w:tcPr>
            <w:tcW w:w="4524" w:type="dxa"/>
            <w:tcBorders/>
          </w:tcPr>
          <w:p>
            <w:pPr>
              <w:pStyle w:val="Normal"/>
              <w:widowControl w:val="false"/>
              <w:spacing w:lineRule="atLeast" w:line="240" w:before="0" w:after="0"/>
              <w:jc w:val="both"/>
              <w:rPr/>
            </w:pPr>
            <w:bookmarkStart w:id="3" w:name="_Hlk126079368"/>
            <w:bookmarkEnd w:id="3"/>
            <w:r>
              <w:rPr/>
              <w:t>ВИЦЕ-ДИРЕКТОР ИНСТИТУТА</w:t>
            </w:r>
          </w:p>
        </w:tc>
        <w:tc>
          <w:tcPr>
            <w:tcW w:w="1571" w:type="dxa"/>
            <w:tcBorders/>
          </w:tcPr>
          <w:p>
            <w:pPr>
              <w:pStyle w:val="Normal"/>
              <w:widowControl w:val="false"/>
              <w:spacing w:before="0" w:after="0"/>
              <w:jc w:val="both"/>
              <w:rPr/>
            </w:pPr>
            <w:r>
              <w:rPr/>
              <w:t>_</w:t>
            </w:r>
            <w:r>
              <w:rPr>
                <w:lang w:val="en-US"/>
              </w:rPr>
              <w:t>___</w:t>
            </w:r>
            <w:r>
              <w:rPr/>
              <w:t>_______</w:t>
            </w:r>
          </w:p>
          <w:p>
            <w:pPr>
              <w:pStyle w:val="Normal"/>
              <w:widowControl w:val="false"/>
              <w:spacing w:before="0" w:after="0"/>
              <w:jc w:val="center"/>
              <w:rPr>
                <w:sz w:val="16"/>
                <w:szCs w:val="16"/>
              </w:rPr>
            </w:pPr>
            <w:r>
              <w:rPr>
                <w:sz w:val="16"/>
                <w:szCs w:val="16"/>
              </w:rPr>
              <w:t>ПОДПИСЬ</w:t>
            </w:r>
          </w:p>
          <w:p>
            <w:pPr>
              <w:pStyle w:val="Normal"/>
              <w:widowControl w:val="false"/>
              <w:spacing w:lineRule="atLeast" w:line="240" w:before="0" w:after="0"/>
              <w:jc w:val="both"/>
              <w:rPr/>
            </w:pPr>
            <w:r>
              <w:rPr/>
            </w:r>
          </w:p>
        </w:tc>
        <w:tc>
          <w:tcPr>
            <w:tcW w:w="1983" w:type="dxa"/>
            <w:tcBorders/>
          </w:tcPr>
          <w:p>
            <w:pPr>
              <w:pStyle w:val="Normal"/>
              <w:widowControl w:val="false"/>
              <w:spacing w:before="0" w:after="0"/>
              <w:ind w:firstLine="322"/>
              <w:jc w:val="both"/>
              <w:rPr/>
            </w:pPr>
            <w:r>
              <w:rPr/>
              <w:t>____________</w:t>
            </w:r>
          </w:p>
          <w:p>
            <w:pPr>
              <w:pStyle w:val="Normal"/>
              <w:widowControl w:val="false"/>
              <w:spacing w:lineRule="atLeast" w:line="240" w:before="0" w:after="0"/>
              <w:ind w:firstLine="322"/>
              <w:jc w:val="center"/>
              <w:rPr/>
            </w:pPr>
            <w:r>
              <w:rPr>
                <w:sz w:val="16"/>
                <w:szCs w:val="16"/>
              </w:rPr>
              <w:t>ФИО</w:t>
            </w:r>
          </w:p>
        </w:tc>
        <w:tc>
          <w:tcPr>
            <w:tcW w:w="1329" w:type="dxa"/>
            <w:tcBorders/>
          </w:tcPr>
          <w:p>
            <w:pPr>
              <w:pStyle w:val="Normal"/>
              <w:widowControl w:val="false"/>
              <w:spacing w:before="0" w:after="0"/>
              <w:jc w:val="both"/>
              <w:rPr/>
            </w:pPr>
            <w:r>
              <w:rPr/>
              <w:t>_________</w:t>
            </w:r>
          </w:p>
          <w:p>
            <w:pPr>
              <w:pStyle w:val="Normal"/>
              <w:widowControl w:val="false"/>
              <w:spacing w:lineRule="atLeast" w:line="240" w:before="0" w:after="0"/>
              <w:jc w:val="center"/>
              <w:rPr/>
            </w:pPr>
            <w:r>
              <w:rPr>
                <w:sz w:val="16"/>
                <w:szCs w:val="16"/>
              </w:rPr>
              <w:t>ДАТА</w:t>
            </w:r>
          </w:p>
        </w:tc>
        <w:tc>
          <w:tcPr>
            <w:tcW w:w="268" w:type="dxa"/>
            <w:tcBorders/>
          </w:tcPr>
          <w:p>
            <w:pPr>
              <w:pStyle w:val="Normal"/>
              <w:widowControl w:val="false"/>
              <w:spacing w:before="0" w:after="160"/>
              <w:jc w:val="both"/>
              <w:rPr/>
            </w:pPr>
            <w:r>
              <w:rPr/>
            </w:r>
            <w:bookmarkStart w:id="4" w:name="_Hlk126079368_Copy_1"/>
            <w:bookmarkStart w:id="5" w:name="_Hlk126079368_Copy_1"/>
            <w:bookmarkEnd w:id="5"/>
          </w:p>
        </w:tc>
      </w:tr>
      <w:tr>
        <w:trPr/>
        <w:tc>
          <w:tcPr>
            <w:tcW w:w="4524" w:type="dxa"/>
            <w:tcBorders/>
          </w:tcPr>
          <w:p>
            <w:pPr>
              <w:pStyle w:val="Normal"/>
              <w:widowControl w:val="false"/>
              <w:spacing w:lineRule="atLeast" w:line="240" w:before="0" w:after="0"/>
              <w:rPr/>
            </w:pPr>
            <w:r>
              <w:rPr/>
              <w:t>ГЛАВНЫЙ</w:t>
            </w:r>
            <w:r>
              <w:rPr>
                <w:lang w:val="en-US"/>
              </w:rPr>
              <w:t xml:space="preserve"> </w:t>
            </w:r>
            <w:r>
              <w:rPr/>
              <w:t>УЧЕНЫЙ СЕКРЕТАРЬ ИНСТИТУТА</w:t>
            </w:r>
          </w:p>
        </w:tc>
        <w:tc>
          <w:tcPr>
            <w:tcW w:w="1571" w:type="dxa"/>
            <w:tcBorders/>
          </w:tcPr>
          <w:p>
            <w:pPr>
              <w:pStyle w:val="Normal"/>
              <w:widowControl w:val="false"/>
              <w:spacing w:before="0" w:after="0"/>
              <w:jc w:val="both"/>
              <w:rPr/>
            </w:pPr>
            <w:r>
              <w:rPr>
                <w:lang w:val="en-US"/>
              </w:rPr>
              <w:t>___</w:t>
            </w:r>
            <w:r>
              <w:rPr/>
              <w:t>_______</w:t>
            </w:r>
          </w:p>
          <w:p>
            <w:pPr>
              <w:pStyle w:val="Normal"/>
              <w:widowControl w:val="false"/>
              <w:spacing w:before="0" w:after="0"/>
              <w:jc w:val="center"/>
              <w:rPr>
                <w:sz w:val="16"/>
                <w:szCs w:val="16"/>
              </w:rPr>
            </w:pPr>
            <w:r>
              <w:rPr>
                <w:sz w:val="16"/>
                <w:szCs w:val="16"/>
              </w:rPr>
              <w:t>ПОДПИСЬ</w:t>
            </w:r>
          </w:p>
        </w:tc>
        <w:tc>
          <w:tcPr>
            <w:tcW w:w="1983" w:type="dxa"/>
            <w:tcBorders/>
          </w:tcPr>
          <w:p>
            <w:pPr>
              <w:pStyle w:val="Normal"/>
              <w:widowControl w:val="false"/>
              <w:spacing w:before="0" w:after="0"/>
              <w:ind w:firstLine="322"/>
              <w:jc w:val="both"/>
              <w:rPr/>
            </w:pPr>
            <w:r>
              <w:rPr/>
              <w:t>____________</w:t>
            </w:r>
          </w:p>
          <w:p>
            <w:pPr>
              <w:pStyle w:val="Normal"/>
              <w:widowControl w:val="false"/>
              <w:spacing w:lineRule="atLeast" w:line="240" w:before="0" w:after="0"/>
              <w:jc w:val="center"/>
              <w:rPr/>
            </w:pPr>
            <w:r>
              <w:rPr>
                <w:sz w:val="16"/>
                <w:szCs w:val="16"/>
              </w:rPr>
              <w:t xml:space="preserve">         </w:t>
            </w:r>
            <w:r>
              <w:rPr>
                <w:sz w:val="16"/>
                <w:szCs w:val="16"/>
              </w:rPr>
              <w:t>ФИО</w:t>
            </w:r>
          </w:p>
        </w:tc>
        <w:tc>
          <w:tcPr>
            <w:tcW w:w="1329" w:type="dxa"/>
            <w:tcBorders/>
          </w:tcPr>
          <w:p>
            <w:pPr>
              <w:pStyle w:val="Normal"/>
              <w:widowControl w:val="false"/>
              <w:spacing w:before="0" w:after="0"/>
              <w:jc w:val="both"/>
              <w:rPr/>
            </w:pPr>
            <w:r>
              <w:rPr/>
              <w:t>_________</w:t>
            </w:r>
          </w:p>
          <w:p>
            <w:pPr>
              <w:pStyle w:val="Normal"/>
              <w:widowControl w:val="false"/>
              <w:spacing w:lineRule="atLeast" w:line="240" w:before="0" w:after="0"/>
              <w:jc w:val="center"/>
              <w:rPr/>
            </w:pPr>
            <w:r>
              <w:rPr>
                <w:sz w:val="16"/>
                <w:szCs w:val="16"/>
              </w:rPr>
              <w:t>ДАТА</w:t>
            </w:r>
          </w:p>
          <w:p>
            <w:pPr>
              <w:pStyle w:val="Normal"/>
              <w:widowControl w:val="false"/>
              <w:spacing w:lineRule="atLeast" w:line="240" w:before="0" w:after="0"/>
              <w:jc w:val="center"/>
              <w:rPr>
                <w:sz w:val="16"/>
                <w:szCs w:val="16"/>
              </w:rPr>
            </w:pPr>
            <w:r>
              <w:rPr>
                <w:sz w:val="16"/>
                <w:szCs w:val="16"/>
              </w:rPr>
            </w:r>
          </w:p>
        </w:tc>
        <w:tc>
          <w:tcPr>
            <w:tcW w:w="268" w:type="dxa"/>
            <w:tcBorders/>
          </w:tcPr>
          <w:p>
            <w:pPr>
              <w:pStyle w:val="Normal"/>
              <w:widowControl w:val="false"/>
              <w:spacing w:before="0" w:after="160"/>
              <w:jc w:val="both"/>
              <w:rPr/>
            </w:pPr>
            <w:r>
              <w:rPr/>
            </w:r>
          </w:p>
        </w:tc>
      </w:tr>
      <w:tr>
        <w:trPr/>
        <w:tc>
          <w:tcPr>
            <w:tcW w:w="4524" w:type="dxa"/>
            <w:tcBorders/>
          </w:tcPr>
          <w:p>
            <w:pPr>
              <w:pStyle w:val="Normal"/>
              <w:widowControl w:val="false"/>
              <w:spacing w:lineRule="atLeast" w:line="240" w:before="0" w:after="0"/>
              <w:jc w:val="both"/>
              <w:rPr/>
            </w:pPr>
            <w:r>
              <w:rPr/>
              <w:t>ГЛАВНЫЙ ИНЖЕНЕР</w:t>
            </w:r>
          </w:p>
        </w:tc>
        <w:tc>
          <w:tcPr>
            <w:tcW w:w="1571" w:type="dxa"/>
            <w:tcBorders/>
          </w:tcPr>
          <w:p>
            <w:pPr>
              <w:pStyle w:val="Normal"/>
              <w:widowControl w:val="false"/>
              <w:spacing w:before="0" w:after="0"/>
              <w:jc w:val="both"/>
              <w:rPr/>
            </w:pPr>
            <w:r>
              <w:rPr>
                <w:lang w:val="en-US"/>
              </w:rPr>
              <w:t>____</w:t>
            </w:r>
            <w:r>
              <w:rPr/>
              <w:t>_______</w:t>
            </w:r>
          </w:p>
          <w:p>
            <w:pPr>
              <w:pStyle w:val="Normal"/>
              <w:widowControl w:val="false"/>
              <w:spacing w:before="0" w:after="0"/>
              <w:jc w:val="center"/>
              <w:rPr>
                <w:sz w:val="16"/>
                <w:szCs w:val="16"/>
              </w:rPr>
            </w:pPr>
            <w:r>
              <w:rPr>
                <w:sz w:val="16"/>
                <w:szCs w:val="16"/>
              </w:rPr>
              <w:t>ПОДПИСЬ</w:t>
            </w:r>
          </w:p>
          <w:p>
            <w:pPr>
              <w:pStyle w:val="Normal"/>
              <w:widowControl w:val="false"/>
              <w:spacing w:lineRule="atLeast" w:line="240" w:before="0" w:after="0"/>
              <w:jc w:val="both"/>
              <w:rPr/>
            </w:pPr>
            <w:r>
              <w:rPr/>
            </w:r>
          </w:p>
        </w:tc>
        <w:tc>
          <w:tcPr>
            <w:tcW w:w="1983" w:type="dxa"/>
            <w:tcBorders/>
          </w:tcPr>
          <w:p>
            <w:pPr>
              <w:pStyle w:val="Normal"/>
              <w:widowControl w:val="false"/>
              <w:spacing w:before="0" w:after="0"/>
              <w:ind w:firstLine="322"/>
              <w:jc w:val="both"/>
              <w:rPr/>
            </w:pPr>
            <w:r>
              <w:rPr/>
              <w:t>____________</w:t>
            </w:r>
          </w:p>
          <w:p>
            <w:pPr>
              <w:pStyle w:val="Normal"/>
              <w:widowControl w:val="false"/>
              <w:spacing w:lineRule="atLeast" w:line="240" w:before="0" w:after="0"/>
              <w:jc w:val="center"/>
              <w:rPr/>
            </w:pPr>
            <w:r>
              <w:rPr>
                <w:sz w:val="16"/>
                <w:szCs w:val="16"/>
              </w:rPr>
              <w:t xml:space="preserve">       </w:t>
            </w:r>
            <w:r>
              <w:rPr>
                <w:sz w:val="16"/>
                <w:szCs w:val="16"/>
              </w:rPr>
              <w:t>ФИО</w:t>
            </w:r>
          </w:p>
          <w:p>
            <w:pPr>
              <w:pStyle w:val="Normal"/>
              <w:widowControl w:val="false"/>
              <w:spacing w:lineRule="atLeast" w:line="240" w:before="0" w:after="0"/>
              <w:jc w:val="center"/>
              <w:rPr>
                <w:sz w:val="16"/>
                <w:szCs w:val="16"/>
              </w:rPr>
            </w:pPr>
            <w:r>
              <w:rPr>
                <w:sz w:val="16"/>
                <w:szCs w:val="16"/>
              </w:rPr>
            </w:r>
          </w:p>
        </w:tc>
        <w:tc>
          <w:tcPr>
            <w:tcW w:w="1329" w:type="dxa"/>
            <w:tcBorders/>
          </w:tcPr>
          <w:p>
            <w:pPr>
              <w:pStyle w:val="Normal"/>
              <w:widowControl w:val="false"/>
              <w:spacing w:before="0" w:after="0"/>
              <w:jc w:val="both"/>
              <w:rPr/>
            </w:pPr>
            <w:r>
              <w:rPr/>
              <w:t>_________</w:t>
            </w:r>
          </w:p>
          <w:p>
            <w:pPr>
              <w:pStyle w:val="Normal"/>
              <w:widowControl w:val="false"/>
              <w:spacing w:lineRule="atLeast" w:line="240" w:before="0" w:after="0"/>
              <w:jc w:val="center"/>
              <w:rPr/>
            </w:pPr>
            <w:r>
              <w:rPr>
                <w:sz w:val="16"/>
                <w:szCs w:val="16"/>
              </w:rPr>
              <w:t>ДАТА</w:t>
            </w:r>
          </w:p>
          <w:p>
            <w:pPr>
              <w:pStyle w:val="Normal"/>
              <w:widowControl w:val="false"/>
              <w:spacing w:before="0" w:after="0"/>
              <w:jc w:val="both"/>
              <w:rPr/>
            </w:pPr>
            <w:r>
              <w:rPr/>
            </w:r>
          </w:p>
        </w:tc>
        <w:tc>
          <w:tcPr>
            <w:tcW w:w="268" w:type="dxa"/>
            <w:tcBorders/>
          </w:tcPr>
          <w:p>
            <w:pPr>
              <w:pStyle w:val="Normal"/>
              <w:widowControl w:val="false"/>
              <w:spacing w:before="0" w:after="160"/>
              <w:jc w:val="both"/>
              <w:rPr/>
            </w:pPr>
            <w:r>
              <w:rPr/>
            </w:r>
          </w:p>
        </w:tc>
      </w:tr>
      <w:tr>
        <w:trPr/>
        <w:tc>
          <w:tcPr>
            <w:tcW w:w="4524" w:type="dxa"/>
            <w:tcBorders/>
          </w:tcPr>
          <w:p>
            <w:pPr>
              <w:pStyle w:val="Normal"/>
              <w:widowControl w:val="false"/>
              <w:spacing w:lineRule="atLeast" w:line="240" w:before="0" w:after="0"/>
              <w:jc w:val="both"/>
              <w:rPr/>
            </w:pPr>
            <w:r>
              <w:rPr/>
              <w:t>ДИРЕКТОР ЛАБОРАТОРИИ</w:t>
            </w:r>
          </w:p>
        </w:tc>
        <w:tc>
          <w:tcPr>
            <w:tcW w:w="1571" w:type="dxa"/>
            <w:tcBorders/>
          </w:tcPr>
          <w:p>
            <w:pPr>
              <w:pStyle w:val="Normal"/>
              <w:widowControl w:val="false"/>
              <w:spacing w:before="0" w:after="0"/>
              <w:jc w:val="both"/>
              <w:rPr/>
            </w:pPr>
            <w:r>
              <w:rPr>
                <w:lang w:val="en-US"/>
              </w:rPr>
              <w:t>____</w:t>
            </w:r>
            <w:r>
              <w:rPr/>
              <w:t>_______</w:t>
            </w:r>
          </w:p>
          <w:p>
            <w:pPr>
              <w:pStyle w:val="Normal"/>
              <w:widowControl w:val="false"/>
              <w:spacing w:before="0" w:after="0"/>
              <w:jc w:val="center"/>
              <w:rPr>
                <w:sz w:val="16"/>
                <w:szCs w:val="16"/>
              </w:rPr>
            </w:pPr>
            <w:r>
              <w:rPr>
                <w:sz w:val="16"/>
                <w:szCs w:val="16"/>
              </w:rPr>
              <w:t>ПОДПИСЬ</w:t>
            </w:r>
          </w:p>
          <w:p>
            <w:pPr>
              <w:pStyle w:val="Normal"/>
              <w:widowControl w:val="false"/>
              <w:spacing w:lineRule="atLeast" w:line="240" w:before="0" w:after="0"/>
              <w:jc w:val="both"/>
              <w:rPr/>
            </w:pPr>
            <w:r>
              <w:rPr/>
            </w:r>
          </w:p>
        </w:tc>
        <w:tc>
          <w:tcPr>
            <w:tcW w:w="1983" w:type="dxa"/>
            <w:tcBorders/>
          </w:tcPr>
          <w:p>
            <w:pPr>
              <w:pStyle w:val="Normal"/>
              <w:widowControl w:val="false"/>
              <w:spacing w:before="0" w:after="0"/>
              <w:ind w:firstLine="322"/>
              <w:jc w:val="both"/>
              <w:rPr/>
            </w:pPr>
            <w:r>
              <w:rPr/>
              <w:t>____________</w:t>
            </w:r>
          </w:p>
          <w:p>
            <w:pPr>
              <w:pStyle w:val="Normal"/>
              <w:widowControl w:val="false"/>
              <w:spacing w:lineRule="atLeast" w:line="240" w:before="0" w:after="0"/>
              <w:jc w:val="center"/>
              <w:rPr/>
            </w:pPr>
            <w:r>
              <w:rPr>
                <w:sz w:val="16"/>
                <w:szCs w:val="16"/>
              </w:rPr>
              <w:t xml:space="preserve">        </w:t>
            </w:r>
            <w:r>
              <w:rPr>
                <w:sz w:val="16"/>
                <w:szCs w:val="16"/>
              </w:rPr>
              <w:t>ФИО</w:t>
            </w:r>
          </w:p>
          <w:p>
            <w:pPr>
              <w:pStyle w:val="Normal"/>
              <w:widowControl w:val="false"/>
              <w:spacing w:lineRule="atLeast" w:line="240" w:before="0" w:after="0"/>
              <w:jc w:val="center"/>
              <w:rPr>
                <w:sz w:val="16"/>
                <w:szCs w:val="16"/>
              </w:rPr>
            </w:pPr>
            <w:r>
              <w:rPr>
                <w:sz w:val="16"/>
                <w:szCs w:val="16"/>
              </w:rPr>
            </w:r>
          </w:p>
        </w:tc>
        <w:tc>
          <w:tcPr>
            <w:tcW w:w="1329" w:type="dxa"/>
            <w:tcBorders/>
          </w:tcPr>
          <w:p>
            <w:pPr>
              <w:pStyle w:val="Normal"/>
              <w:widowControl w:val="false"/>
              <w:spacing w:before="0" w:after="0"/>
              <w:jc w:val="both"/>
              <w:rPr/>
            </w:pPr>
            <w:r>
              <w:rPr/>
              <w:t>_________</w:t>
            </w:r>
          </w:p>
          <w:p>
            <w:pPr>
              <w:pStyle w:val="Normal"/>
              <w:widowControl w:val="false"/>
              <w:spacing w:lineRule="atLeast" w:line="240" w:before="0" w:after="0"/>
              <w:jc w:val="center"/>
              <w:rPr/>
            </w:pPr>
            <w:r>
              <w:rPr>
                <w:sz w:val="16"/>
                <w:szCs w:val="16"/>
              </w:rPr>
              <w:t>ДАТА</w:t>
            </w:r>
          </w:p>
          <w:p>
            <w:pPr>
              <w:pStyle w:val="Normal"/>
              <w:widowControl w:val="false"/>
              <w:spacing w:lineRule="atLeast" w:line="240" w:before="0" w:after="0"/>
              <w:jc w:val="center"/>
              <w:rPr>
                <w:sz w:val="16"/>
                <w:szCs w:val="16"/>
              </w:rPr>
            </w:pPr>
            <w:r>
              <w:rPr>
                <w:sz w:val="16"/>
                <w:szCs w:val="16"/>
              </w:rPr>
            </w:r>
          </w:p>
        </w:tc>
        <w:tc>
          <w:tcPr>
            <w:tcW w:w="268" w:type="dxa"/>
            <w:tcBorders/>
          </w:tcPr>
          <w:p>
            <w:pPr>
              <w:pStyle w:val="Normal"/>
              <w:widowControl w:val="false"/>
              <w:spacing w:before="0" w:after="160"/>
              <w:jc w:val="both"/>
              <w:rPr/>
            </w:pPr>
            <w:r>
              <w:rPr/>
            </w:r>
          </w:p>
        </w:tc>
      </w:tr>
      <w:tr>
        <w:trPr/>
        <w:tc>
          <w:tcPr>
            <w:tcW w:w="4524" w:type="dxa"/>
            <w:tcBorders/>
          </w:tcPr>
          <w:p>
            <w:pPr>
              <w:pStyle w:val="Normal"/>
              <w:widowControl w:val="false"/>
              <w:spacing w:lineRule="atLeast" w:line="240" w:before="0" w:after="0"/>
              <w:jc w:val="both"/>
              <w:rPr/>
            </w:pPr>
            <w:r>
              <w:rPr/>
              <w:t>ГЛАВНЫЙ ИНЖЕНЕР ЛАБОРАТОРИИ</w:t>
            </w:r>
          </w:p>
        </w:tc>
        <w:tc>
          <w:tcPr>
            <w:tcW w:w="1571" w:type="dxa"/>
            <w:tcBorders/>
          </w:tcPr>
          <w:p>
            <w:pPr>
              <w:pStyle w:val="Normal"/>
              <w:widowControl w:val="false"/>
              <w:spacing w:before="0" w:after="0"/>
              <w:jc w:val="both"/>
              <w:rPr/>
            </w:pPr>
            <w:r>
              <w:rPr>
                <w:lang w:val="en-US"/>
              </w:rPr>
              <w:t>____</w:t>
            </w:r>
            <w:r>
              <w:rPr/>
              <w:t>_______</w:t>
            </w:r>
          </w:p>
          <w:p>
            <w:pPr>
              <w:pStyle w:val="Normal"/>
              <w:widowControl w:val="false"/>
              <w:spacing w:before="0" w:after="0"/>
              <w:jc w:val="center"/>
              <w:rPr>
                <w:sz w:val="16"/>
                <w:szCs w:val="16"/>
              </w:rPr>
            </w:pPr>
            <w:r>
              <w:rPr>
                <w:sz w:val="16"/>
                <w:szCs w:val="16"/>
              </w:rPr>
              <w:t>ПОДПИСЬ</w:t>
            </w:r>
          </w:p>
          <w:p>
            <w:pPr>
              <w:pStyle w:val="Normal"/>
              <w:widowControl w:val="false"/>
              <w:spacing w:lineRule="atLeast" w:line="240" w:before="0" w:after="0"/>
              <w:jc w:val="both"/>
              <w:rPr/>
            </w:pPr>
            <w:r>
              <w:rPr/>
            </w:r>
          </w:p>
        </w:tc>
        <w:tc>
          <w:tcPr>
            <w:tcW w:w="1983" w:type="dxa"/>
            <w:tcBorders/>
          </w:tcPr>
          <w:p>
            <w:pPr>
              <w:pStyle w:val="Normal"/>
              <w:widowControl w:val="false"/>
              <w:spacing w:before="0" w:after="0"/>
              <w:ind w:firstLine="322"/>
              <w:jc w:val="both"/>
              <w:rPr/>
            </w:pPr>
            <w:r>
              <w:rPr/>
              <w:t>____________</w:t>
            </w:r>
          </w:p>
          <w:p>
            <w:pPr>
              <w:pStyle w:val="Normal"/>
              <w:widowControl w:val="false"/>
              <w:spacing w:lineRule="atLeast" w:line="240" w:before="0" w:after="0"/>
              <w:jc w:val="center"/>
              <w:rPr/>
            </w:pPr>
            <w:r>
              <w:rPr>
                <w:sz w:val="16"/>
                <w:szCs w:val="16"/>
              </w:rPr>
              <w:t xml:space="preserve">       </w:t>
            </w:r>
            <w:r>
              <w:rPr>
                <w:sz w:val="16"/>
                <w:szCs w:val="16"/>
              </w:rPr>
              <w:t>ФИО</w:t>
            </w:r>
          </w:p>
          <w:p>
            <w:pPr>
              <w:pStyle w:val="Normal"/>
              <w:widowControl w:val="false"/>
              <w:spacing w:lineRule="atLeast" w:line="240" w:before="0" w:after="0"/>
              <w:jc w:val="center"/>
              <w:rPr>
                <w:sz w:val="16"/>
                <w:szCs w:val="16"/>
              </w:rPr>
            </w:pPr>
            <w:r>
              <w:rPr>
                <w:sz w:val="16"/>
                <w:szCs w:val="16"/>
              </w:rPr>
            </w:r>
          </w:p>
        </w:tc>
        <w:tc>
          <w:tcPr>
            <w:tcW w:w="1329" w:type="dxa"/>
            <w:tcBorders/>
          </w:tcPr>
          <w:p>
            <w:pPr>
              <w:pStyle w:val="Normal"/>
              <w:widowControl w:val="false"/>
              <w:spacing w:before="0" w:after="0"/>
              <w:jc w:val="both"/>
              <w:rPr/>
            </w:pPr>
            <w:r>
              <w:rPr/>
              <w:t>_________</w:t>
            </w:r>
          </w:p>
          <w:p>
            <w:pPr>
              <w:pStyle w:val="Normal"/>
              <w:widowControl w:val="false"/>
              <w:spacing w:lineRule="atLeast" w:line="240" w:before="0" w:after="0"/>
              <w:jc w:val="center"/>
              <w:rPr/>
            </w:pPr>
            <w:r>
              <w:rPr>
                <w:sz w:val="16"/>
                <w:szCs w:val="16"/>
              </w:rPr>
              <w:t>ДАТА</w:t>
            </w:r>
          </w:p>
          <w:p>
            <w:pPr>
              <w:pStyle w:val="Normal"/>
              <w:widowControl w:val="false"/>
              <w:spacing w:lineRule="atLeast" w:line="240" w:before="0" w:after="0"/>
              <w:jc w:val="center"/>
              <w:rPr>
                <w:sz w:val="16"/>
                <w:szCs w:val="16"/>
              </w:rPr>
            </w:pPr>
            <w:r>
              <w:rPr>
                <w:sz w:val="16"/>
                <w:szCs w:val="16"/>
              </w:rPr>
            </w:r>
          </w:p>
        </w:tc>
        <w:tc>
          <w:tcPr>
            <w:tcW w:w="268" w:type="dxa"/>
            <w:tcBorders/>
          </w:tcPr>
          <w:p>
            <w:pPr>
              <w:pStyle w:val="Normal"/>
              <w:widowControl w:val="false"/>
              <w:spacing w:before="0" w:after="160"/>
              <w:jc w:val="both"/>
              <w:rPr/>
            </w:pPr>
            <w:r>
              <w:rPr/>
            </w:r>
          </w:p>
        </w:tc>
      </w:tr>
      <w:tr>
        <w:trPr/>
        <w:tc>
          <w:tcPr>
            <w:tcW w:w="4524" w:type="dxa"/>
            <w:tcBorders/>
          </w:tcPr>
          <w:p>
            <w:pPr>
              <w:pStyle w:val="Normal"/>
              <w:widowControl w:val="false"/>
              <w:spacing w:lineRule="atLeast" w:line="240" w:before="0" w:after="0"/>
              <w:jc w:val="both"/>
              <w:rPr/>
            </w:pPr>
            <w:r>
              <w:rPr/>
              <w:t>УЧЕНЫЙ СЕКРЕТАРЬ ЛАБОРАТОРИИ</w:t>
            </w:r>
          </w:p>
          <w:p>
            <w:pPr>
              <w:pStyle w:val="Normal"/>
              <w:widowControl w:val="false"/>
              <w:spacing w:lineRule="atLeast" w:line="240" w:before="0" w:after="0"/>
              <w:jc w:val="both"/>
              <w:rPr/>
            </w:pPr>
            <w:r>
              <w:rPr/>
            </w:r>
          </w:p>
          <w:p>
            <w:pPr>
              <w:pStyle w:val="Normal"/>
              <w:widowControl w:val="false"/>
              <w:spacing w:lineRule="atLeast" w:line="240" w:before="0" w:after="0"/>
              <w:jc w:val="both"/>
              <w:rPr/>
            </w:pPr>
            <w:r>
              <w:rPr/>
            </w:r>
          </w:p>
          <w:p>
            <w:pPr>
              <w:pStyle w:val="Normal"/>
              <w:widowControl w:val="false"/>
              <w:spacing w:lineRule="atLeast" w:line="240" w:before="0" w:after="0"/>
              <w:jc w:val="both"/>
              <w:rPr/>
            </w:pPr>
            <w:r>
              <w:rPr/>
              <w:t>РУКОВОДИТЕЛЬ ТЕМЫ</w:t>
            </w:r>
          </w:p>
        </w:tc>
        <w:tc>
          <w:tcPr>
            <w:tcW w:w="1571" w:type="dxa"/>
            <w:tcBorders/>
          </w:tcPr>
          <w:p>
            <w:pPr>
              <w:pStyle w:val="Normal"/>
              <w:widowControl w:val="false"/>
              <w:spacing w:before="0" w:after="0"/>
              <w:jc w:val="both"/>
              <w:rPr/>
            </w:pPr>
            <w:r>
              <w:rPr>
                <w:lang w:val="en-US"/>
              </w:rPr>
              <w:t>______</w:t>
            </w:r>
            <w:r>
              <w:rPr/>
              <w:t>_____</w:t>
            </w:r>
          </w:p>
          <w:p>
            <w:pPr>
              <w:pStyle w:val="Normal"/>
              <w:widowControl w:val="false"/>
              <w:spacing w:before="0" w:after="0"/>
              <w:jc w:val="center"/>
              <w:rPr>
                <w:sz w:val="16"/>
                <w:szCs w:val="16"/>
              </w:rPr>
            </w:pPr>
            <w:r>
              <w:rPr>
                <w:sz w:val="16"/>
                <w:szCs w:val="16"/>
              </w:rPr>
              <w:t>ПОДПИСЬ</w:t>
            </w:r>
          </w:p>
          <w:p>
            <w:pPr>
              <w:pStyle w:val="Normal"/>
              <w:widowControl w:val="false"/>
              <w:spacing w:lineRule="atLeast" w:line="240" w:before="0" w:after="0"/>
              <w:jc w:val="both"/>
              <w:rPr/>
            </w:pPr>
            <w:r>
              <w:rPr/>
            </w:r>
          </w:p>
          <w:p>
            <w:pPr>
              <w:pStyle w:val="Normal"/>
              <w:widowControl w:val="false"/>
              <w:spacing w:before="0" w:after="0"/>
              <w:jc w:val="both"/>
              <w:rPr/>
            </w:pPr>
            <w:r>
              <w:rPr>
                <w:lang w:val="en-US"/>
              </w:rPr>
              <w:t>___</w:t>
            </w:r>
            <w:r>
              <w:rPr/>
              <w:t>_______</w:t>
            </w:r>
          </w:p>
          <w:p>
            <w:pPr>
              <w:pStyle w:val="Normal"/>
              <w:widowControl w:val="false"/>
              <w:spacing w:before="0" w:after="0"/>
              <w:jc w:val="center"/>
              <w:rPr>
                <w:sz w:val="16"/>
                <w:szCs w:val="16"/>
              </w:rPr>
            </w:pPr>
            <w:r>
              <w:rPr>
                <w:sz w:val="16"/>
                <w:szCs w:val="16"/>
              </w:rPr>
              <w:t>ПОДПИСЬ</w:t>
            </w:r>
          </w:p>
        </w:tc>
        <w:tc>
          <w:tcPr>
            <w:tcW w:w="1983" w:type="dxa"/>
            <w:tcBorders/>
          </w:tcPr>
          <w:p>
            <w:pPr>
              <w:pStyle w:val="Normal"/>
              <w:widowControl w:val="false"/>
              <w:spacing w:before="0" w:after="0"/>
              <w:ind w:firstLine="322"/>
              <w:jc w:val="both"/>
              <w:rPr/>
            </w:pPr>
            <w:r>
              <w:rPr/>
              <w:t>____________</w:t>
            </w:r>
          </w:p>
          <w:p>
            <w:pPr>
              <w:pStyle w:val="Normal"/>
              <w:widowControl w:val="false"/>
              <w:spacing w:lineRule="atLeast" w:line="240" w:before="0" w:after="0"/>
              <w:jc w:val="center"/>
              <w:rPr/>
            </w:pPr>
            <w:r>
              <w:rPr>
                <w:sz w:val="16"/>
                <w:szCs w:val="16"/>
              </w:rPr>
              <w:t xml:space="preserve">       </w:t>
            </w:r>
            <w:r>
              <w:rPr>
                <w:sz w:val="16"/>
                <w:szCs w:val="16"/>
              </w:rPr>
              <w:t>ФИО</w:t>
            </w:r>
          </w:p>
          <w:p>
            <w:pPr>
              <w:pStyle w:val="Normal"/>
              <w:widowControl w:val="false"/>
              <w:spacing w:lineRule="atLeast" w:line="240" w:before="0" w:after="0"/>
              <w:jc w:val="both"/>
              <w:rPr/>
            </w:pPr>
            <w:r>
              <w:rPr/>
            </w:r>
          </w:p>
          <w:p>
            <w:pPr>
              <w:pStyle w:val="Normal"/>
              <w:widowControl w:val="false"/>
              <w:spacing w:before="0" w:after="0"/>
              <w:ind w:firstLine="322"/>
              <w:jc w:val="both"/>
              <w:rPr/>
            </w:pPr>
            <w:r>
              <w:rPr/>
              <w:t>____________</w:t>
            </w:r>
          </w:p>
          <w:p>
            <w:pPr>
              <w:pStyle w:val="Normal"/>
              <w:widowControl w:val="false"/>
              <w:spacing w:lineRule="atLeast" w:line="240" w:before="0" w:after="0"/>
              <w:jc w:val="center"/>
              <w:rPr>
                <w:sz w:val="16"/>
                <w:szCs w:val="16"/>
              </w:rPr>
            </w:pPr>
            <w:r>
              <w:rPr>
                <w:sz w:val="16"/>
                <w:szCs w:val="16"/>
              </w:rPr>
              <w:t xml:space="preserve">        </w:t>
            </w:r>
            <w:r>
              <w:rPr>
                <w:sz w:val="16"/>
                <w:szCs w:val="16"/>
              </w:rPr>
              <w:t>ФИО</w:t>
            </w:r>
          </w:p>
          <w:p>
            <w:pPr>
              <w:pStyle w:val="Normal"/>
              <w:widowControl w:val="false"/>
              <w:spacing w:lineRule="atLeast" w:line="240" w:before="0" w:after="0"/>
              <w:jc w:val="center"/>
              <w:rPr>
                <w:sz w:val="16"/>
                <w:szCs w:val="16"/>
              </w:rPr>
            </w:pPr>
            <w:r>
              <w:rPr>
                <w:sz w:val="16"/>
                <w:szCs w:val="16"/>
              </w:rPr>
            </w:r>
          </w:p>
        </w:tc>
        <w:tc>
          <w:tcPr>
            <w:tcW w:w="1329" w:type="dxa"/>
            <w:tcBorders/>
          </w:tcPr>
          <w:p>
            <w:pPr>
              <w:pStyle w:val="Normal"/>
              <w:widowControl w:val="false"/>
              <w:spacing w:before="0" w:after="0"/>
              <w:jc w:val="both"/>
              <w:rPr/>
            </w:pPr>
            <w:r>
              <w:rPr/>
              <w:t>_________</w:t>
            </w:r>
          </w:p>
          <w:p>
            <w:pPr>
              <w:pStyle w:val="Normal"/>
              <w:widowControl w:val="false"/>
              <w:spacing w:lineRule="atLeast" w:line="240" w:before="0" w:after="0"/>
              <w:jc w:val="center"/>
              <w:rPr/>
            </w:pPr>
            <w:r>
              <w:rPr>
                <w:sz w:val="16"/>
                <w:szCs w:val="16"/>
              </w:rPr>
              <w:t>ДАТА</w:t>
            </w:r>
          </w:p>
          <w:p>
            <w:pPr>
              <w:pStyle w:val="Normal"/>
              <w:widowControl w:val="false"/>
              <w:spacing w:lineRule="atLeast" w:line="240" w:before="0" w:after="0"/>
              <w:jc w:val="center"/>
              <w:rPr>
                <w:sz w:val="16"/>
                <w:szCs w:val="16"/>
              </w:rPr>
            </w:pPr>
            <w:r>
              <w:rPr>
                <w:sz w:val="16"/>
                <w:szCs w:val="16"/>
              </w:rPr>
            </w:r>
          </w:p>
          <w:p>
            <w:pPr>
              <w:pStyle w:val="Normal"/>
              <w:widowControl w:val="false"/>
              <w:spacing w:before="0" w:after="0"/>
              <w:jc w:val="both"/>
              <w:rPr/>
            </w:pPr>
            <w:r>
              <w:rPr/>
              <w:t>_________</w:t>
            </w:r>
          </w:p>
          <w:p>
            <w:pPr>
              <w:pStyle w:val="Normal"/>
              <w:widowControl w:val="false"/>
              <w:spacing w:lineRule="atLeast" w:line="240" w:before="0" w:after="0"/>
              <w:jc w:val="center"/>
              <w:rPr/>
            </w:pPr>
            <w:r>
              <w:rPr>
                <w:sz w:val="16"/>
                <w:szCs w:val="16"/>
              </w:rPr>
              <w:t>ДАТА</w:t>
            </w:r>
          </w:p>
          <w:p>
            <w:pPr>
              <w:pStyle w:val="Normal"/>
              <w:widowControl w:val="false"/>
              <w:spacing w:lineRule="atLeast" w:line="240" w:before="0" w:after="0"/>
              <w:jc w:val="center"/>
              <w:rPr/>
            </w:pPr>
            <w:r>
              <w:rPr/>
            </w:r>
          </w:p>
        </w:tc>
        <w:tc>
          <w:tcPr>
            <w:tcW w:w="268" w:type="dxa"/>
            <w:tcBorders/>
          </w:tcPr>
          <w:p>
            <w:pPr>
              <w:pStyle w:val="Normal"/>
              <w:widowControl w:val="false"/>
              <w:spacing w:before="0" w:after="160"/>
              <w:jc w:val="both"/>
              <w:rPr/>
            </w:pPr>
            <w:r>
              <w:rPr/>
            </w:r>
          </w:p>
        </w:tc>
      </w:tr>
      <w:tr>
        <w:trPr/>
        <w:tc>
          <w:tcPr>
            <w:tcW w:w="4524" w:type="dxa"/>
            <w:tcBorders/>
          </w:tcPr>
          <w:p>
            <w:pPr>
              <w:pStyle w:val="Normal"/>
              <w:widowControl w:val="false"/>
              <w:spacing w:lineRule="atLeast" w:line="240" w:before="0" w:after="0"/>
              <w:jc w:val="both"/>
              <w:rPr/>
            </w:pPr>
            <w:r>
              <w:rPr/>
              <w:t xml:space="preserve">РУКОВОДИТЕЛЬ ПРОЕКТА </w:t>
            </w:r>
          </w:p>
        </w:tc>
        <w:tc>
          <w:tcPr>
            <w:tcW w:w="1571" w:type="dxa"/>
            <w:tcBorders/>
          </w:tcPr>
          <w:p>
            <w:pPr>
              <w:pStyle w:val="Normal"/>
              <w:widowControl w:val="false"/>
              <w:spacing w:before="0" w:after="0"/>
              <w:jc w:val="both"/>
              <w:rPr/>
            </w:pPr>
            <w:r>
              <w:rPr>
                <w:lang w:val="en-US"/>
              </w:rPr>
              <w:t>__</w:t>
            </w:r>
            <w:r>
              <w:rPr/>
              <w:t>_________</w:t>
            </w:r>
          </w:p>
          <w:p>
            <w:pPr>
              <w:pStyle w:val="Normal"/>
              <w:widowControl w:val="false"/>
              <w:spacing w:before="0" w:after="0"/>
              <w:jc w:val="center"/>
              <w:rPr>
                <w:sz w:val="16"/>
                <w:szCs w:val="16"/>
              </w:rPr>
            </w:pPr>
            <w:r>
              <w:rPr>
                <w:sz w:val="16"/>
                <w:szCs w:val="16"/>
              </w:rPr>
              <w:t>ПОДПИСЬ</w:t>
            </w:r>
          </w:p>
        </w:tc>
        <w:tc>
          <w:tcPr>
            <w:tcW w:w="1983" w:type="dxa"/>
            <w:tcBorders/>
          </w:tcPr>
          <w:p>
            <w:pPr>
              <w:pStyle w:val="Normal"/>
              <w:widowControl w:val="false"/>
              <w:spacing w:before="0" w:after="0"/>
              <w:ind w:firstLine="322"/>
              <w:jc w:val="both"/>
              <w:rPr/>
            </w:pPr>
            <w:r>
              <w:rPr/>
              <w:t>____________</w:t>
            </w:r>
          </w:p>
          <w:p>
            <w:pPr>
              <w:pStyle w:val="Normal"/>
              <w:widowControl w:val="false"/>
              <w:spacing w:lineRule="atLeast" w:line="240" w:before="0" w:after="0"/>
              <w:jc w:val="both"/>
              <w:rPr/>
            </w:pPr>
            <w:r>
              <w:rPr>
                <w:sz w:val="16"/>
                <w:szCs w:val="16"/>
              </w:rPr>
              <w:t xml:space="preserve">                       </w:t>
            </w:r>
            <w:r>
              <w:rPr>
                <w:sz w:val="16"/>
                <w:szCs w:val="16"/>
              </w:rPr>
              <w:t>ФИО</w:t>
            </w:r>
          </w:p>
          <w:p>
            <w:pPr>
              <w:pStyle w:val="Normal"/>
              <w:widowControl w:val="false"/>
              <w:spacing w:lineRule="atLeast" w:line="240" w:before="0" w:after="0"/>
              <w:jc w:val="center"/>
              <w:rPr>
                <w:sz w:val="16"/>
                <w:szCs w:val="16"/>
              </w:rPr>
            </w:pPr>
            <w:r>
              <w:rPr>
                <w:sz w:val="16"/>
                <w:szCs w:val="16"/>
              </w:rPr>
            </w:r>
          </w:p>
        </w:tc>
        <w:tc>
          <w:tcPr>
            <w:tcW w:w="1329" w:type="dxa"/>
            <w:tcBorders/>
          </w:tcPr>
          <w:p>
            <w:pPr>
              <w:pStyle w:val="Normal"/>
              <w:widowControl w:val="false"/>
              <w:spacing w:before="0" w:after="0"/>
              <w:jc w:val="both"/>
              <w:rPr/>
            </w:pPr>
            <w:r>
              <w:rPr/>
              <w:t>_________</w:t>
            </w:r>
          </w:p>
          <w:p>
            <w:pPr>
              <w:pStyle w:val="Normal"/>
              <w:widowControl w:val="false"/>
              <w:spacing w:lineRule="atLeast" w:line="240" w:before="0" w:after="0"/>
              <w:jc w:val="center"/>
              <w:rPr/>
            </w:pPr>
            <w:r>
              <w:rPr>
                <w:sz w:val="16"/>
                <w:szCs w:val="16"/>
              </w:rPr>
              <w:t>ДАТА</w:t>
            </w:r>
          </w:p>
          <w:p>
            <w:pPr>
              <w:pStyle w:val="Normal"/>
              <w:widowControl w:val="false"/>
              <w:spacing w:lineRule="atLeast" w:line="240" w:before="0" w:after="0"/>
              <w:jc w:val="both"/>
              <w:rPr>
                <w:sz w:val="16"/>
                <w:szCs w:val="16"/>
              </w:rPr>
            </w:pPr>
            <w:r>
              <w:rPr>
                <w:sz w:val="16"/>
                <w:szCs w:val="16"/>
              </w:rPr>
            </w:r>
          </w:p>
        </w:tc>
        <w:tc>
          <w:tcPr>
            <w:tcW w:w="268" w:type="dxa"/>
            <w:tcBorders/>
          </w:tcPr>
          <w:p>
            <w:pPr>
              <w:pStyle w:val="Normal"/>
              <w:widowControl w:val="false"/>
              <w:spacing w:before="0" w:after="160"/>
              <w:jc w:val="both"/>
              <w:rPr/>
            </w:pPr>
            <w:r>
              <w:rPr/>
            </w:r>
          </w:p>
        </w:tc>
      </w:tr>
    </w:tbl>
    <w:p>
      <w:pPr>
        <w:pStyle w:val="Normal"/>
        <w:spacing w:before="0" w:after="0"/>
        <w:rPr>
          <w:b/>
          <w:bCs/>
        </w:rPr>
      </w:pPr>
      <w:r>
        <w:rPr>
          <w:b/>
          <w:bCs/>
        </w:rPr>
      </w:r>
    </w:p>
    <w:tbl>
      <w:tblPr>
        <w:tblW w:w="9675" w:type="dxa"/>
        <w:jc w:val="left"/>
        <w:tblInd w:w="0" w:type="dxa"/>
        <w:tblLayout w:type="fixed"/>
        <w:tblCellMar>
          <w:top w:w="0" w:type="dxa"/>
          <w:left w:w="108" w:type="dxa"/>
          <w:bottom w:w="0" w:type="dxa"/>
          <w:right w:w="108" w:type="dxa"/>
        </w:tblCellMar>
        <w:tblLook w:val="01e0" w:noHBand="0" w:noVBand="0" w:firstColumn="1" w:lastRow="1" w:lastColumn="1" w:firstRow="1"/>
      </w:tblPr>
      <w:tblGrid>
        <w:gridCol w:w="4524"/>
        <w:gridCol w:w="1573"/>
        <w:gridCol w:w="1983"/>
        <w:gridCol w:w="1594"/>
      </w:tblGrid>
      <w:tr>
        <w:trPr/>
        <w:tc>
          <w:tcPr>
            <w:tcW w:w="4524" w:type="dxa"/>
            <w:tcBorders/>
          </w:tcPr>
          <w:p>
            <w:pPr>
              <w:pStyle w:val="Normal"/>
              <w:widowControl w:val="false"/>
              <w:spacing w:before="0" w:after="0"/>
              <w:jc w:val="both"/>
              <w:rPr/>
            </w:pPr>
            <w:r>
              <w:rPr/>
            </w:r>
          </w:p>
          <w:p>
            <w:pPr>
              <w:pStyle w:val="Normal"/>
              <w:widowControl w:val="false"/>
              <w:spacing w:before="0" w:after="0"/>
              <w:jc w:val="both"/>
              <w:rPr/>
            </w:pPr>
            <w:r>
              <w:rPr/>
            </w:r>
          </w:p>
          <w:p>
            <w:pPr>
              <w:pStyle w:val="Normal"/>
              <w:widowControl w:val="false"/>
              <w:spacing w:before="0" w:after="0"/>
              <w:jc w:val="both"/>
              <w:rPr/>
            </w:pPr>
            <w:r>
              <w:rPr/>
            </w:r>
          </w:p>
          <w:p>
            <w:pPr>
              <w:pStyle w:val="Normal"/>
              <w:widowControl w:val="false"/>
              <w:spacing w:before="0" w:after="0"/>
              <w:jc w:val="both"/>
              <w:rPr/>
            </w:pPr>
            <w:r>
              <w:rPr/>
            </w:r>
          </w:p>
          <w:p>
            <w:pPr>
              <w:pStyle w:val="Normal"/>
              <w:widowControl w:val="false"/>
              <w:spacing w:before="0" w:after="0"/>
              <w:jc w:val="both"/>
              <w:rPr/>
            </w:pPr>
            <w:r>
              <w:rPr/>
            </w:r>
          </w:p>
          <w:p>
            <w:pPr>
              <w:pStyle w:val="Normal"/>
              <w:widowControl w:val="false"/>
              <w:spacing w:before="0" w:after="0"/>
              <w:jc w:val="both"/>
              <w:rPr/>
            </w:pPr>
            <w:r>
              <w:rPr/>
            </w:r>
          </w:p>
          <w:p>
            <w:pPr>
              <w:pStyle w:val="Normal"/>
              <w:widowControl w:val="false"/>
              <w:spacing w:before="0" w:after="0"/>
              <w:jc w:val="both"/>
              <w:rPr/>
            </w:pPr>
            <w:r>
              <w:rPr/>
            </w:r>
          </w:p>
          <w:p>
            <w:pPr>
              <w:pStyle w:val="Normal"/>
              <w:widowControl w:val="false"/>
              <w:spacing w:before="0" w:after="0"/>
              <w:jc w:val="both"/>
              <w:rPr/>
            </w:pPr>
            <w:r>
              <w:rPr/>
            </w:r>
          </w:p>
          <w:p>
            <w:pPr>
              <w:pStyle w:val="Normal"/>
              <w:widowControl w:val="false"/>
              <w:spacing w:before="0" w:after="0"/>
              <w:jc w:val="both"/>
              <w:rPr/>
            </w:pPr>
            <w:r>
              <w:rPr/>
              <w:t>ОДОБРЕН ПКК ПО НАПРАВЛЕНИЮ</w:t>
            </w:r>
          </w:p>
        </w:tc>
        <w:tc>
          <w:tcPr>
            <w:tcW w:w="1573" w:type="dxa"/>
            <w:tcBorders/>
          </w:tcPr>
          <w:p>
            <w:pPr>
              <w:pStyle w:val="Normal"/>
              <w:widowControl w:val="false"/>
              <w:spacing w:before="0" w:after="0"/>
              <w:jc w:val="both"/>
              <w:rPr>
                <w:lang w:val="en-US"/>
              </w:rPr>
            </w:pPr>
            <w:r>
              <w:rPr>
                <w:lang w:val="en-US"/>
              </w:rPr>
            </w:r>
          </w:p>
          <w:p>
            <w:pPr>
              <w:pStyle w:val="Normal"/>
              <w:widowControl w:val="false"/>
              <w:spacing w:before="0" w:after="0"/>
              <w:jc w:val="both"/>
              <w:rPr>
                <w:lang w:val="en-US"/>
              </w:rPr>
            </w:pPr>
            <w:r>
              <w:rPr>
                <w:lang w:val="en-US"/>
              </w:rPr>
            </w:r>
          </w:p>
          <w:p>
            <w:pPr>
              <w:pStyle w:val="Normal"/>
              <w:widowControl w:val="false"/>
              <w:spacing w:before="0" w:after="0"/>
              <w:jc w:val="both"/>
              <w:rPr>
                <w:lang w:val="en-US"/>
              </w:rPr>
            </w:pPr>
            <w:r>
              <w:rPr>
                <w:lang w:val="en-US"/>
              </w:rPr>
            </w:r>
          </w:p>
          <w:p>
            <w:pPr>
              <w:pStyle w:val="Normal"/>
              <w:widowControl w:val="false"/>
              <w:spacing w:before="0" w:after="0"/>
              <w:jc w:val="both"/>
              <w:rPr>
                <w:lang w:val="en-US"/>
              </w:rPr>
            </w:pPr>
            <w:r>
              <w:rPr>
                <w:lang w:val="en-US"/>
              </w:rPr>
            </w:r>
          </w:p>
          <w:p>
            <w:pPr>
              <w:pStyle w:val="Normal"/>
              <w:widowControl w:val="false"/>
              <w:spacing w:before="0" w:after="0"/>
              <w:jc w:val="both"/>
              <w:rPr>
                <w:lang w:val="en-US"/>
              </w:rPr>
            </w:pPr>
            <w:r>
              <w:rPr>
                <w:lang w:val="en-US"/>
              </w:rPr>
            </w:r>
          </w:p>
          <w:p>
            <w:pPr>
              <w:pStyle w:val="Normal"/>
              <w:widowControl w:val="false"/>
              <w:spacing w:before="0" w:after="0"/>
              <w:jc w:val="both"/>
              <w:rPr>
                <w:lang w:val="en-US"/>
              </w:rPr>
            </w:pPr>
            <w:r>
              <w:rPr>
                <w:lang w:val="en-US"/>
              </w:rPr>
            </w:r>
          </w:p>
          <w:p>
            <w:pPr>
              <w:pStyle w:val="Normal"/>
              <w:widowControl w:val="false"/>
              <w:spacing w:before="0" w:after="0"/>
              <w:jc w:val="both"/>
              <w:rPr>
                <w:lang w:val="en-US"/>
              </w:rPr>
            </w:pPr>
            <w:r>
              <w:rPr>
                <w:lang w:val="en-US"/>
              </w:rPr>
            </w:r>
          </w:p>
          <w:p>
            <w:pPr>
              <w:pStyle w:val="Normal"/>
              <w:widowControl w:val="false"/>
              <w:spacing w:before="0" w:after="0"/>
              <w:jc w:val="both"/>
              <w:rPr>
                <w:lang w:val="en-US"/>
              </w:rPr>
            </w:pPr>
            <w:r>
              <w:rPr>
                <w:lang w:val="en-US"/>
              </w:rPr>
            </w:r>
          </w:p>
          <w:p>
            <w:pPr>
              <w:pStyle w:val="Normal"/>
              <w:widowControl w:val="false"/>
              <w:spacing w:before="0" w:after="0"/>
              <w:jc w:val="both"/>
              <w:rPr/>
            </w:pPr>
            <w:r>
              <w:rPr>
                <w:lang w:val="en-US"/>
              </w:rPr>
              <w:t>___</w:t>
            </w:r>
            <w:r>
              <w:rPr/>
              <w:t>_______</w:t>
            </w:r>
          </w:p>
          <w:p>
            <w:pPr>
              <w:pStyle w:val="Normal"/>
              <w:widowControl w:val="false"/>
              <w:spacing w:before="0" w:after="0"/>
              <w:jc w:val="center"/>
              <w:rPr>
                <w:sz w:val="16"/>
                <w:szCs w:val="16"/>
              </w:rPr>
            </w:pPr>
            <w:r>
              <w:rPr>
                <w:sz w:val="16"/>
                <w:szCs w:val="16"/>
              </w:rPr>
              <w:t>ПОДПИСЬ</w:t>
            </w:r>
          </w:p>
          <w:p>
            <w:pPr>
              <w:pStyle w:val="Normal"/>
              <w:widowControl w:val="false"/>
              <w:spacing w:before="0" w:after="0"/>
              <w:jc w:val="center"/>
              <w:rPr/>
            </w:pPr>
            <w:r>
              <w:rPr/>
            </w:r>
          </w:p>
        </w:tc>
        <w:tc>
          <w:tcPr>
            <w:tcW w:w="1983" w:type="dxa"/>
            <w:tcBorders/>
          </w:tcPr>
          <w:p>
            <w:pPr>
              <w:pStyle w:val="Normal"/>
              <w:widowControl w:val="false"/>
              <w:spacing w:before="0" w:after="0"/>
              <w:ind w:firstLine="322"/>
              <w:jc w:val="both"/>
              <w:rPr/>
            </w:pPr>
            <w:r>
              <w:rPr/>
            </w:r>
          </w:p>
          <w:p>
            <w:pPr>
              <w:pStyle w:val="Normal"/>
              <w:widowControl w:val="false"/>
              <w:spacing w:before="0" w:after="0"/>
              <w:ind w:firstLine="322"/>
              <w:jc w:val="both"/>
              <w:rPr/>
            </w:pPr>
            <w:r>
              <w:rPr/>
            </w:r>
          </w:p>
          <w:p>
            <w:pPr>
              <w:pStyle w:val="Normal"/>
              <w:widowControl w:val="false"/>
              <w:spacing w:before="0" w:after="0"/>
              <w:ind w:firstLine="322"/>
              <w:jc w:val="both"/>
              <w:rPr/>
            </w:pPr>
            <w:r>
              <w:rPr/>
            </w:r>
          </w:p>
          <w:p>
            <w:pPr>
              <w:pStyle w:val="Normal"/>
              <w:widowControl w:val="false"/>
              <w:spacing w:before="0" w:after="0"/>
              <w:ind w:firstLine="322"/>
              <w:jc w:val="both"/>
              <w:rPr/>
            </w:pPr>
            <w:r>
              <w:rPr/>
            </w:r>
          </w:p>
          <w:p>
            <w:pPr>
              <w:pStyle w:val="Normal"/>
              <w:widowControl w:val="false"/>
              <w:spacing w:before="0" w:after="0"/>
              <w:jc w:val="both"/>
              <w:rPr/>
            </w:pPr>
            <w:r>
              <w:rPr/>
            </w:r>
          </w:p>
          <w:p>
            <w:pPr>
              <w:pStyle w:val="Normal"/>
              <w:widowControl w:val="false"/>
              <w:spacing w:before="0" w:after="0"/>
              <w:jc w:val="both"/>
              <w:rPr/>
            </w:pPr>
            <w:r>
              <w:rPr/>
            </w:r>
          </w:p>
          <w:p>
            <w:pPr>
              <w:pStyle w:val="Normal"/>
              <w:widowControl w:val="false"/>
              <w:spacing w:before="0" w:after="0"/>
              <w:jc w:val="both"/>
              <w:rPr/>
            </w:pPr>
            <w:r>
              <w:rPr/>
            </w:r>
          </w:p>
          <w:p>
            <w:pPr>
              <w:pStyle w:val="Normal"/>
              <w:widowControl w:val="false"/>
              <w:spacing w:before="0" w:after="0"/>
              <w:jc w:val="both"/>
              <w:rPr/>
            </w:pPr>
            <w:r>
              <w:rPr/>
            </w:r>
          </w:p>
          <w:p>
            <w:pPr>
              <w:pStyle w:val="Normal"/>
              <w:widowControl w:val="false"/>
              <w:spacing w:before="0" w:after="0"/>
              <w:jc w:val="both"/>
              <w:rPr/>
            </w:pPr>
            <w:r>
              <w:rPr/>
              <w:t>__________</w:t>
            </w:r>
          </w:p>
          <w:p>
            <w:pPr>
              <w:pStyle w:val="Normal"/>
              <w:widowControl w:val="false"/>
              <w:spacing w:lineRule="atLeast" w:line="240" w:before="0" w:after="0"/>
              <w:jc w:val="center"/>
              <w:rPr>
                <w:lang w:val="en-US"/>
              </w:rPr>
            </w:pPr>
            <w:r>
              <w:rPr>
                <w:sz w:val="16"/>
                <w:szCs w:val="16"/>
              </w:rPr>
              <w:t>ФИО</w:t>
            </w:r>
          </w:p>
        </w:tc>
        <w:tc>
          <w:tcPr>
            <w:tcW w:w="1594" w:type="dxa"/>
            <w:tcBorders/>
          </w:tcPr>
          <w:p>
            <w:pPr>
              <w:pStyle w:val="Normal"/>
              <w:widowControl w:val="false"/>
              <w:spacing w:before="0" w:after="0"/>
              <w:jc w:val="both"/>
              <w:rPr/>
            </w:pPr>
            <w:r>
              <w:rPr/>
            </w:r>
          </w:p>
          <w:p>
            <w:pPr>
              <w:pStyle w:val="Normal"/>
              <w:widowControl w:val="false"/>
              <w:spacing w:before="0" w:after="0"/>
              <w:jc w:val="both"/>
              <w:rPr/>
            </w:pPr>
            <w:r>
              <w:rPr/>
            </w:r>
          </w:p>
          <w:p>
            <w:pPr>
              <w:pStyle w:val="Normal"/>
              <w:widowControl w:val="false"/>
              <w:spacing w:before="0" w:after="0"/>
              <w:jc w:val="both"/>
              <w:rPr/>
            </w:pPr>
            <w:r>
              <w:rPr/>
            </w:r>
          </w:p>
          <w:p>
            <w:pPr>
              <w:pStyle w:val="Normal"/>
              <w:widowControl w:val="false"/>
              <w:spacing w:before="0" w:after="0"/>
              <w:jc w:val="both"/>
              <w:rPr/>
            </w:pPr>
            <w:r>
              <w:rPr/>
            </w:r>
          </w:p>
          <w:p>
            <w:pPr>
              <w:pStyle w:val="Normal"/>
              <w:widowControl w:val="false"/>
              <w:spacing w:before="0" w:after="0"/>
              <w:jc w:val="both"/>
              <w:rPr/>
            </w:pPr>
            <w:r>
              <w:rPr/>
            </w:r>
          </w:p>
          <w:p>
            <w:pPr>
              <w:pStyle w:val="Normal"/>
              <w:widowControl w:val="false"/>
              <w:spacing w:before="0" w:after="0"/>
              <w:jc w:val="both"/>
              <w:rPr/>
            </w:pPr>
            <w:r>
              <w:rPr/>
            </w:r>
          </w:p>
          <w:p>
            <w:pPr>
              <w:pStyle w:val="Normal"/>
              <w:widowControl w:val="false"/>
              <w:spacing w:before="0" w:after="0"/>
              <w:jc w:val="both"/>
              <w:rPr/>
            </w:pPr>
            <w:r>
              <w:rPr/>
            </w:r>
          </w:p>
          <w:p>
            <w:pPr>
              <w:pStyle w:val="Normal"/>
              <w:widowControl w:val="false"/>
              <w:spacing w:before="0" w:after="0"/>
              <w:jc w:val="both"/>
              <w:rPr/>
            </w:pPr>
            <w:r>
              <w:rPr/>
            </w:r>
          </w:p>
          <w:p>
            <w:pPr>
              <w:pStyle w:val="Normal"/>
              <w:widowControl w:val="false"/>
              <w:spacing w:before="0" w:after="0"/>
              <w:jc w:val="both"/>
              <w:rPr/>
            </w:pPr>
            <w:r>
              <w:rPr/>
              <w:t>_________</w:t>
            </w:r>
          </w:p>
          <w:p>
            <w:pPr>
              <w:pStyle w:val="Normal"/>
              <w:widowControl w:val="false"/>
              <w:spacing w:before="0" w:after="0"/>
              <w:jc w:val="center"/>
              <w:rPr>
                <w:sz w:val="16"/>
                <w:szCs w:val="16"/>
              </w:rPr>
            </w:pPr>
            <w:r>
              <w:rPr>
                <w:sz w:val="16"/>
                <w:szCs w:val="16"/>
              </w:rPr>
              <w:t>ДАТА</w:t>
            </w:r>
          </w:p>
        </w:tc>
      </w:tr>
    </w:tbl>
    <w:p>
      <w:pPr>
        <w:pStyle w:val="Normal"/>
        <w:spacing w:before="0" w:after="160"/>
        <w:jc w:val="right"/>
        <w:rPr/>
      </w:pPr>
      <w:r>
        <w:rPr/>
      </w:r>
    </w:p>
    <w:sectPr>
      <w:footnotePr>
        <w:numFmt w:val="decimal"/>
      </w:footnotePr>
      <w:type w:val="nextPage"/>
      <w:pgSz w:w="11906" w:h="16838"/>
      <w:pgMar w:left="1701" w:right="850" w:gutter="0" w:header="0" w:top="1134" w:footer="0" w:bottom="1134"/>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imes New Roman">
    <w:charset w:val="01"/>
    <w:family w:val="roman"/>
    <w:pitch w:val="variable"/>
  </w:font>
  <w:font w:name="Liberation Sans">
    <w:altName w:val="Arial"/>
    <w:charset w:val="01"/>
    <w:family w:val="roman"/>
    <w:pitch w:val="variable"/>
  </w:font>
  <w:font w:name="OpenSymbol">
    <w:altName w:val="Arial Unicode MS"/>
    <w:charset w:val="01"/>
    <w:family w:val="roman"/>
    <w:pitch w:val="variable"/>
  </w:font>
  <w:font w:name="Arial">
    <w:charset w:val="01"/>
    <w:family w:val="roman"/>
    <w:pitch w:val="variable"/>
  </w:font>
  <w:font w:name="Cambria Math">
    <w:charset w:val="01"/>
    <w:family w:val="roman"/>
    <w:pitch w:val="variable"/>
  </w:font>
  <w:font w:name="Symbol">
    <w:charset w:val="02"/>
    <w:family w:val="auto"/>
    <w:pitch w:val="default"/>
  </w:font>
  <w:font w:name="Courier New">
    <w:charset w:val="01"/>
    <w:family w:val="modern"/>
    <w:pitch w:val="fixed"/>
  </w:font>
  <w:font w:name="Wingdings">
    <w:charset w:val="02"/>
    <w:family w:val="auto"/>
    <w:pitch w:val="default"/>
  </w:font>
</w:fonts>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footnote w:id="0" w:type="separator">
    <w:p>
      <w:pPr>
        <w:rPr>
          <w:sz w:val="12"/>
        </w:rPr>
      </w:pPr>
      <w:r>
        <w:separator/>
      </w:r>
    </w:p>
  </w:footnote>
  <w:footnote w:id="1" w:type="continuationSeparator">
    <w:p>
      <w:pPr>
        <w:rPr>
          <w:sz w:val="12"/>
        </w:rPr>
      </w:pPr>
      <w:r>
        <w:continuationSeparator/>
      </w:r>
    </w:p>
  </w:footnote>
  <w:footnote w:id="2">
    <w:p>
      <w:pPr>
        <w:pStyle w:val="Normal"/>
        <w:jc w:val="both"/>
        <w:rPr>
          <w:sz w:val="20"/>
          <w:szCs w:val="20"/>
        </w:rPr>
      </w:pPr>
      <w:r>
        <w:rPr>
          <w:rStyle w:val="FootnoteCharacters"/>
        </w:rPr>
        <w:footnoteRef/>
      </w:r>
      <w:r>
        <w:rPr/>
        <w:t xml:space="preserve"> </w:t>
      </w:r>
      <w:r>
        <w:rPr>
          <w:sz w:val="20"/>
          <w:szCs w:val="20"/>
        </w:rPr>
        <w:t xml:space="preserve"> </w:t>
      </w:r>
      <w:r>
        <w:rPr>
          <w:sz w:val="20"/>
          <w:szCs w:val="20"/>
        </w:rPr>
        <w:t xml:space="preserve">Значение </w:t>
      </w:r>
      <w:r>
        <w:rPr>
          <w:sz w:val="20"/>
          <w:szCs w:val="20"/>
          <w:lang w:val="en-US"/>
        </w:rPr>
        <w:t>CORE</w:t>
      </w:r>
      <w:r>
        <w:rPr>
          <w:sz w:val="20"/>
          <w:szCs w:val="20"/>
        </w:rPr>
        <w:t xml:space="preserve"> (стоимость обмена ресурсами) определяет только прямую стоимость результата; оно не включает сопутствующие затраты на рабочую силу, колебания валютного курса, затраты на прототипирование, затраты на НИОКР и </w:t>
      </w:r>
      <w:r>
        <w:rPr>
          <w:color w:val="0093D9"/>
          <w:sz w:val="20"/>
          <w:szCs w:val="20"/>
        </w:rPr>
        <w:t>т.д</w:t>
      </w:r>
      <w:r>
        <w:rPr>
          <w:sz w:val="20"/>
          <w:szCs w:val="20"/>
        </w:rPr>
        <w:t>. Оно включает такие позиции, как компоненты, промышленный персонал (но не персонал института) для производства, аутсорсинговые части сборки, установки, испытаний и ввода в эксплуатацию.</w:t>
      </w:r>
    </w:p>
    <w:p>
      <w:pPr>
        <w:pStyle w:val="FootnoteText"/>
        <w:rPr/>
      </w:pPr>
      <w:r>
        <w:rPr/>
      </w:r>
    </w:p>
  </w:footnote>
</w:footnote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924"/>
        </w:tabs>
        <w:ind w:left="0" w:firstLine="567"/>
      </w:pPr>
      <w:rPr>
        <w:rFonts w:ascii="Symbol" w:hAnsi="Symbol" w:cs="Symbol" w:hint="default"/>
      </w:rPr>
    </w:lvl>
    <w:lvl w:ilvl="1">
      <w:start w:val="1"/>
      <w:numFmt w:val="bullet"/>
      <w:lvlText w:val="o"/>
      <w:lvlJc w:val="left"/>
      <w:pPr>
        <w:tabs>
          <w:tab w:val="num" w:pos="0"/>
        </w:tabs>
        <w:ind w:left="1615" w:hanging="360"/>
      </w:pPr>
      <w:rPr>
        <w:rFonts w:ascii="Courier New" w:hAnsi="Courier New" w:cs="Courier New" w:hint="default"/>
      </w:rPr>
    </w:lvl>
    <w:lvl w:ilvl="2">
      <w:start w:val="1"/>
      <w:numFmt w:val="bullet"/>
      <w:lvlText w:val=""/>
      <w:lvlJc w:val="left"/>
      <w:pPr>
        <w:tabs>
          <w:tab w:val="num" w:pos="0"/>
        </w:tabs>
        <w:ind w:left="2335" w:hanging="360"/>
      </w:pPr>
      <w:rPr>
        <w:rFonts w:ascii="Wingdings" w:hAnsi="Wingdings" w:cs="Wingdings" w:hint="default"/>
      </w:rPr>
    </w:lvl>
    <w:lvl w:ilvl="3">
      <w:start w:val="1"/>
      <w:numFmt w:val="bullet"/>
      <w:lvlText w:val=""/>
      <w:lvlJc w:val="left"/>
      <w:pPr>
        <w:tabs>
          <w:tab w:val="num" w:pos="0"/>
        </w:tabs>
        <w:ind w:left="3055" w:hanging="360"/>
      </w:pPr>
      <w:rPr>
        <w:rFonts w:ascii="Symbol" w:hAnsi="Symbol" w:cs="Symbol" w:hint="default"/>
      </w:rPr>
    </w:lvl>
    <w:lvl w:ilvl="4">
      <w:start w:val="1"/>
      <w:numFmt w:val="bullet"/>
      <w:lvlText w:val="o"/>
      <w:lvlJc w:val="left"/>
      <w:pPr>
        <w:tabs>
          <w:tab w:val="num" w:pos="0"/>
        </w:tabs>
        <w:ind w:left="3775" w:hanging="360"/>
      </w:pPr>
      <w:rPr>
        <w:rFonts w:ascii="Courier New" w:hAnsi="Courier New" w:cs="Courier New" w:hint="default"/>
      </w:rPr>
    </w:lvl>
    <w:lvl w:ilvl="5">
      <w:start w:val="1"/>
      <w:numFmt w:val="bullet"/>
      <w:lvlText w:val=""/>
      <w:lvlJc w:val="left"/>
      <w:pPr>
        <w:tabs>
          <w:tab w:val="num" w:pos="0"/>
        </w:tabs>
        <w:ind w:left="4495" w:hanging="360"/>
      </w:pPr>
      <w:rPr>
        <w:rFonts w:ascii="Wingdings" w:hAnsi="Wingdings" w:cs="Wingdings" w:hint="default"/>
      </w:rPr>
    </w:lvl>
    <w:lvl w:ilvl="6">
      <w:start w:val="1"/>
      <w:numFmt w:val="bullet"/>
      <w:lvlText w:val=""/>
      <w:lvlJc w:val="left"/>
      <w:pPr>
        <w:tabs>
          <w:tab w:val="num" w:pos="0"/>
        </w:tabs>
        <w:ind w:left="5215" w:hanging="360"/>
      </w:pPr>
      <w:rPr>
        <w:rFonts w:ascii="Symbol" w:hAnsi="Symbol" w:cs="Symbol" w:hint="default"/>
      </w:rPr>
    </w:lvl>
    <w:lvl w:ilvl="7">
      <w:start w:val="1"/>
      <w:numFmt w:val="bullet"/>
      <w:lvlText w:val="o"/>
      <w:lvlJc w:val="left"/>
      <w:pPr>
        <w:tabs>
          <w:tab w:val="num" w:pos="0"/>
        </w:tabs>
        <w:ind w:left="5935" w:hanging="360"/>
      </w:pPr>
      <w:rPr>
        <w:rFonts w:ascii="Courier New" w:hAnsi="Courier New" w:cs="Courier New" w:hint="default"/>
      </w:rPr>
    </w:lvl>
    <w:lvl w:ilvl="8">
      <w:start w:val="1"/>
      <w:numFmt w:val="bullet"/>
      <w:lvlText w:val=""/>
      <w:lvlJc w:val="left"/>
      <w:pPr>
        <w:tabs>
          <w:tab w:val="num" w:pos="0"/>
        </w:tabs>
        <w:ind w:left="6655" w:hanging="360"/>
      </w:pPr>
      <w:rPr>
        <w:rFonts w:ascii="Wingdings" w:hAnsi="Wingdings" w:cs="Wingdings" w:hint="default"/>
      </w:rPr>
    </w:lvl>
  </w:abstractNum>
  <w:abstractNum w:abstractNumId="2">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720" w:hanging="360"/>
      </w:pPr>
      <w:rPr>
        <w:rFonts w:ascii="Symbol" w:hAnsi="Symbol" w:cs="Symbol"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440" w:hanging="360"/>
      </w:pPr>
      <w:rPr>
        <w:rFonts w:ascii="Symbol" w:hAnsi="Symbol" w:cs="Symbol"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
    <w:lvl w:ilvl="0">
      <w:start w:val="1"/>
      <w:numFmt w:val="decimal"/>
      <w:lvlText w:val="%1."/>
      <w:lvlJc w:val="left"/>
      <w:pPr>
        <w:tabs>
          <w:tab w:val="num" w:pos="720"/>
        </w:tabs>
        <w:ind w:left="720" w:hanging="360"/>
      </w:pPr>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10">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w="http://schemas.openxmlformats.org/wordprocessingml/2006/main">
  <w:zoom w:percent="100"/>
  <w:defaultTabStop w:val="708"/>
  <w:autoHyphenation w:val="true"/>
  <w:footnotePr>
    <w:numFmt w:val="decimal"/>
    <w:footnote w:id="0"/>
    <w:footnote w:id="1"/>
  </w:footnotePr>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Calibri" w:cs="Times New Roman" w:eastAsiaTheme="minorHAnsi"/>
        <w:szCs w:val="26"/>
        <w:lang w:val="ru-RU"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e651ee"/>
    <w:pPr>
      <w:widowControl/>
      <w:suppressAutoHyphens w:val="true"/>
      <w:bidi w:val="0"/>
      <w:spacing w:lineRule="auto" w:line="252" w:before="0" w:after="160"/>
      <w:jc w:val="left"/>
    </w:pPr>
    <w:rPr>
      <w:rFonts w:ascii="Times New Roman" w:hAnsi="Times New Roman" w:eastAsia="Calibri" w:cs="Times New Roman" w:eastAsiaTheme="minorHAnsi"/>
      <w:color w:val="auto"/>
      <w:kern w:val="0"/>
      <w:sz w:val="24"/>
      <w:szCs w:val="24"/>
      <w:lang w:val="ru-RU" w:eastAsia="en-US" w:bidi="ar-SA"/>
    </w:rPr>
  </w:style>
  <w:style w:type="character" w:styleId="DefaultParagraphFont" w:default="1">
    <w:name w:val="Default Paragraph Font"/>
    <w:uiPriority w:val="1"/>
    <w:semiHidden/>
    <w:unhideWhenUsed/>
    <w:qFormat/>
    <w:rPr/>
  </w:style>
  <w:style w:type="character" w:styleId="FootnoteTextChar" w:customStyle="1">
    <w:name w:val="Footnote Text Char"/>
    <w:basedOn w:val="DefaultParagraphFont"/>
    <w:link w:val="FootnoteText"/>
    <w:uiPriority w:val="99"/>
    <w:semiHidden/>
    <w:qFormat/>
    <w:rsid w:val="002c6c94"/>
    <w:rPr>
      <w:sz w:val="20"/>
      <w:szCs w:val="20"/>
    </w:rPr>
  </w:style>
  <w:style w:type="character" w:styleId="FootnoteCharacters" w:customStyle="1">
    <w:name w:val="Footnote Characters"/>
    <w:basedOn w:val="DefaultParagraphFont"/>
    <w:uiPriority w:val="99"/>
    <w:semiHidden/>
    <w:unhideWhenUsed/>
    <w:qFormat/>
    <w:rsid w:val="002c6c94"/>
    <w:rPr>
      <w:vertAlign w:val="superscript"/>
    </w:rPr>
  </w:style>
  <w:style w:type="character" w:styleId="FootnoteReference" w:customStyle="1">
    <w:name w:val="Footnote Reference"/>
    <w:rPr>
      <w:vertAlign w:val="superscript"/>
    </w:rPr>
  </w:style>
  <w:style w:type="character" w:styleId="EndnoteReference" w:customStyle="1">
    <w:name w:val="Endnote Reference"/>
    <w:rPr>
      <w:vertAlign w:val="superscript"/>
    </w:rPr>
  </w:style>
  <w:style w:type="character" w:styleId="EndnoteCharacters" w:customStyle="1">
    <w:name w:val="Endnote Characters"/>
    <w:qFormat/>
    <w:rPr/>
  </w:style>
  <w:style w:type="character" w:styleId="NumberingSymbols">
    <w:name w:val="Numbering Symbols"/>
    <w:qFormat/>
    <w:rPr/>
  </w:style>
  <w:style w:type="paragraph" w:styleId="Heading" w:customStyle="1">
    <w:name w:val="Heading"/>
    <w:basedOn w:val="Normal"/>
    <w:next w:val="BodyText"/>
    <w:qFormat/>
    <w:pPr>
      <w:keepNext w:val="true"/>
      <w:spacing w:before="240" w:after="120"/>
    </w:pPr>
    <w:rPr>
      <w:rFonts w:ascii="Liberation Sans" w:hAnsi="Liberation Sans" w:eastAsia="Noto Sans CJK SC" w:cs="Lohit Devanagari"/>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Lohit Devanagari"/>
    </w:rPr>
  </w:style>
  <w:style w:type="paragraph" w:styleId="Caption">
    <w:name w:val="Caption"/>
    <w:basedOn w:val="Normal"/>
    <w:qFormat/>
    <w:pPr>
      <w:suppressLineNumbers/>
      <w:spacing w:before="120" w:after="120"/>
    </w:pPr>
    <w:rPr>
      <w:rFonts w:cs="Lohit Devanagari"/>
      <w:i/>
      <w:iCs/>
    </w:rPr>
  </w:style>
  <w:style w:type="paragraph" w:styleId="Index" w:customStyle="1">
    <w:name w:val="Index"/>
    <w:basedOn w:val="Normal"/>
    <w:qFormat/>
    <w:pPr>
      <w:suppressLineNumbers/>
    </w:pPr>
    <w:rPr>
      <w:rFonts w:cs="Lohit Devanagari"/>
    </w:rPr>
  </w:style>
  <w:style w:type="paragraph" w:styleId="ListParagraph">
    <w:name w:val="List Paragraph"/>
    <w:basedOn w:val="Normal"/>
    <w:qFormat/>
    <w:rsid w:val="00e651ee"/>
    <w:pPr>
      <w:spacing w:before="0" w:after="160"/>
      <w:ind w:left="720"/>
      <w:contextualSpacing/>
    </w:pPr>
    <w:rPr/>
  </w:style>
  <w:style w:type="paragraph" w:styleId="FootnoteText">
    <w:name w:val="Footnote Text"/>
    <w:basedOn w:val="Normal"/>
    <w:link w:val="FootnoteTextChar"/>
    <w:uiPriority w:val="99"/>
    <w:semiHidden/>
    <w:unhideWhenUsed/>
    <w:rsid w:val="002c6c94"/>
    <w:pPr>
      <w:spacing w:lineRule="auto" w:line="240" w:before="0" w:after="0"/>
    </w:pPr>
    <w:rPr>
      <w:sz w:val="20"/>
      <w:szCs w:val="20"/>
    </w:rPr>
  </w:style>
  <w:style w:type="numbering" w:styleId="NoList" w:default="1">
    <w:name w:val="No List"/>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 w:type="table" w:styleId="TableGrid">
    <w:name w:val="Table Grid"/>
    <w:basedOn w:val="TableNormal"/>
    <w:uiPriority w:val="39"/>
    <w:rsid w:val="00e651ee"/>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wmf"/><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image" Target="media/image16.wmf"/><Relationship Id="rId18" Type="http://schemas.openxmlformats.org/officeDocument/2006/relationships/image" Target="media/image17.png"/><Relationship Id="rId19" Type="http://schemas.openxmlformats.org/officeDocument/2006/relationships/image" Target="media/image18.png"/><Relationship Id="rId20" Type="http://schemas.openxmlformats.org/officeDocument/2006/relationships/image" Target="media/image19.png"/><Relationship Id="rId21" Type="http://schemas.openxmlformats.org/officeDocument/2006/relationships/image" Target="media/image20.png"/><Relationship Id="rId22" Type="http://schemas.openxmlformats.org/officeDocument/2006/relationships/image" Target="media/image21.png"/><Relationship Id="rId23" Type="http://schemas.openxmlformats.org/officeDocument/2006/relationships/image" Target="media/image22.png"/><Relationship Id="rId24" Type="http://schemas.openxmlformats.org/officeDocument/2006/relationships/image" Target="media/image23.png"/><Relationship Id="rId25" Type="http://schemas.openxmlformats.org/officeDocument/2006/relationships/image" Target="media/image24.png"/><Relationship Id="rId26" Type="http://schemas.openxmlformats.org/officeDocument/2006/relationships/image" Target="media/image25.png"/><Relationship Id="rId27" Type="http://schemas.openxmlformats.org/officeDocument/2006/relationships/image" Target="media/image26.png"/><Relationship Id="rId28" Type="http://schemas.openxmlformats.org/officeDocument/2006/relationships/footnotes" Target="footnotes.xml"/><Relationship Id="rId29" Type="http://schemas.openxmlformats.org/officeDocument/2006/relationships/numbering" Target="numbering.xml"/><Relationship Id="rId30" Type="http://schemas.openxmlformats.org/officeDocument/2006/relationships/fontTable" Target="fontTable.xml"/><Relationship Id="rId31" Type="http://schemas.openxmlformats.org/officeDocument/2006/relationships/settings" Target="settings.xml"/><Relationship Id="rId32" Type="http://schemas.openxmlformats.org/officeDocument/2006/relationships/theme" Target="theme/theme1.xml"/><Relationship Id="rId33" Type="http://schemas.openxmlformats.org/officeDocument/2006/relationships/customXml" Target="../customXml/item1.xml"/>
</Relationships>
</file>

<file path=word/theme/theme1.xml><?xml version="1.0" encoding="utf-8"?>
<a:theme xmlns:a="http://schemas.openxmlformats.org/drawingml/2006/main" xmlns:r="http://schemas.openxmlformats.org/officeDocument/2006/relationships" name="Тема Office">
  <a:themeElements>
    <a:clrScheme name="Стандартная">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pitchFamily="0" charset="1"/>
        <a:ea typeface=""/>
        <a:cs typeface=""/>
      </a:majorFont>
      <a:minorFont>
        <a:latin typeface="Calibri" panose="020F0502020204030204"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33F1B0-698D-4800-AADB-6C8B2F0E9B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Application>LibreOffice/24.2.7.2$Linux_X86_64 LibreOffice_project/420$Build-2</Application>
  <AppVersion>15.0000</AppVersion>
  <DocSecurity>0</DocSecurity>
  <Pages>28</Pages>
  <Words>7169</Words>
  <Characters>49282</Characters>
  <CharactersWithSpaces>56020</CharactersWithSpaces>
  <Paragraphs>817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2025-04-30T11:37:00Z</dcterms:created>
  <dc:creator>user</dc:creator>
  <dc:description/>
  <dc:language>ru-RU</dc:language>
  <cp:lastModifiedBy/>
  <dcterms:modified xsi:type="dcterms:W3CDTF">2025-05-07T23:02:12Z</dcterms:modified>
  <cp:revision>4</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yperlinksChanged">
    <vt:bool>0</vt:bool>
  </property>
  <property fmtid="{D5CDD505-2E9C-101B-9397-08002B2CF9AE}" pid="3" name="LinksUpToDate">
    <vt:bool>0</vt:bool>
  </property>
  <property fmtid="{D5CDD505-2E9C-101B-9397-08002B2CF9AE}" pid="4" name="ScaleCrop">
    <vt:bool>0</vt:bool>
  </property>
  <property fmtid="{D5CDD505-2E9C-101B-9397-08002B2CF9AE}" pid="5" name="ShareDoc">
    <vt:bool>0</vt:bool>
  </property>
</Properties>
</file>