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3C" w:rsidRPr="007C0484" w:rsidRDefault="00763389" w:rsidP="00CF6827">
      <w:pPr>
        <w:pStyle w:val="GRIDTitle"/>
      </w:pPr>
      <w:r>
        <w:t>JINR cloud infrastructure development</w:t>
      </w:r>
      <w:r w:rsidR="00686593" w:rsidRPr="007C0484">
        <w:t xml:space="preserve"> </w:t>
      </w:r>
    </w:p>
    <w:p w:rsidR="0024183C" w:rsidRPr="004F4972" w:rsidRDefault="00763389" w:rsidP="00AD75EF">
      <w:pPr>
        <w:pStyle w:val="GRIDauthor"/>
        <w:rPr>
          <w:vertAlign w:val="superscript"/>
        </w:rPr>
      </w:pPr>
      <w:r w:rsidRPr="00763389">
        <w:t>A.V. Baranov</w:t>
      </w:r>
      <w:r w:rsidRPr="00CF6827">
        <w:rPr>
          <w:vertAlign w:val="superscript"/>
        </w:rPr>
        <w:t>1</w:t>
      </w:r>
      <w:r w:rsidRPr="00763389">
        <w:t>, N.A. Balashov</w:t>
      </w:r>
      <w:r w:rsidRPr="00CF6827">
        <w:rPr>
          <w:vertAlign w:val="superscript"/>
        </w:rPr>
        <w:t>1</w:t>
      </w:r>
      <w:r w:rsidRPr="00763389">
        <w:t xml:space="preserve">, </w:t>
      </w:r>
      <w:r w:rsidR="00C22600">
        <w:t>K.V. Fedorov</w:t>
      </w:r>
      <w:r w:rsidR="00C22600" w:rsidRPr="00CF6827">
        <w:rPr>
          <w:vertAlign w:val="superscript"/>
        </w:rPr>
        <w:t>1</w:t>
      </w:r>
      <w:r w:rsidR="00C22600">
        <w:t xml:space="preserve">, </w:t>
      </w:r>
      <w:r w:rsidR="0076275A">
        <w:t>R.R. Gainanov</w:t>
      </w:r>
      <w:r w:rsidR="0076275A" w:rsidRPr="00CF6827">
        <w:rPr>
          <w:vertAlign w:val="superscript"/>
        </w:rPr>
        <w:t>2</w:t>
      </w:r>
      <w:r w:rsidR="0076275A">
        <w:t xml:space="preserve">, </w:t>
      </w:r>
      <w:r w:rsidRPr="00763389">
        <w:t>N.A.</w:t>
      </w:r>
      <w:r w:rsidR="00D964A6">
        <w:t> </w:t>
      </w:r>
      <w:r w:rsidRPr="00763389">
        <w:t>Kutovskiy</w:t>
      </w:r>
      <w:r w:rsidRPr="00CF6827">
        <w:rPr>
          <w:vertAlign w:val="superscript"/>
        </w:rPr>
        <w:t>1,</w:t>
      </w:r>
      <w:r w:rsidR="0076275A" w:rsidRPr="00CF6827">
        <w:rPr>
          <w:vertAlign w:val="superscript"/>
        </w:rPr>
        <w:t>3</w:t>
      </w:r>
      <w:r w:rsidRPr="00CF6827">
        <w:rPr>
          <w:vertAlign w:val="superscript"/>
        </w:rPr>
        <w:t>,a</w:t>
      </w:r>
      <w:r w:rsidRPr="00763389">
        <w:t>, R.N.</w:t>
      </w:r>
      <w:r w:rsidR="00C22600">
        <w:t> </w:t>
      </w:r>
      <w:r w:rsidRPr="00AD75EF">
        <w:t>Semenov</w:t>
      </w:r>
      <w:r w:rsidRPr="00AD75EF">
        <w:rPr>
          <w:vertAlign w:val="superscript"/>
        </w:rPr>
        <w:t>1</w:t>
      </w:r>
      <w:r w:rsidRPr="00CF6827">
        <w:rPr>
          <w:vertAlign w:val="superscript"/>
        </w:rPr>
        <w:t>,</w:t>
      </w:r>
      <w:r w:rsidR="0076275A" w:rsidRPr="00CF6827">
        <w:rPr>
          <w:vertAlign w:val="superscript"/>
        </w:rPr>
        <w:t>3</w:t>
      </w:r>
    </w:p>
    <w:p w:rsidR="00763389" w:rsidRPr="00AD75EF" w:rsidRDefault="0024183C" w:rsidP="00AD75EF">
      <w:pPr>
        <w:pStyle w:val="GRIDaffiliation"/>
      </w:pPr>
      <w:r w:rsidRPr="00AD75EF">
        <w:rPr>
          <w:vertAlign w:val="superscript"/>
        </w:rPr>
        <w:t>1</w:t>
      </w:r>
      <w:r w:rsidRPr="00AD75EF">
        <w:t xml:space="preserve"> </w:t>
      </w:r>
      <w:r w:rsidR="00763389" w:rsidRPr="00AD75EF">
        <w:t>Laboratory of Information Technologies, Joint Institute for Nuclear Research,</w:t>
      </w:r>
      <w:r w:rsidR="00C36B03" w:rsidRPr="00AD75EF">
        <w:t xml:space="preserve"> 6</w:t>
      </w:r>
      <w:r w:rsidR="00763389" w:rsidRPr="00AD75EF">
        <w:t xml:space="preserve"> Joliot-Curie, Dubna, Moscow region, 141980, Russia</w:t>
      </w:r>
    </w:p>
    <w:p w:rsidR="0076275A" w:rsidRPr="00AD75EF" w:rsidRDefault="00CF6827" w:rsidP="00AD75EF">
      <w:pPr>
        <w:pStyle w:val="GRIDaffiliation"/>
      </w:pPr>
      <w:r w:rsidRPr="003F48E4">
        <w:rPr>
          <w:vertAlign w:val="superscript"/>
        </w:rPr>
        <w:t xml:space="preserve"> </w:t>
      </w:r>
      <w:r w:rsidR="00763389" w:rsidRPr="003F48E4">
        <w:rPr>
          <w:vertAlign w:val="superscript"/>
        </w:rPr>
        <w:t>2</w:t>
      </w:r>
      <w:r w:rsidR="00AD75EF" w:rsidRPr="00AD75EF">
        <w:t xml:space="preserve"> </w:t>
      </w:r>
      <w:r w:rsidR="0044192F" w:rsidRPr="00AD75EF">
        <w:t xml:space="preserve">Department of Information Technologies and Computer-Aided Systems, Perm National </w:t>
      </w:r>
      <w:r w:rsidR="00C57C8B" w:rsidRPr="00AD75EF">
        <w:t>Research Polytechnic University</w:t>
      </w:r>
      <w:r w:rsidR="0044192F" w:rsidRPr="00AD75EF">
        <w:t xml:space="preserve">, </w:t>
      </w:r>
      <w:r w:rsidR="00C36B03" w:rsidRPr="00AD75EF">
        <w:t xml:space="preserve">29 </w:t>
      </w:r>
      <w:r w:rsidR="0044192F" w:rsidRPr="00AD75EF">
        <w:t xml:space="preserve">Komsomolsky prospekt, Perm, </w:t>
      </w:r>
      <w:r w:rsidR="00C36B03" w:rsidRPr="00AD75EF">
        <w:t xml:space="preserve">614990, </w:t>
      </w:r>
      <w:r w:rsidR="0044192F" w:rsidRPr="00AD75EF">
        <w:t>Russia</w:t>
      </w:r>
    </w:p>
    <w:p w:rsidR="00B5678C" w:rsidRPr="00AD75EF" w:rsidRDefault="0076275A" w:rsidP="00AD75EF">
      <w:pPr>
        <w:pStyle w:val="GRIDaffiliation"/>
      </w:pPr>
      <w:r w:rsidRPr="003F48E4">
        <w:rPr>
          <w:vertAlign w:val="superscript"/>
        </w:rPr>
        <w:t>3</w:t>
      </w:r>
      <w:r w:rsidR="00CF6827" w:rsidRPr="00AD75EF">
        <w:t xml:space="preserve"> </w:t>
      </w:r>
      <w:r w:rsidR="00763389" w:rsidRPr="00AD75EF">
        <w:t xml:space="preserve">Plekhanov Russian University of Economics, </w:t>
      </w:r>
      <w:r w:rsidR="00C36B03" w:rsidRPr="00AD75EF">
        <w:t xml:space="preserve">36 </w:t>
      </w:r>
      <w:r w:rsidR="00763389" w:rsidRPr="00AD75EF">
        <w:t>Stremyanny per., Moscow, 117997, Russia</w:t>
      </w:r>
    </w:p>
    <w:p w:rsidR="007C0484" w:rsidRPr="00AD75EF" w:rsidRDefault="000A1901" w:rsidP="00AD75EF">
      <w:pPr>
        <w:pStyle w:val="GRIDemail"/>
      </w:pPr>
      <w:r>
        <w:t>E-mail:</w:t>
      </w:r>
      <w:r w:rsidR="007C0484" w:rsidRPr="00AD75EF">
        <w:t xml:space="preserve"> </w:t>
      </w:r>
      <w:r w:rsidR="007C0484" w:rsidRPr="000A1901">
        <w:rPr>
          <w:vertAlign w:val="superscript"/>
        </w:rPr>
        <w:t>a</w:t>
      </w:r>
      <w:r w:rsidR="007C0484" w:rsidRPr="00AD75EF">
        <w:t xml:space="preserve"> </w:t>
      </w:r>
      <w:r w:rsidR="00763389" w:rsidRPr="00AD75EF">
        <w:t>kut@jinr.ru</w:t>
      </w:r>
    </w:p>
    <w:p w:rsidR="0024183C" w:rsidRPr="00EE7EA0" w:rsidRDefault="004968FF" w:rsidP="00EE7EA0">
      <w:pPr>
        <w:pStyle w:val="GRIDAbstract"/>
      </w:pPr>
      <w:r w:rsidRPr="00EE7EA0">
        <w:t>A number of the JINR cloud users as well as a demand in cloud resources from both individual users and experiments are growing permanently.</w:t>
      </w:r>
      <w:r w:rsidR="00FC27B6" w:rsidRPr="00EE7EA0">
        <w:t xml:space="preserve"> To increase a reliability and availability of the service</w:t>
      </w:r>
      <w:r w:rsidR="00AA4DF8" w:rsidRPr="00EE7EA0">
        <w:t>,</w:t>
      </w:r>
      <w:r w:rsidR="00B147D8" w:rsidRPr="00EE7EA0">
        <w:t xml:space="preserve"> the JINR cloud ha</w:t>
      </w:r>
      <w:r w:rsidRPr="00EE7EA0">
        <w:t>s</w:t>
      </w:r>
      <w:r w:rsidR="00B147D8" w:rsidRPr="00EE7EA0">
        <w:t xml:space="preserve"> been</w:t>
      </w:r>
      <w:r w:rsidRPr="00EE7EA0">
        <w:t xml:space="preserve"> </w:t>
      </w:r>
      <w:r w:rsidR="00FC27B6" w:rsidRPr="00EE7EA0">
        <w:t>migrated from</w:t>
      </w:r>
      <w:r w:rsidR="00AA4DF8" w:rsidRPr="00EE7EA0">
        <w:t xml:space="preserve"> a</w:t>
      </w:r>
      <w:r w:rsidR="00FC27B6" w:rsidRPr="00EE7EA0">
        <w:t xml:space="preserve"> single server-based front-end node</w:t>
      </w:r>
      <w:r w:rsidR="0076275A" w:rsidRPr="00EE7EA0">
        <w:t xml:space="preserve"> setup</w:t>
      </w:r>
      <w:r w:rsidR="00754757" w:rsidRPr="00EE7EA0">
        <w:t xml:space="preserve"> </w:t>
      </w:r>
      <w:r w:rsidR="00FC27B6" w:rsidRPr="00EE7EA0">
        <w:t>to</w:t>
      </w:r>
      <w:r w:rsidR="00AA4DF8" w:rsidRPr="00EE7EA0">
        <w:t xml:space="preserve"> a</w:t>
      </w:r>
      <w:r w:rsidR="00FC27B6" w:rsidRPr="00EE7EA0">
        <w:t xml:space="preserve"> high availabil</w:t>
      </w:r>
      <w:r w:rsidR="00754757" w:rsidRPr="00EE7EA0">
        <w:t xml:space="preserve">ity </w:t>
      </w:r>
      <w:r w:rsidR="0076275A" w:rsidRPr="00EE7EA0">
        <w:t>one</w:t>
      </w:r>
      <w:r w:rsidRPr="00EE7EA0">
        <w:t>. To cover the resources deficit,</w:t>
      </w:r>
      <w:r w:rsidR="00AA4DF8" w:rsidRPr="00EE7EA0">
        <w:t xml:space="preserve"> </w:t>
      </w:r>
      <w:r w:rsidRPr="00EE7EA0">
        <w:t xml:space="preserve">work is in progress in three directions: 1) the resources usage optimization with the help of a smart scheduler which consolidates underloaded virtual machines and containers within the hosts; 2) </w:t>
      </w:r>
      <w:r w:rsidR="00AE333E" w:rsidRPr="00EE7EA0">
        <w:t>an</w:t>
      </w:r>
      <w:r w:rsidRPr="00EE7EA0">
        <w:t xml:space="preserve"> external clouds integration with the JINR one following </w:t>
      </w:r>
      <w:r w:rsidR="00AA4DF8" w:rsidRPr="00EE7EA0">
        <w:t>the so-</w:t>
      </w:r>
      <w:r w:rsidRPr="00EE7EA0">
        <w:t xml:space="preserve">called “cloud bursting” approach what a custom driver was developed for; 3) buying more servers. </w:t>
      </w:r>
      <w:r w:rsidR="00754757" w:rsidRPr="00EE7EA0">
        <w:t>An aggregation and visualization of the JINR cloud resources utilization was re-implemented and moved to external services based on Grafana and InfluxDB</w:t>
      </w:r>
      <w:r w:rsidR="00D964A6" w:rsidRPr="00EE7EA0">
        <w:t xml:space="preserve">. All these aspects </w:t>
      </w:r>
      <w:r w:rsidRPr="00EE7EA0">
        <w:t xml:space="preserve">are </w:t>
      </w:r>
      <w:r w:rsidR="00D964A6" w:rsidRPr="00EE7EA0">
        <w:t>covered</w:t>
      </w:r>
      <w:r w:rsidR="00AA4DF8" w:rsidRPr="00EE7EA0">
        <w:t xml:space="preserve"> in more details</w:t>
      </w:r>
      <w:r w:rsidR="00D964A6" w:rsidRPr="00EE7EA0">
        <w:t xml:space="preserve"> in that article</w:t>
      </w:r>
      <w:r w:rsidRPr="00EE7EA0">
        <w:t>.</w:t>
      </w:r>
    </w:p>
    <w:p w:rsidR="006104CC" w:rsidRPr="00526970" w:rsidRDefault="006104CC" w:rsidP="004851F5">
      <w:pPr>
        <w:ind w:firstLine="454"/>
        <w:jc w:val="both"/>
        <w:rPr>
          <w:b/>
          <w:sz w:val="20"/>
          <w:lang w:val="en-US"/>
        </w:rPr>
      </w:pPr>
    </w:p>
    <w:p w:rsidR="00023D6B" w:rsidRPr="00AD75EF" w:rsidRDefault="001E1D62" w:rsidP="00C44765">
      <w:pPr>
        <w:pStyle w:val="Keywords"/>
        <w:ind w:firstLine="0"/>
        <w:rPr>
          <w:sz w:val="24"/>
          <w:lang w:val="en-US"/>
        </w:rPr>
      </w:pPr>
      <w:r w:rsidRPr="00AD75EF">
        <w:rPr>
          <w:sz w:val="24"/>
          <w:lang w:val="en-US"/>
        </w:rPr>
        <w:t>Keywords:</w:t>
      </w:r>
      <w:r w:rsidR="00AD75EF" w:rsidRPr="00AD75EF">
        <w:rPr>
          <w:sz w:val="24"/>
          <w:lang w:val="en-US"/>
        </w:rPr>
        <w:t xml:space="preserve"> </w:t>
      </w:r>
      <w:r w:rsidR="008F1D74" w:rsidRPr="00AD75EF">
        <w:rPr>
          <w:sz w:val="24"/>
          <w:lang w:val="en-US"/>
        </w:rPr>
        <w:t xml:space="preserve">cloud computing, OpenNebula, </w:t>
      </w:r>
      <w:r w:rsidR="00C22600" w:rsidRPr="00AD75EF">
        <w:rPr>
          <w:sz w:val="24"/>
          <w:lang w:val="en-US"/>
        </w:rPr>
        <w:t xml:space="preserve">clouds integration, </w:t>
      </w:r>
      <w:r w:rsidR="008F1D74" w:rsidRPr="00AD75EF">
        <w:rPr>
          <w:sz w:val="24"/>
          <w:lang w:val="en-US"/>
        </w:rPr>
        <w:t>cloud bursting, smart cloud scheduler</w:t>
      </w:r>
      <w:r w:rsidR="006D06F6" w:rsidRPr="00AD75EF">
        <w:rPr>
          <w:sz w:val="24"/>
          <w:lang w:val="en-US"/>
        </w:rPr>
        <w:t>, Grafana, InfluxDB</w:t>
      </w:r>
    </w:p>
    <w:p w:rsidR="00C36B03" w:rsidRDefault="00C36B03" w:rsidP="00F1166B">
      <w:pPr>
        <w:pStyle w:val="Keywords"/>
        <w:rPr>
          <w:lang w:val="en-US"/>
        </w:rPr>
      </w:pPr>
    </w:p>
    <w:p w:rsidR="00C36B03" w:rsidRDefault="00C36B03" w:rsidP="00F1166B">
      <w:pPr>
        <w:pStyle w:val="Keywords"/>
        <w:rPr>
          <w:lang w:val="en-US"/>
        </w:rPr>
      </w:pPr>
    </w:p>
    <w:p w:rsidR="00E1435F" w:rsidRPr="00B73985" w:rsidRDefault="0008286B" w:rsidP="00F258B6">
      <w:pPr>
        <w:pStyle w:val="GRIDcopyright"/>
      </w:pPr>
      <w:r>
        <w:t>© 2018</w:t>
      </w:r>
      <w:r w:rsidR="00106484" w:rsidRPr="00B73985">
        <w:t xml:space="preserve"> Alexandr</w:t>
      </w:r>
      <w:r w:rsidR="00CA6EBC" w:rsidRPr="00B73985">
        <w:t xml:space="preserve"> V. Baranov, Nikita A. Balashov, </w:t>
      </w:r>
      <w:r w:rsidR="00E1435F" w:rsidRPr="00B73985">
        <w:t xml:space="preserve">Konstantin </w:t>
      </w:r>
      <w:r w:rsidR="00CA6EBC" w:rsidRPr="00B73985">
        <w:t xml:space="preserve">V. Fedorov, </w:t>
      </w:r>
      <w:r w:rsidR="00E1435F" w:rsidRPr="00B73985">
        <w:t>Ruslan</w:t>
      </w:r>
      <w:r w:rsidR="00CA6EBC" w:rsidRPr="00B73985">
        <w:t xml:space="preserve"> R. Gainanov, </w:t>
      </w:r>
    </w:p>
    <w:p w:rsidR="00C36B03" w:rsidRPr="00B73985" w:rsidRDefault="00CA6EBC" w:rsidP="00F258B6">
      <w:pPr>
        <w:pStyle w:val="GRIDcopyright"/>
        <w:rPr>
          <w:sz w:val="24"/>
        </w:rPr>
      </w:pPr>
      <w:r w:rsidRPr="00B73985">
        <w:t>Nikolay A. Kutovskiy, Roman N. Semenov</w:t>
      </w:r>
    </w:p>
    <w:p w:rsidR="00F947A7" w:rsidRPr="00A35A25" w:rsidRDefault="00C36B03" w:rsidP="00A35A25">
      <w:pPr>
        <w:pStyle w:val="GRIDheading1"/>
      </w:pPr>
      <w:bookmarkStart w:id="0" w:name="_GoBack"/>
      <w:bookmarkEnd w:id="0"/>
      <w:r>
        <w:br w:type="page"/>
      </w:r>
      <w:r w:rsidR="000A1901">
        <w:lastRenderedPageBreak/>
        <w:t xml:space="preserve">1. </w:t>
      </w:r>
      <w:r w:rsidR="00DE2306" w:rsidRPr="00A35A25">
        <w:t>High availability setup</w:t>
      </w:r>
    </w:p>
    <w:p w:rsidR="003C3272" w:rsidRDefault="003C3272" w:rsidP="00A35A25">
      <w:pPr>
        <w:pStyle w:val="GRIDtext"/>
      </w:pPr>
      <w:r w:rsidRPr="003C3272">
        <w:t xml:space="preserve">To increase a reliability and availability of </w:t>
      </w:r>
      <w:r>
        <w:t xml:space="preserve">the </w:t>
      </w:r>
      <w:r w:rsidRPr="003C3272">
        <w:t xml:space="preserve">JINR cloud </w:t>
      </w:r>
      <w:r>
        <w:t>resources delivery to its end-users</w:t>
      </w:r>
      <w:r w:rsidR="00AA4DF8">
        <w:t>,</w:t>
      </w:r>
      <w:r>
        <w:t xml:space="preserve"> a front-end node (FN) </w:t>
      </w:r>
      <w:r w:rsidRPr="003C3272">
        <w:t xml:space="preserve">was migrated from </w:t>
      </w:r>
      <w:r w:rsidR="00AA4DF8">
        <w:t xml:space="preserve">a </w:t>
      </w:r>
      <w:r w:rsidRPr="003C3272">
        <w:t xml:space="preserve">single server-based </w:t>
      </w:r>
      <w:r>
        <w:t>server</w:t>
      </w:r>
      <w:r w:rsidRPr="003C3272">
        <w:t xml:space="preserve"> setup to</w:t>
      </w:r>
      <w:r w:rsidR="00AA4DF8">
        <w:t xml:space="preserve"> a</w:t>
      </w:r>
      <w:r w:rsidRPr="003C3272">
        <w:t xml:space="preserve"> high availability</w:t>
      </w:r>
      <w:r>
        <w:t xml:space="preserve"> (HA)</w:t>
      </w:r>
      <w:r w:rsidRPr="003C3272">
        <w:t xml:space="preserve"> one</w:t>
      </w:r>
      <w:r>
        <w:t xml:space="preserve"> with two servers and shared partition based on distributed replicated block device (DRDB) where OpenVZ container</w:t>
      </w:r>
      <w:r w:rsidR="006E7850">
        <w:t xml:space="preserve"> (CT)</w:t>
      </w:r>
      <w:r>
        <w:t xml:space="preserve"> with OpenNebula core components deployed is running on. Apart from</w:t>
      </w:r>
      <w:r w:rsidR="006E7850">
        <w:t xml:space="preserve"> increasing the reliability and availability by eliminating a </w:t>
      </w:r>
      <w:r w:rsidR="006E7850" w:rsidRPr="003C3272">
        <w:t>single point of failure</w:t>
      </w:r>
      <w:r w:rsidR="006E7850">
        <w:t xml:space="preserve"> </w:t>
      </w:r>
      <w:r w:rsidR="006F27B1">
        <w:t xml:space="preserve">a </w:t>
      </w:r>
      <w:r w:rsidR="006E7850">
        <w:t>new setup</w:t>
      </w:r>
      <w:r>
        <w:t xml:space="preserve"> let to overcome such limitations of </w:t>
      </w:r>
      <w:r w:rsidR="006E7850">
        <w:t>previous</w:t>
      </w:r>
      <w:r>
        <w:t xml:space="preserve"> configuration as</w:t>
      </w:r>
      <w:r w:rsidRPr="003C3272">
        <w:t xml:space="preserve"> a</w:t>
      </w:r>
      <w:r w:rsidR="006E7850">
        <w:t>n</w:t>
      </w:r>
      <w:r w:rsidRPr="003C3272">
        <w:t xml:space="preserve"> impossibility to extend </w:t>
      </w:r>
      <w:r w:rsidR="006E7850">
        <w:t xml:space="preserve">a size of </w:t>
      </w:r>
      <w:r w:rsidRPr="003C3272">
        <w:t>FN</w:t>
      </w:r>
      <w:r w:rsidR="006E7850">
        <w:t xml:space="preserve"> cloud</w:t>
      </w:r>
      <w:r w:rsidRPr="003C3272">
        <w:t xml:space="preserve"> </w:t>
      </w:r>
      <w:r w:rsidR="006E7850">
        <w:t>datastores</w:t>
      </w:r>
      <w:r w:rsidRPr="003C3272">
        <w:t xml:space="preserve"> on the fly</w:t>
      </w:r>
      <w:r w:rsidR="006E7850">
        <w:t xml:space="preserve"> and </w:t>
      </w:r>
      <w:r w:rsidR="006F27B1">
        <w:t>to maintain without any downtime</w:t>
      </w:r>
      <w:r w:rsidR="00312C73" w:rsidRPr="00312C73">
        <w:t xml:space="preserve"> </w:t>
      </w:r>
      <w:r w:rsidR="00312C73">
        <w:t xml:space="preserve">a </w:t>
      </w:r>
      <w:r w:rsidR="00312C73" w:rsidRPr="003C3272">
        <w:t>server</w:t>
      </w:r>
      <w:r w:rsidR="006F27B1" w:rsidRPr="003C3272">
        <w:t xml:space="preserve"> </w:t>
      </w:r>
      <w:r w:rsidRPr="003C3272">
        <w:t>where FN is running</w:t>
      </w:r>
      <w:r>
        <w:t>.</w:t>
      </w:r>
      <w:r w:rsidR="00EF60E4">
        <w:t xml:space="preserve"> A schema of JINR HA-cloud setup is shown on </w:t>
      </w:r>
      <w:r w:rsidR="00F17291">
        <w:t>the</w:t>
      </w:r>
      <w:r w:rsidR="009028C3">
        <w:t xml:space="preserve"> </w:t>
      </w:r>
      <w:r w:rsidR="008634C6">
        <w:fldChar w:fldCharType="begin"/>
      </w:r>
      <w:r w:rsidR="008634C6">
        <w:instrText xml:space="preserve"> REF _Ref465503184 \h  \* MERGEFORMAT </w:instrText>
      </w:r>
      <w:r w:rsidR="008634C6">
        <w:fldChar w:fldCharType="separate"/>
      </w:r>
      <w:r w:rsidR="00420A38" w:rsidRPr="00AA4DF8">
        <w:t>Figure 1</w:t>
      </w:r>
      <w:r w:rsidR="008634C6">
        <w:fldChar w:fldCharType="end"/>
      </w:r>
      <w:r w:rsidR="00EF60E4">
        <w:t>.</w:t>
      </w:r>
      <w:r w:rsidR="006E7850">
        <w:t xml:space="preserve"> </w:t>
      </w:r>
      <w:r w:rsidR="006E7850" w:rsidRPr="006E7850">
        <w:t>Two ha</w:t>
      </w:r>
      <w:r w:rsidR="006E7850">
        <w:t>rdware nodes (HNs) marked on that figure</w:t>
      </w:r>
      <w:r w:rsidR="006E7850" w:rsidRPr="006E7850">
        <w:t xml:space="preserve"> </w:t>
      </w:r>
      <w:r w:rsidR="006F27B1">
        <w:t xml:space="preserve">as </w:t>
      </w:r>
      <w:r w:rsidR="006E7850" w:rsidRPr="006E7850">
        <w:t xml:space="preserve">HN1-FN and HN2-FN are physical servers of HA cluster with one dedicated DRBD partition in each node where CT with all cloud components </w:t>
      </w:r>
      <w:r w:rsidR="006C42FE">
        <w:t xml:space="preserve">deployed </w:t>
      </w:r>
      <w:r w:rsidR="006E7850" w:rsidRPr="006E7850">
        <w:t>is running.</w:t>
      </w:r>
    </w:p>
    <w:p w:rsidR="00526B02" w:rsidRPr="00526B02" w:rsidRDefault="00526B02" w:rsidP="00A35A25">
      <w:pPr>
        <w:pStyle w:val="GRIDtext"/>
      </w:pPr>
      <w:r w:rsidRPr="00526B02">
        <w:t>To be able</w:t>
      </w:r>
      <w:r w:rsidR="00AA4DF8">
        <w:t xml:space="preserve"> to</w:t>
      </w:r>
      <w:r w:rsidRPr="00526B02">
        <w:t xml:space="preserve"> dynamically extend</w:t>
      </w:r>
      <w:r w:rsidR="00AA4DF8">
        <w:t xml:space="preserve"> the</w:t>
      </w:r>
      <w:r w:rsidRPr="00526B02">
        <w:t xml:space="preserve"> cloud datasto</w:t>
      </w:r>
      <w:r w:rsidR="00AA4DF8">
        <w:t>res capacities and to increase the</w:t>
      </w:r>
      <w:r w:rsidRPr="00526B02">
        <w:t xml:space="preserve"> reliability of data preservation</w:t>
      </w:r>
      <w:r w:rsidR="00AA4DF8">
        <w:t>,</w:t>
      </w:r>
      <w:r w:rsidRPr="00526B02">
        <w:t xml:space="preserve"> a distributed network file system (DNFS) based on LizardFS was deployed and configured as a storage backend for cloud. It consists of three storage nodes (SNs) with the following roles each: cloudfs1 is master, chunk-server and web-based admin GUI, cloudfs2 is metalogger and chunk-server, cloudfs3 is shadow and chunk-server.</w:t>
      </w:r>
    </w:p>
    <w:p w:rsidR="00526B02" w:rsidRDefault="00284ADF" w:rsidP="00A35A25">
      <w:pPr>
        <w:pStyle w:val="GRIDtext"/>
      </w:pPr>
      <w:r>
        <w:rPr>
          <w:noProof/>
          <w:lang w:val="ru-RU"/>
        </w:rPr>
        <mc:AlternateContent>
          <mc:Choice Requires="wps">
            <w:drawing>
              <wp:anchor distT="0" distB="180340" distL="114300" distR="114300" simplePos="0" relativeHeight="251657216" behindDoc="0" locked="0" layoutInCell="1" allowOverlap="1">
                <wp:simplePos x="0" y="0"/>
                <wp:positionH relativeFrom="column">
                  <wp:posOffset>13970</wp:posOffset>
                </wp:positionH>
                <wp:positionV relativeFrom="paragraph">
                  <wp:posOffset>424180</wp:posOffset>
                </wp:positionV>
                <wp:extent cx="5734685" cy="4600575"/>
                <wp:effectExtent l="0" t="0" r="18415"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46005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26970" w:rsidRDefault="00F15104" w:rsidP="00C36B03">
                            <w:pPr>
                              <w:pStyle w:val="PictureDescription"/>
                              <w:rPr>
                                <w:lang w:val="en-US"/>
                              </w:rPr>
                            </w:pPr>
                            <w:r>
                              <w:rPr>
                                <w:noProof/>
                              </w:rPr>
                              <w:drawing>
                                <wp:inline distT="0" distB="0" distL="0" distR="0">
                                  <wp:extent cx="5660667" cy="4143375"/>
                                  <wp:effectExtent l="0" t="0" r="0" b="0"/>
                                  <wp:docPr id="2" name="Рисунок 2" descr="JINR_HA-openvz_cloud_structure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NR_HA-openvz_cloud_structure_v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296" cy="4154815"/>
                                          </a:xfrm>
                                          <a:prstGeom prst="rect">
                                            <a:avLst/>
                                          </a:prstGeom>
                                          <a:noFill/>
                                          <a:ln>
                                            <a:noFill/>
                                          </a:ln>
                                        </pic:spPr>
                                      </pic:pic>
                                    </a:graphicData>
                                  </a:graphic>
                                </wp:inline>
                              </w:drawing>
                            </w:r>
                            <w:bookmarkStart w:id="1" w:name="_Ref465503184"/>
                            <w:bookmarkStart w:id="2" w:name="_Ref465503176"/>
                          </w:p>
                          <w:p w:rsidR="00345B95" w:rsidRPr="00B73985" w:rsidRDefault="00345B95" w:rsidP="00C36B03">
                            <w:pPr>
                              <w:pStyle w:val="PictureDescription"/>
                              <w:rPr>
                                <w:sz w:val="22"/>
                                <w:lang w:val="en-US"/>
                              </w:rPr>
                            </w:pPr>
                            <w:r w:rsidRPr="00B73985">
                              <w:rPr>
                                <w:sz w:val="22"/>
                                <w:lang w:val="en-US"/>
                              </w:rPr>
                              <w:t xml:space="preserve"> Figure </w:t>
                            </w:r>
                            <w:r w:rsidR="008C351F" w:rsidRPr="00B73985">
                              <w:rPr>
                                <w:sz w:val="22"/>
                              </w:rPr>
                              <w:fldChar w:fldCharType="begin"/>
                            </w:r>
                            <w:r w:rsidRPr="00B73985">
                              <w:rPr>
                                <w:sz w:val="22"/>
                                <w:lang w:val="en-US"/>
                              </w:rPr>
                              <w:instrText xml:space="preserve"> SEQ Figure \* ARABIC </w:instrText>
                            </w:r>
                            <w:r w:rsidR="008C351F" w:rsidRPr="00B73985">
                              <w:rPr>
                                <w:sz w:val="22"/>
                              </w:rPr>
                              <w:fldChar w:fldCharType="separate"/>
                            </w:r>
                            <w:r w:rsidR="003266C3" w:rsidRPr="00B73985">
                              <w:rPr>
                                <w:noProof/>
                                <w:sz w:val="22"/>
                                <w:lang w:val="en-US"/>
                              </w:rPr>
                              <w:t>1</w:t>
                            </w:r>
                            <w:r w:rsidR="008C351F" w:rsidRPr="00B73985">
                              <w:rPr>
                                <w:sz w:val="22"/>
                              </w:rPr>
                              <w:fldChar w:fldCharType="end"/>
                            </w:r>
                            <w:bookmarkEnd w:id="1"/>
                            <w:r w:rsidRPr="00B73985">
                              <w:rPr>
                                <w:sz w:val="22"/>
                                <w:lang w:val="en-US"/>
                              </w:rPr>
                              <w:t>. A schema of high availability JINR cloud setup</w:t>
                            </w:r>
                            <w:bookmarkEnd w:id="2"/>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3.4pt;width:451.55pt;height:362.25pt;z-index:25165721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" filled="f" strokecolor="white">
                <v:textbox inset="0,0,0,0">
                  <w:txbxContent>
                    <w:p w:rsidR="00526970" w:rsidRDefault="00F15104" w:rsidP="00C36B03">
                      <w:pPr>
                        <w:pStyle w:val="PictureDescription"/>
                        <w:rPr>
                          <w:lang w:val="en-US"/>
                        </w:rPr>
                      </w:pPr>
                      <w:r>
                        <w:rPr>
                          <w:noProof/>
                        </w:rPr>
                        <w:drawing>
                          <wp:inline distT="0" distB="0" distL="0" distR="0">
                            <wp:extent cx="5660667" cy="4143375"/>
                            <wp:effectExtent l="0" t="0" r="0" b="0"/>
                            <wp:docPr id="2" name="Рисунок 2" descr="JINR_HA-openvz_cloud_structure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NR_HA-openvz_cloud_structure_v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296" cy="4154815"/>
                                    </a:xfrm>
                                    <a:prstGeom prst="rect">
                                      <a:avLst/>
                                    </a:prstGeom>
                                    <a:noFill/>
                                    <a:ln>
                                      <a:noFill/>
                                    </a:ln>
                                  </pic:spPr>
                                </pic:pic>
                              </a:graphicData>
                            </a:graphic>
                          </wp:inline>
                        </w:drawing>
                      </w:r>
                      <w:bookmarkStart w:id="3" w:name="_Ref465503184"/>
                      <w:bookmarkStart w:id="4" w:name="_Ref465503176"/>
                    </w:p>
                    <w:p w:rsidR="00345B95" w:rsidRPr="00B73985" w:rsidRDefault="00345B95" w:rsidP="00C36B03">
                      <w:pPr>
                        <w:pStyle w:val="PictureDescription"/>
                        <w:rPr>
                          <w:sz w:val="22"/>
                          <w:lang w:val="en-US"/>
                        </w:rPr>
                      </w:pPr>
                      <w:r w:rsidRPr="00B73985">
                        <w:rPr>
                          <w:sz w:val="22"/>
                          <w:lang w:val="en-US"/>
                        </w:rPr>
                        <w:t xml:space="preserve"> Figure </w:t>
                      </w:r>
                      <w:r w:rsidR="008C351F" w:rsidRPr="00B73985">
                        <w:rPr>
                          <w:sz w:val="22"/>
                        </w:rPr>
                        <w:fldChar w:fldCharType="begin"/>
                      </w:r>
                      <w:r w:rsidRPr="00B73985">
                        <w:rPr>
                          <w:sz w:val="22"/>
                          <w:lang w:val="en-US"/>
                        </w:rPr>
                        <w:instrText xml:space="preserve"> SEQ Figure \* ARABIC </w:instrText>
                      </w:r>
                      <w:r w:rsidR="008C351F" w:rsidRPr="00B73985">
                        <w:rPr>
                          <w:sz w:val="22"/>
                        </w:rPr>
                        <w:fldChar w:fldCharType="separate"/>
                      </w:r>
                      <w:r w:rsidR="003266C3" w:rsidRPr="00B73985">
                        <w:rPr>
                          <w:noProof/>
                          <w:sz w:val="22"/>
                          <w:lang w:val="en-US"/>
                        </w:rPr>
                        <w:t>1</w:t>
                      </w:r>
                      <w:r w:rsidR="008C351F" w:rsidRPr="00B73985">
                        <w:rPr>
                          <w:sz w:val="22"/>
                        </w:rPr>
                        <w:fldChar w:fldCharType="end"/>
                      </w:r>
                      <w:bookmarkEnd w:id="3"/>
                      <w:r w:rsidRPr="00B73985">
                        <w:rPr>
                          <w:sz w:val="22"/>
                          <w:lang w:val="en-US"/>
                        </w:rPr>
                        <w:t>. A schema of high availability JINR cloud setup</w:t>
                      </w:r>
                      <w:bookmarkEnd w:id="4"/>
                    </w:p>
                  </w:txbxContent>
                </v:textbox>
                <w10:wrap type="topAndBottom"/>
              </v:shape>
            </w:pict>
          </mc:Fallback>
        </mc:AlternateContent>
      </w:r>
      <w:r w:rsidR="00526B02" w:rsidRPr="00526B02">
        <w:t>T</w:t>
      </w:r>
      <w:r w:rsidR="00AA4DF8">
        <w:t>he t</w:t>
      </w:r>
      <w:r w:rsidR="00526B02" w:rsidRPr="00526B02">
        <w:t>otal capacity of that storage is 16 TB</w:t>
      </w:r>
      <w:r w:rsidR="00AA4DF8">
        <w:t>,</w:t>
      </w:r>
      <w:r w:rsidR="00526B02" w:rsidRPr="00526B02">
        <w:t xml:space="preserve"> but due to </w:t>
      </w:r>
      <w:r w:rsidR="00526B02">
        <w:t xml:space="preserve">a </w:t>
      </w:r>
      <w:r w:rsidR="00526B02" w:rsidRPr="00526B02">
        <w:t>redundancy set to 2 the effective size is 8 TB.</w:t>
      </w:r>
    </w:p>
    <w:p w:rsidR="00EF60E4" w:rsidRDefault="003C3272" w:rsidP="00526970">
      <w:pPr>
        <w:pStyle w:val="TextofArticle"/>
        <w:rPr>
          <w:lang w:val="en-US"/>
        </w:rPr>
      </w:pPr>
      <w:r>
        <w:rPr>
          <w:lang w:val="en-US"/>
        </w:rPr>
        <w:t xml:space="preserve">More details on tested HA-configurations can be found in </w:t>
      </w:r>
      <w:r w:rsidR="00F17291" w:rsidRPr="00F17291">
        <w:rPr>
          <w:noProof/>
          <w:lang w:val="en-US"/>
        </w:rPr>
        <w:t>[</w:t>
      </w:r>
      <w:r w:rsidR="001D1CE0">
        <w:rPr>
          <w:lang w:val="en-US"/>
        </w:rPr>
        <w:t>1</w:t>
      </w:r>
      <w:r w:rsidR="00F17291" w:rsidRPr="00F17291">
        <w:rPr>
          <w:noProof/>
          <w:lang w:val="en-US"/>
        </w:rPr>
        <w:t>]</w:t>
      </w:r>
      <w:r>
        <w:rPr>
          <w:lang w:val="en-US"/>
        </w:rPr>
        <w:t>.</w:t>
      </w:r>
      <w:r w:rsidR="00EF60E4">
        <w:rPr>
          <w:lang w:val="en-US"/>
        </w:rPr>
        <w:t>Smart cloud scheduler</w:t>
      </w:r>
    </w:p>
    <w:p w:rsidR="00784C5F" w:rsidRDefault="00784C5F" w:rsidP="00BB5415">
      <w:pPr>
        <w:pStyle w:val="TextofArticle"/>
        <w:rPr>
          <w:lang w:val="en-US"/>
        </w:rPr>
      </w:pPr>
      <w:r>
        <w:rPr>
          <w:lang w:val="en-US"/>
        </w:rPr>
        <w:t>An experience of running the JINR cloud in production for almost three year shows that a lot of allocated resourced are underutilized. That decreases an overall efficiency of the JINR cloud resources usage sufficiently. To change that it was decided to develop a smart cloud scheduler</w:t>
      </w:r>
      <w:r w:rsidR="00AE6C29">
        <w:rPr>
          <w:lang w:val="en-US"/>
        </w:rPr>
        <w:t xml:space="preserve"> (SCS)</w:t>
      </w:r>
      <w:r>
        <w:rPr>
          <w:lang w:val="en-US"/>
        </w:rPr>
        <w:t xml:space="preserve"> </w:t>
      </w:r>
      <w:r w:rsidR="00C501D5">
        <w:rPr>
          <w:lang w:val="en-US"/>
        </w:rPr>
        <w:lastRenderedPageBreak/>
        <w:t xml:space="preserve">with the following logic behind. All cloud servers are ranked: new and most powerful servers have maximal rank but elder and weaker hosts have a minimal one. </w:t>
      </w:r>
      <w:r w:rsidR="00AE6C29">
        <w:rPr>
          <w:lang w:val="en-US"/>
        </w:rPr>
        <w:t xml:space="preserve">Initially new virtual instance (VI, it can be either a virtual machine or container) is deployed on the cloud server with highest rank. During VI’s life the smart cloud scheduler tracks a real consumption of CPU and RAM resources by each VI. If such consumption is less than a defined threshold then </w:t>
      </w:r>
      <w:r w:rsidR="00E37B6A">
        <w:rPr>
          <w:lang w:val="en-US"/>
        </w:rPr>
        <w:t xml:space="preserve">the </w:t>
      </w:r>
      <w:r w:rsidR="00AE6C29">
        <w:rPr>
          <w:lang w:val="en-US"/>
        </w:rPr>
        <w:t xml:space="preserve">SCS will initiate </w:t>
      </w:r>
      <w:r w:rsidR="00E37B6A">
        <w:rPr>
          <w:lang w:val="en-US"/>
        </w:rPr>
        <w:t xml:space="preserve">a </w:t>
      </w:r>
      <w:r w:rsidR="00AE6C29">
        <w:rPr>
          <w:lang w:val="en-US"/>
        </w:rPr>
        <w:t xml:space="preserve">live migration </w:t>
      </w:r>
      <w:r w:rsidR="00E37B6A">
        <w:rPr>
          <w:lang w:val="en-US"/>
        </w:rPr>
        <w:t xml:space="preserve">of such VI </w:t>
      </w:r>
      <w:r w:rsidR="00AE6C29">
        <w:rPr>
          <w:lang w:val="en-US"/>
        </w:rPr>
        <w:t>to the less ranked server.</w:t>
      </w:r>
      <w:r w:rsidR="00E37B6A">
        <w:rPr>
          <w:lang w:val="en-US"/>
        </w:rPr>
        <w:t xml:space="preserve"> That procedure is constantly repeated until underloaded VI reaches the worst ranked server. If such VI starts consuming more resources the SCS initiates its live migration into backward direction, i.e. to the host with higher rank then a previous one.</w:t>
      </w:r>
    </w:p>
    <w:p w:rsidR="00EF60E4" w:rsidRDefault="009C5EDB" w:rsidP="00BB5415">
      <w:pPr>
        <w:pStyle w:val="TextofArticle"/>
        <w:rPr>
          <w:lang w:val="en-US"/>
        </w:rPr>
      </w:pPr>
      <w:r>
        <w:rPr>
          <w:lang w:val="en-US"/>
        </w:rPr>
        <w:t>More details on smart cloud scheduler are expounded in [</w:t>
      </w:r>
      <w:r w:rsidR="001D1CE0">
        <w:rPr>
          <w:lang w:val="en-US"/>
        </w:rPr>
        <w:t>2</w:t>
      </w:r>
      <w:r>
        <w:rPr>
          <w:lang w:val="en-US"/>
        </w:rPr>
        <w:t>].</w:t>
      </w:r>
    </w:p>
    <w:p w:rsidR="00751D73" w:rsidRDefault="000A1901" w:rsidP="00A35A25">
      <w:pPr>
        <w:pStyle w:val="GRIDheading1"/>
        <w:spacing w:before="240"/>
      </w:pPr>
      <w:r>
        <w:t xml:space="preserve">2. </w:t>
      </w:r>
      <w:r w:rsidR="00751D73">
        <w:t>Clouds integration</w:t>
      </w:r>
    </w:p>
    <w:p w:rsidR="00751D73" w:rsidRPr="00B73985" w:rsidRDefault="00751D73" w:rsidP="00B73985">
      <w:pPr>
        <w:pStyle w:val="GRIDtext"/>
      </w:pPr>
      <w:r w:rsidRPr="00B73985">
        <w:t>The amount of resources available for</w:t>
      </w:r>
      <w:r w:rsidR="00282764" w:rsidRPr="00B73985">
        <w:t xml:space="preserve"> the</w:t>
      </w:r>
      <w:r w:rsidR="00B147D8" w:rsidRPr="00B73985">
        <w:t xml:space="preserve"> JINR cloud users has been increased lately</w:t>
      </w:r>
      <w:r w:rsidRPr="00B73985">
        <w:t xml:space="preserve"> due to 1) maintaining additional </w:t>
      </w:r>
      <w:r w:rsidR="00B147D8" w:rsidRPr="00B73985">
        <w:t>servers as cloud nodes and 2)</w:t>
      </w:r>
      <w:r w:rsidRPr="00B73985">
        <w:t xml:space="preserve"> integration</w:t>
      </w:r>
      <w:r w:rsidR="00B147D8" w:rsidRPr="00B73985">
        <w:t xml:space="preserve"> of</w:t>
      </w:r>
      <w:r w:rsidRPr="00B73985">
        <w:t xml:space="preserve"> part of computing resources of</w:t>
      </w:r>
      <w:r w:rsidR="00B147D8" w:rsidRPr="00B73985">
        <w:t xml:space="preserve"> the partner</w:t>
      </w:r>
      <w:r w:rsidRPr="00B73985">
        <w:t xml:space="preserve"> organizations</w:t>
      </w:r>
      <w:r w:rsidR="00B147D8" w:rsidRPr="00B73985">
        <w:t>’</w:t>
      </w:r>
      <w:r w:rsidRPr="00B73985">
        <w:t xml:space="preserve"> clouds.</w:t>
      </w:r>
    </w:p>
    <w:p w:rsidR="00751D73" w:rsidRPr="00B73985" w:rsidRDefault="00AA4DF8" w:rsidP="00B73985">
      <w:pPr>
        <w:pStyle w:val="GRIDtext"/>
      </w:pPr>
      <w:r w:rsidRPr="00B73985">
        <w:t>To join the</w:t>
      </w:r>
      <w:r w:rsidR="00751D73" w:rsidRPr="00B73985">
        <w:t xml:space="preserve"> cloud resources of partner organizations from JINR Member State for solving common tasks as well as to distribute a peak load across them</w:t>
      </w:r>
      <w:r w:rsidRPr="00B73985">
        <w:t>,</w:t>
      </w:r>
      <w:r w:rsidR="00751D73" w:rsidRPr="00B73985">
        <w:t xml:space="preserve"> a cloud bursting driver [</w:t>
      </w:r>
      <w:r w:rsidR="001D1CE0">
        <w:t>3</w:t>
      </w:r>
      <w:r w:rsidR="00751D73" w:rsidRPr="00B73985">
        <w:t xml:space="preserve">] was developed by </w:t>
      </w:r>
      <w:r w:rsidRPr="00B73985">
        <w:t>the</w:t>
      </w:r>
      <w:r w:rsidR="00751D73" w:rsidRPr="00B73985">
        <w:t xml:space="preserve"> JINR cloud team. It allows</w:t>
      </w:r>
      <w:r w:rsidRPr="00B73985">
        <w:t xml:space="preserve"> one</w:t>
      </w:r>
      <w:r w:rsidR="00751D73" w:rsidRPr="00B73985">
        <w:t xml:space="preserve"> to integrate the JINR cloud with partner clouds either OpenNebula-based one (and in that case it is possible to enable real time external cloud resources monitoring) or any other cloud platform which supports Open Cloud Computing Interface (OCCI) but then statically defined values of external cloud resources are possible only. The driver is based on ruby implementation of OCCI (rOCCI) and OpenNebula eXtensible Markup Language Remote Procedure Call (XML-RPC) interface. The reason why both interfaces are used at the same time is that OCCI al</w:t>
      </w:r>
      <w:r w:rsidR="00B147D8" w:rsidRPr="00B73985">
        <w:t>lows a</w:t>
      </w:r>
      <w:r w:rsidR="00751D73" w:rsidRPr="00B73985">
        <w:t xml:space="preserve"> better re</w:t>
      </w:r>
      <w:r w:rsidR="000612FB" w:rsidRPr="00B73985">
        <w:t>-</w:t>
      </w:r>
      <w:r w:rsidR="00751D73" w:rsidRPr="00B73985">
        <w:t xml:space="preserve">use </w:t>
      </w:r>
      <w:r w:rsidR="00B147D8" w:rsidRPr="00B73985">
        <w:t xml:space="preserve">of the </w:t>
      </w:r>
      <w:r w:rsidR="00751D73" w:rsidRPr="00B73985">
        <w:t>code since it is provided by other popular cloud platforms like OpenStack</w:t>
      </w:r>
      <w:r w:rsidR="00B147D8" w:rsidRPr="00B73985">
        <w:t>,</w:t>
      </w:r>
      <w:r w:rsidR="00751D73" w:rsidRPr="00B73985">
        <w:t xml:space="preserve"> while OpenNebula XML-RPC</w:t>
      </w:r>
      <w:r w:rsidR="00B147D8" w:rsidRPr="00B73985">
        <w:t xml:space="preserve"> is OpenNebula-specific and canno</w:t>
      </w:r>
      <w:r w:rsidR="00751D73" w:rsidRPr="00B73985">
        <w:t>t be used for integration with other platforms. At the same time</w:t>
      </w:r>
      <w:r w:rsidR="00B147D8" w:rsidRPr="00B73985">
        <w:t>,</w:t>
      </w:r>
      <w:r w:rsidR="00751D73" w:rsidRPr="00B73985">
        <w:t xml:space="preserve"> OCCI does</w:t>
      </w:r>
      <w:r w:rsidR="00B147D8" w:rsidRPr="00B73985">
        <w:t xml:space="preserve"> no</w:t>
      </w:r>
      <w:r w:rsidR="00751D73" w:rsidRPr="00B73985">
        <w:t>t provide monitoring operations</w:t>
      </w:r>
      <w:r w:rsidR="00B147D8" w:rsidRPr="00B73985">
        <w:t>,</w:t>
      </w:r>
      <w:r w:rsidR="00751D73" w:rsidRPr="00B73985">
        <w:t xml:space="preserve"> while OpenNebula XML-RPC does. It was decided to use rOCCI for management operations and XML-RPC for monitoring.</w:t>
      </w:r>
    </w:p>
    <w:p w:rsidR="00751D73" w:rsidRPr="00B73985" w:rsidRDefault="00751D73" w:rsidP="00B73985">
      <w:pPr>
        <w:pStyle w:val="GRIDtext"/>
      </w:pPr>
      <w:r w:rsidRPr="00B73985">
        <w:t>The clouds of the following partner organizations from</w:t>
      </w:r>
      <w:r w:rsidR="00AA4DF8" w:rsidRPr="00B73985">
        <w:t xml:space="preserve"> the</w:t>
      </w:r>
      <w:r w:rsidRPr="00B73985">
        <w:t xml:space="preserve"> JINR Member States are integrated with </w:t>
      </w:r>
      <w:r w:rsidR="00AA4DF8" w:rsidRPr="00B73985">
        <w:t xml:space="preserve">the </w:t>
      </w:r>
      <w:r w:rsidRPr="00B73985">
        <w:t>JINR one:</w:t>
      </w:r>
    </w:p>
    <w:p w:rsidR="00751D73" w:rsidRPr="00B73985" w:rsidRDefault="00751D73" w:rsidP="00B73985">
      <w:pPr>
        <w:pStyle w:val="GRIDtext"/>
      </w:pPr>
      <w:r w:rsidRPr="00B73985">
        <w:t>Institute of Physics of Azerbaijan National Academy of Sciences (Baku, Azerbaijan);</w:t>
      </w:r>
    </w:p>
    <w:p w:rsidR="00751D73" w:rsidRPr="00B73985" w:rsidRDefault="00751D73" w:rsidP="00B73985">
      <w:pPr>
        <w:pStyle w:val="GRIDtext"/>
      </w:pPr>
      <w:r w:rsidRPr="00B73985">
        <w:t>Bogolyubov Institute for Theoretical Physics of the National Academy of Sciences of Ukraine (Kiev, Ukraine);</w:t>
      </w:r>
    </w:p>
    <w:p w:rsidR="00751D73" w:rsidRPr="00B73985" w:rsidRDefault="00751D73" w:rsidP="00B73985">
      <w:pPr>
        <w:pStyle w:val="GRIDtext"/>
      </w:pPr>
      <w:r w:rsidRPr="00B73985">
        <w:t>Plekhanov Russian University of Economics – PRUE (Moscow, Russia).</w:t>
      </w:r>
    </w:p>
    <w:p w:rsidR="00751D73" w:rsidRPr="00B73985" w:rsidRDefault="00751D73" w:rsidP="00B73985">
      <w:pPr>
        <w:pStyle w:val="GRIDtext"/>
      </w:pPr>
      <w:r w:rsidRPr="00B73985">
        <w:t>Apart from that the JINR cloud is integrated into EGI Federated cloud thus enabling a possibility to use a part of JINR computing resources by EGI FedCloud Virtual Organizations.</w:t>
      </w:r>
    </w:p>
    <w:p w:rsidR="000612FB" w:rsidRPr="001E1AAC" w:rsidRDefault="00751D73" w:rsidP="00B73985">
      <w:pPr>
        <w:pStyle w:val="GRIDtext"/>
      </w:pPr>
      <w:r w:rsidRPr="00B73985">
        <w:t>At the moment of writing that article a total</w:t>
      </w:r>
      <w:r w:rsidRPr="00751D73">
        <w:t xml:space="preserve"> number of CPU cores available for users in the JINR cloud is 330 (it was 200 in 2015) and total </w:t>
      </w:r>
      <w:r>
        <w:t>a</w:t>
      </w:r>
      <w:r w:rsidRPr="00751D73">
        <w:t>mount of RAM is 840 GB (was 400 GB).</w:t>
      </w:r>
    </w:p>
    <w:p w:rsidR="002F0938" w:rsidRDefault="000A1901" w:rsidP="00A35A25">
      <w:pPr>
        <w:pStyle w:val="GRIDheading1"/>
      </w:pPr>
      <w:r>
        <w:t xml:space="preserve">3. </w:t>
      </w:r>
      <w:r w:rsidR="009028C3">
        <w:t xml:space="preserve">Re-implementation of </w:t>
      </w:r>
      <w:r w:rsidR="00160ACE">
        <w:t xml:space="preserve">statistics </w:t>
      </w:r>
      <w:r w:rsidR="009028C3">
        <w:t xml:space="preserve">visualization </w:t>
      </w:r>
    </w:p>
    <w:p w:rsidR="008C681C" w:rsidRDefault="002E6336" w:rsidP="00A35A25">
      <w:pPr>
        <w:pStyle w:val="GRIDtext"/>
      </w:pPr>
      <w:r w:rsidRPr="009028C3">
        <w:t xml:space="preserve">Initially </w:t>
      </w:r>
      <w:r>
        <w:t>a</w:t>
      </w:r>
      <w:r w:rsidR="009028C3" w:rsidRPr="009028C3">
        <w:t xml:space="preserve"> visualization </w:t>
      </w:r>
      <w:r>
        <w:t xml:space="preserve">of </w:t>
      </w:r>
      <w:r w:rsidR="009028C3" w:rsidRPr="009028C3">
        <w:t xml:space="preserve">statistics on </w:t>
      </w:r>
      <w:r>
        <w:t xml:space="preserve">the JINR cloud </w:t>
      </w:r>
      <w:r w:rsidR="009028C3" w:rsidRPr="009028C3">
        <w:t>resources utilization</w:t>
      </w:r>
      <w:r>
        <w:t xml:space="preserve"> </w:t>
      </w:r>
      <w:r w:rsidR="009028C3" w:rsidRPr="009028C3">
        <w:t>was done by JINR cloud team as an additional item in a menu of OpenNebula graphical web-interface (which is called “Sunstone”). But a drawback of such implementation was a necessity t</w:t>
      </w:r>
      <w:r>
        <w:t xml:space="preserve">o check a compatibility of that </w:t>
      </w:r>
      <w:r w:rsidR="009028C3" w:rsidRPr="009028C3">
        <w:t xml:space="preserve">visualization add-on against each new release of OpenNebula because its web-interface might be changed. It was needed to adopt the code of visualization module for the new Sunstone in case of its incompatibility. So in order to avoid such extra step before software update on the JINR cloud </w:t>
      </w:r>
      <w:r w:rsidR="009028C3">
        <w:t xml:space="preserve">FN </w:t>
      </w:r>
      <w:r w:rsidR="009028C3" w:rsidRPr="009028C3">
        <w:t>as well as to store a collecting metrics in a database for further analysis against their changes over time and to obtain the dynamics for the selected period it was decided to implement an aggregation and  visualization statistics on JINR cloud resources utilization using such tools as InfluxDB and Grafana software. One of such pie-chart diagram is shown on the</w:t>
      </w:r>
      <w:r w:rsidR="003266C3">
        <w:t xml:space="preserve"> </w:t>
      </w:r>
      <w:r w:rsidR="008634C6">
        <w:fldChar w:fldCharType="begin"/>
      </w:r>
      <w:r w:rsidR="008634C6">
        <w:instrText xml:space="preserve"> REF _Ref465512629 \h  \* MERGEFORMAT </w:instrText>
      </w:r>
      <w:r w:rsidR="008634C6">
        <w:fldChar w:fldCharType="separate"/>
      </w:r>
      <w:r w:rsidR="003266C3" w:rsidRPr="00AA4DF8">
        <w:t>Figure 2</w:t>
      </w:r>
      <w:r w:rsidR="008634C6">
        <w:fldChar w:fldCharType="end"/>
      </w:r>
      <w:r w:rsidR="009028C3" w:rsidRPr="009028C3">
        <w:t>.</w:t>
      </w:r>
    </w:p>
    <w:p w:rsidR="00160ACE" w:rsidRDefault="000A1901" w:rsidP="00A35A25">
      <w:pPr>
        <w:pStyle w:val="GRIDheading1"/>
      </w:pPr>
      <w:r>
        <w:lastRenderedPageBreak/>
        <w:t xml:space="preserve">4. </w:t>
      </w:r>
      <w:r w:rsidR="00160ACE">
        <w:t>Future plans</w:t>
      </w:r>
    </w:p>
    <w:p w:rsidR="00160ACE" w:rsidRDefault="00B147D8" w:rsidP="00A35A25">
      <w:pPr>
        <w:pStyle w:val="GRIDtext"/>
      </w:pPr>
      <w:r>
        <w:t>The r</w:t>
      </w:r>
      <w:r w:rsidR="00160ACE">
        <w:t>e-implemented statistics visualization module decreases an amount of components to be checked for compatibility against new version of OpenNebula software. So as soon as the</w:t>
      </w:r>
      <w:r w:rsidR="00806B30">
        <w:t xml:space="preserve"> validation of the</w:t>
      </w:r>
      <w:r w:rsidR="00160ACE">
        <w:t xml:space="preserve"> rest </w:t>
      </w:r>
      <w:r w:rsidR="00806B30">
        <w:t xml:space="preserve">custom components such as OpenVZ driver and Kerberos authentication plug-in are </w:t>
      </w:r>
      <w:r w:rsidR="00160ACE">
        <w:t>finish</w:t>
      </w:r>
      <w:r w:rsidR="00806B30">
        <w:t>ed</w:t>
      </w:r>
      <w:r>
        <w:t xml:space="preserve">, </w:t>
      </w:r>
      <w:r w:rsidR="00AE6DA0">
        <w:t xml:space="preserve"> it is planned to update software on OpenNebula front-end node</w:t>
      </w:r>
      <w:r w:rsidR="00C40329">
        <w:t xml:space="preserve"> to the latest stable version</w:t>
      </w:r>
      <w:r w:rsidR="00AE6DA0">
        <w:t>.</w:t>
      </w:r>
    </w:p>
    <w:p w:rsidR="00AE6DA0" w:rsidRDefault="00AE6DA0" w:rsidP="00A35A25">
      <w:pPr>
        <w:pStyle w:val="GRIDtext"/>
      </w:pPr>
      <w:r>
        <w:t>The OpenVZ driver for OpenNebula needs to be updated to work with 7</w:t>
      </w:r>
      <w:r w:rsidRPr="00AE6DA0">
        <w:rPr>
          <w:vertAlign w:val="superscript"/>
        </w:rPr>
        <w:t>th</w:t>
      </w:r>
      <w:r>
        <w:t xml:space="preserve"> version of OpenVZ software </w:t>
      </w:r>
      <w:r w:rsidR="00B147D8">
        <w:t>which is intended to</w:t>
      </w:r>
      <w:r w:rsidR="00D7269B">
        <w:t xml:space="preserve"> </w:t>
      </w:r>
      <w:r>
        <w:t xml:space="preserve">be deployed on RHEL7-compatible Linux distributions. </w:t>
      </w:r>
      <w:r w:rsidR="00D7269B">
        <w:t>That would allow</w:t>
      </w:r>
      <w:r w:rsidR="00B147D8">
        <w:t xml:space="preserve"> one</w:t>
      </w:r>
      <w:r w:rsidR="00D7269B">
        <w:t xml:space="preserve"> to upgrade </w:t>
      </w:r>
      <w:r w:rsidR="00B147D8">
        <w:t>the</w:t>
      </w:r>
      <w:r w:rsidR="006D7D4B">
        <w:t xml:space="preserve"> </w:t>
      </w:r>
      <w:r w:rsidR="00D7269B">
        <w:t xml:space="preserve">operating system to the latest stable 7.x </w:t>
      </w:r>
      <w:r w:rsidR="00375D37">
        <w:t>branch</w:t>
      </w:r>
      <w:r w:rsidR="00D7269B">
        <w:t xml:space="preserve"> of CentOS on all cloud worker nodes.</w:t>
      </w:r>
    </w:p>
    <w:p w:rsidR="008C3F52" w:rsidRDefault="008C3F52" w:rsidP="00A35A25">
      <w:pPr>
        <w:pStyle w:val="GRIDtext"/>
      </w:pPr>
      <w:r>
        <w:t>Upon smart cloud scheduler readiness it will be integrated into the JINR cloud.</w:t>
      </w:r>
    </w:p>
    <w:p w:rsidR="008C3F52" w:rsidRDefault="00284ADF" w:rsidP="00A35A25">
      <w:pPr>
        <w:pStyle w:val="GRIDtext"/>
      </w:pPr>
      <w:r>
        <w:rPr>
          <w:noProof/>
          <w:lang w:val="ru-RU"/>
        </w:rPr>
        <mc:AlternateContent>
          <mc:Choice Requires="wps">
            <w:drawing>
              <wp:anchor distT="45720" distB="45720" distL="114300" distR="114300" simplePos="0" relativeHeight="251658240" behindDoc="0" locked="0" layoutInCell="1" allowOverlap="1">
                <wp:simplePos x="0" y="0"/>
                <wp:positionH relativeFrom="column">
                  <wp:posOffset>-31115</wp:posOffset>
                </wp:positionH>
                <wp:positionV relativeFrom="paragraph">
                  <wp:posOffset>430530</wp:posOffset>
                </wp:positionV>
                <wp:extent cx="5827395" cy="3590925"/>
                <wp:effectExtent l="0" t="0" r="1905" b="9525"/>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359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6C3" w:rsidRDefault="00F15104" w:rsidP="00526970">
                            <w:pPr>
                              <w:pStyle w:val="Picture"/>
                            </w:pPr>
                            <w:r>
                              <w:rPr>
                                <w:noProof/>
                              </w:rPr>
                              <w:drawing>
                                <wp:inline distT="0" distB="0" distL="0" distR="0">
                                  <wp:extent cx="5476875" cy="2933700"/>
                                  <wp:effectExtent l="0" t="0" r="9525" b="0"/>
                                  <wp:docPr id="18" name="Рисунок 18" descr="grafana_statictics_2015-10-05_2016-10-05_inv_colors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fana_statictics_2015-10-05_2016-10-05_inv_colors_v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2933700"/>
                                          </a:xfrm>
                                          <a:prstGeom prst="rect">
                                            <a:avLst/>
                                          </a:prstGeom>
                                          <a:noFill/>
                                          <a:ln>
                                            <a:noFill/>
                                          </a:ln>
                                        </pic:spPr>
                                      </pic:pic>
                                    </a:graphicData>
                                  </a:graphic>
                                </wp:inline>
                              </w:drawing>
                            </w:r>
                          </w:p>
                          <w:p w:rsidR="003266C3" w:rsidRPr="00B73985" w:rsidRDefault="003266C3" w:rsidP="00526970">
                            <w:pPr>
                              <w:pStyle w:val="PictureDescription"/>
                              <w:rPr>
                                <w:sz w:val="22"/>
                                <w:lang w:val="en-US"/>
                              </w:rPr>
                            </w:pPr>
                            <w:bookmarkStart w:id="5" w:name="_Ref465512629"/>
                            <w:r w:rsidRPr="00B73985">
                              <w:rPr>
                                <w:sz w:val="22"/>
                                <w:lang w:val="en-US"/>
                              </w:rPr>
                              <w:t xml:space="preserve">Figure </w:t>
                            </w:r>
                            <w:r w:rsidR="008C351F" w:rsidRPr="00B73985">
                              <w:rPr>
                                <w:sz w:val="22"/>
                              </w:rPr>
                              <w:fldChar w:fldCharType="begin"/>
                            </w:r>
                            <w:r w:rsidRPr="00B73985">
                              <w:rPr>
                                <w:sz w:val="22"/>
                                <w:lang w:val="en-US"/>
                              </w:rPr>
                              <w:instrText xml:space="preserve"> SEQ Figure \* ARABIC </w:instrText>
                            </w:r>
                            <w:r w:rsidR="008C351F" w:rsidRPr="00B73985">
                              <w:rPr>
                                <w:sz w:val="22"/>
                              </w:rPr>
                              <w:fldChar w:fldCharType="separate"/>
                            </w:r>
                            <w:r w:rsidRPr="00B73985">
                              <w:rPr>
                                <w:sz w:val="22"/>
                                <w:lang w:val="en-US"/>
                              </w:rPr>
                              <w:t>2</w:t>
                            </w:r>
                            <w:r w:rsidR="008C351F" w:rsidRPr="00B73985">
                              <w:rPr>
                                <w:sz w:val="22"/>
                              </w:rPr>
                              <w:fldChar w:fldCharType="end"/>
                            </w:r>
                            <w:bookmarkEnd w:id="5"/>
                            <w:r w:rsidRPr="00B73985">
                              <w:rPr>
                                <w:sz w:val="22"/>
                                <w:lang w:val="en-US"/>
                              </w:rPr>
                              <w:t>. A screenshot of Grafana dashboard with information on consumed resources distribution by departments and projects from 5-Oct-2015 till 5-Oct-2016</w:t>
                            </w:r>
                          </w:p>
                        </w:txbxContent>
                      </wps:txbx>
                      <wps:bodyPr rot="0" vert="horz" wrap="square" lIns="0" tIns="0" rIns="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45pt;margin-top:33.9pt;width:458.85pt;height:28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" stroked="f">
                <v:textbox inset="0,0,0,3mm">
                  <w:txbxContent>
                    <w:p w:rsidR="003266C3" w:rsidRDefault="00F15104" w:rsidP="00526970">
                      <w:pPr>
                        <w:pStyle w:val="Picture"/>
                      </w:pPr>
                      <w:r>
                        <w:rPr>
                          <w:noProof/>
                        </w:rPr>
                        <w:drawing>
                          <wp:inline distT="0" distB="0" distL="0" distR="0">
                            <wp:extent cx="5476875" cy="2933700"/>
                            <wp:effectExtent l="0" t="0" r="9525" b="0"/>
                            <wp:docPr id="18" name="Рисунок 18" descr="grafana_statictics_2015-10-05_2016-10-05_inv_colors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fana_statictics_2015-10-05_2016-10-05_inv_colors_v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2933700"/>
                                    </a:xfrm>
                                    <a:prstGeom prst="rect">
                                      <a:avLst/>
                                    </a:prstGeom>
                                    <a:noFill/>
                                    <a:ln>
                                      <a:noFill/>
                                    </a:ln>
                                  </pic:spPr>
                                </pic:pic>
                              </a:graphicData>
                            </a:graphic>
                          </wp:inline>
                        </w:drawing>
                      </w:r>
                    </w:p>
                    <w:p w:rsidR="003266C3" w:rsidRPr="00B73985" w:rsidRDefault="003266C3" w:rsidP="00526970">
                      <w:pPr>
                        <w:pStyle w:val="PictureDescription"/>
                        <w:rPr>
                          <w:sz w:val="22"/>
                          <w:lang w:val="en-US"/>
                        </w:rPr>
                      </w:pPr>
                      <w:bookmarkStart w:id="6" w:name="_Ref465512629"/>
                      <w:r w:rsidRPr="00B73985">
                        <w:rPr>
                          <w:sz w:val="22"/>
                          <w:lang w:val="en-US"/>
                        </w:rPr>
                        <w:t xml:space="preserve">Figure </w:t>
                      </w:r>
                      <w:r w:rsidR="008C351F" w:rsidRPr="00B73985">
                        <w:rPr>
                          <w:sz w:val="22"/>
                        </w:rPr>
                        <w:fldChar w:fldCharType="begin"/>
                      </w:r>
                      <w:r w:rsidRPr="00B73985">
                        <w:rPr>
                          <w:sz w:val="22"/>
                          <w:lang w:val="en-US"/>
                        </w:rPr>
                        <w:instrText xml:space="preserve"> SEQ Figure \* ARABIC </w:instrText>
                      </w:r>
                      <w:r w:rsidR="008C351F" w:rsidRPr="00B73985">
                        <w:rPr>
                          <w:sz w:val="22"/>
                        </w:rPr>
                        <w:fldChar w:fldCharType="separate"/>
                      </w:r>
                      <w:r w:rsidRPr="00B73985">
                        <w:rPr>
                          <w:sz w:val="22"/>
                          <w:lang w:val="en-US"/>
                        </w:rPr>
                        <w:t>2</w:t>
                      </w:r>
                      <w:r w:rsidR="008C351F" w:rsidRPr="00B73985">
                        <w:rPr>
                          <w:sz w:val="22"/>
                        </w:rPr>
                        <w:fldChar w:fldCharType="end"/>
                      </w:r>
                      <w:bookmarkEnd w:id="6"/>
                      <w:r w:rsidRPr="00B73985">
                        <w:rPr>
                          <w:sz w:val="22"/>
                          <w:lang w:val="en-US"/>
                        </w:rPr>
                        <w:t>. A screenshot of Grafana dashboard with information on consumed resources distribution by departments and projects from 5-Oct-2015 till 5-Oct-2016</w:t>
                      </w:r>
                    </w:p>
                  </w:txbxContent>
                </v:textbox>
                <w10:wrap type="topAndBottom"/>
              </v:shape>
            </w:pict>
          </mc:Fallback>
        </mc:AlternateContent>
      </w:r>
      <w:r w:rsidR="009B166E">
        <w:t xml:space="preserve">There is a plan to buy and mount 10 Gbps network </w:t>
      </w:r>
      <w:r w:rsidR="0036381B">
        <w:t>equipment</w:t>
      </w:r>
      <w:r w:rsidR="009B166E">
        <w:t xml:space="preserve"> and disk servers to build CEPH-based storage. That would let </w:t>
      </w:r>
      <w:r w:rsidR="00446B3C">
        <w:t>host</w:t>
      </w:r>
      <w:r w:rsidR="009B166E">
        <w:t xml:space="preserve"> </w:t>
      </w:r>
      <w:r w:rsidR="00446B3C">
        <w:t xml:space="preserve">a </w:t>
      </w:r>
      <w:r w:rsidR="000715A4">
        <w:t>disk</w:t>
      </w:r>
      <w:r w:rsidR="00446B3C">
        <w:t xml:space="preserve"> images</w:t>
      </w:r>
      <w:r w:rsidR="000715A4">
        <w:t xml:space="preserve"> </w:t>
      </w:r>
      <w:r w:rsidR="00446B3C">
        <w:t xml:space="preserve">of running VIs </w:t>
      </w:r>
      <w:r w:rsidR="009B166E">
        <w:t xml:space="preserve">on shared CEPH directly instead of </w:t>
      </w:r>
      <w:r w:rsidR="00446B3C">
        <w:t>running</w:t>
      </w:r>
      <w:r w:rsidR="009B166E">
        <w:t xml:space="preserve"> </w:t>
      </w:r>
      <w:r w:rsidR="00446B3C">
        <w:t xml:space="preserve">them </w:t>
      </w:r>
      <w:r w:rsidR="00A9028B">
        <w:t xml:space="preserve">on local CNs disks </w:t>
      </w:r>
      <w:r w:rsidR="00C60EAC">
        <w:t xml:space="preserve">causing a necessity to </w:t>
      </w:r>
      <w:r w:rsidR="00A9028B">
        <w:t>copy them over the network during deployment or stop operations.</w:t>
      </w:r>
    </w:p>
    <w:p w:rsidR="00713860" w:rsidRPr="00BB5415" w:rsidRDefault="00713860" w:rsidP="00A35A25">
      <w:pPr>
        <w:pStyle w:val="GRIDtext"/>
      </w:pPr>
      <w:r>
        <w:t>In order to use</w:t>
      </w:r>
      <w:r w:rsidR="00B147D8">
        <w:t xml:space="preserve"> the</w:t>
      </w:r>
      <w:r>
        <w:t xml:space="preserve"> cloud resour</w:t>
      </w:r>
      <w:r w:rsidR="00B147D8">
        <w:t>ces as a computing backend for</w:t>
      </w:r>
      <w:r>
        <w:t xml:space="preserve"> batch-systems </w:t>
      </w:r>
      <w:r w:rsidR="00B147D8">
        <w:t>and thus</w:t>
      </w:r>
      <w:r w:rsidR="00A20C6A">
        <w:t xml:space="preserve"> grid computing elements</w:t>
      </w:r>
      <w:r w:rsidR="00AA4DF8">
        <w:t>,</w:t>
      </w:r>
      <w:r w:rsidR="00A20C6A">
        <w:t xml:space="preserve"> it is planned to validate a</w:t>
      </w:r>
      <w:r>
        <w:t xml:space="preserve"> set of </w:t>
      </w:r>
      <w:r w:rsidR="00A20C6A">
        <w:t>helping components (e.g. VCycle, Vac, VCon</w:t>
      </w:r>
      <w:r w:rsidR="00B147D8">
        <w:t>dor/VPManager) implementing this</w:t>
      </w:r>
      <w:r w:rsidR="00A20C6A">
        <w:t xml:space="preserve"> functionality. </w:t>
      </w:r>
    </w:p>
    <w:p w:rsidR="00DE2306" w:rsidRDefault="001D1CE0" w:rsidP="00A35A25">
      <w:pPr>
        <w:pStyle w:val="GRIDheading1"/>
      </w:pPr>
      <w:r>
        <w:t xml:space="preserve">5. </w:t>
      </w:r>
      <w:r w:rsidR="00DE2306">
        <w:t>Acknowledgement</w:t>
      </w:r>
    </w:p>
    <w:p w:rsidR="00DE2306" w:rsidRDefault="00DE2306" w:rsidP="00A35A25">
      <w:pPr>
        <w:pStyle w:val="GRIDtext"/>
      </w:pPr>
      <w:r w:rsidRPr="00DE2306">
        <w:t>The work on smart scheduler part was supported by</w:t>
      </w:r>
      <w:r w:rsidR="00AA4DF8">
        <w:t xml:space="preserve"> the</w:t>
      </w:r>
      <w:r w:rsidRPr="00DE2306">
        <w:t xml:space="preserve"> Russian Foundation for Basic Research (RFBR)</w:t>
      </w:r>
      <w:r w:rsidR="00AA4DF8">
        <w:t>,</w:t>
      </w:r>
      <w:r w:rsidRPr="00DE2306">
        <w:t xml:space="preserve"> grant #15-29-07027 "Intelligent scheduling and adaptive self-organization software development for the cloud computing resources of LIT JINR"</w:t>
      </w:r>
      <w:r>
        <w:t>.</w:t>
      </w:r>
    </w:p>
    <w:p w:rsidR="00F1166B" w:rsidRDefault="001D1CE0" w:rsidP="00A35A25">
      <w:pPr>
        <w:pStyle w:val="GRIDheading1"/>
      </w:pPr>
      <w:r>
        <w:t xml:space="preserve">6. </w:t>
      </w:r>
      <w:r w:rsidR="006C42FE" w:rsidRPr="006C42FE">
        <w:t>Conclusion</w:t>
      </w:r>
    </w:p>
    <w:p w:rsidR="00005730" w:rsidRDefault="00073893" w:rsidP="00B73985">
      <w:pPr>
        <w:pStyle w:val="GRIDtext"/>
      </w:pPr>
      <w:r>
        <w:t>The JINR cloud is rapidly developing.</w:t>
      </w:r>
      <w:r w:rsidR="00AF33E2">
        <w:t xml:space="preserve"> A demand </w:t>
      </w:r>
      <w:r w:rsidR="006E21B4">
        <w:t>i</w:t>
      </w:r>
      <w:r w:rsidR="00AF33E2">
        <w:t xml:space="preserve">n its resources </w:t>
      </w:r>
      <w:r w:rsidR="006E21B4">
        <w:t xml:space="preserve">as well as a spectrum of tasks it is used for </w:t>
      </w:r>
      <w:r w:rsidR="00AF33E2">
        <w:t>is growi</w:t>
      </w:r>
      <w:r w:rsidR="00AF33E2" w:rsidRPr="00A35A25">
        <w:t>n</w:t>
      </w:r>
      <w:r w:rsidR="00AF33E2">
        <w:t>g permanently</w:t>
      </w:r>
      <w:r w:rsidR="006E21B4">
        <w:t>.</w:t>
      </w:r>
    </w:p>
    <w:p w:rsidR="00073893" w:rsidRDefault="006E21B4" w:rsidP="00B73985">
      <w:pPr>
        <w:pStyle w:val="GRIDtext"/>
      </w:pPr>
      <w:r>
        <w:lastRenderedPageBreak/>
        <w:t xml:space="preserve">The JINR cloud </w:t>
      </w:r>
      <w:r w:rsidR="00073893">
        <w:t xml:space="preserve">front-end node configuration was </w:t>
      </w:r>
      <w:r w:rsidR="00AA4DF8">
        <w:t>migrated to HA one to increase the</w:t>
      </w:r>
      <w:r w:rsidR="00073893">
        <w:t xml:space="preserve"> reliability and availability of the service for the end-users </w:t>
      </w:r>
      <w:r w:rsidR="00355AF3">
        <w:t>and</w:t>
      </w:r>
      <w:r w:rsidR="00073893">
        <w:t xml:space="preserve"> to overcome other</w:t>
      </w:r>
      <w:r w:rsidR="00312C73">
        <w:t xml:space="preserve"> limitations of previous setup.</w:t>
      </w:r>
    </w:p>
    <w:p w:rsidR="00312C73" w:rsidRDefault="00312C73" w:rsidP="00B73985">
      <w:pPr>
        <w:pStyle w:val="GRIDtext"/>
      </w:pPr>
      <w:r w:rsidRPr="00312C73">
        <w:t xml:space="preserve">The amount of resources available for the JINR cloud users had been </w:t>
      </w:r>
      <w:r w:rsidR="0086030D">
        <w:t>increased</w:t>
      </w:r>
      <w:r w:rsidRPr="00312C73">
        <w:t xml:space="preserve"> </w:t>
      </w:r>
      <w:r w:rsidR="0086030D">
        <w:t xml:space="preserve">in 2016 </w:t>
      </w:r>
      <w:r w:rsidR="003C249E">
        <w:t>sufficiently</w:t>
      </w:r>
      <w:r w:rsidR="003C249E" w:rsidRPr="00312C73">
        <w:t xml:space="preserve"> </w:t>
      </w:r>
      <w:r w:rsidRPr="00312C73">
        <w:t xml:space="preserve">due to maintaining additional servers as cloud </w:t>
      </w:r>
      <w:r w:rsidR="003C249E">
        <w:t xml:space="preserve">worker </w:t>
      </w:r>
      <w:r w:rsidRPr="00312C73">
        <w:t>nodes and an integration a part of computing resources of partner's organizations clouds.</w:t>
      </w:r>
    </w:p>
    <w:p w:rsidR="00802EC2" w:rsidRPr="006C42FE" w:rsidRDefault="00802EC2" w:rsidP="00B73985">
      <w:pPr>
        <w:pStyle w:val="GRIDtext"/>
      </w:pPr>
      <w:r>
        <w:t>Re-implementation of the statistics visualization module as an external component allows</w:t>
      </w:r>
      <w:r w:rsidR="00AA4DF8">
        <w:t xml:space="preserve"> one to reduce the</w:t>
      </w:r>
      <w:r>
        <w:t xml:space="preserve"> amount of time needed for custom components validation against new version of OpenNebula software.</w:t>
      </w:r>
    </w:p>
    <w:p w:rsidR="00E45DAC" w:rsidRDefault="00242098" w:rsidP="00A35A25">
      <w:pPr>
        <w:pStyle w:val="GRIDheading1"/>
      </w:pPr>
      <w:r>
        <w:t>References</w:t>
      </w:r>
    </w:p>
    <w:p w:rsidR="00242098" w:rsidRPr="00B73985" w:rsidRDefault="00AD75EF" w:rsidP="00B73985">
      <w:pPr>
        <w:pStyle w:val="GRIDReferences"/>
      </w:pPr>
      <w:r w:rsidRPr="00AD75EF">
        <w:t xml:space="preserve">[1] </w:t>
      </w:r>
      <w:r w:rsidR="00242098" w:rsidRPr="00AD75EF">
        <w:t>Baranov</w:t>
      </w:r>
      <w:r w:rsidR="001D1CE0">
        <w:t xml:space="preserve"> </w:t>
      </w:r>
      <w:r w:rsidR="001D1CE0" w:rsidRPr="00AD75EF">
        <w:t xml:space="preserve">A.V. </w:t>
      </w:r>
      <w:r w:rsidR="00AE5266" w:rsidRPr="00AD75EF">
        <w:t>et al.</w:t>
      </w:r>
      <w:r w:rsidR="00242098" w:rsidRPr="00AD75EF">
        <w:t xml:space="preserve"> JINR cloud infrastructure evolution // Physics of Particles and Nuclei Letters, ISSN 1547-4771, eISSN: 1531-8567, 2016, vol. 13, No. </w:t>
      </w:r>
      <w:r w:rsidR="00242098" w:rsidRPr="00B73985">
        <w:t>5, pp. 672–675. DOI: 10.1134/S1547477116050071.</w:t>
      </w:r>
    </w:p>
    <w:p w:rsidR="004A1DF5" w:rsidRPr="00AD75EF" w:rsidRDefault="00AD75EF" w:rsidP="00B73985">
      <w:pPr>
        <w:pStyle w:val="GRIDReferences"/>
      </w:pPr>
      <w:r w:rsidRPr="00B73985">
        <w:t xml:space="preserve">[2] </w:t>
      </w:r>
      <w:r w:rsidR="004A1DF5" w:rsidRPr="00B73985">
        <w:t>Baranov</w:t>
      </w:r>
      <w:r w:rsidR="001D1CE0">
        <w:t xml:space="preserve"> </w:t>
      </w:r>
      <w:r w:rsidR="001D1CE0" w:rsidRPr="00B73985">
        <w:t xml:space="preserve">A.V. </w:t>
      </w:r>
      <w:r w:rsidR="004A1DF5" w:rsidRPr="00B73985">
        <w:t>et al. Smart cloud scheduler for OpenNebula, to appear</w:t>
      </w:r>
      <w:r w:rsidR="004A1DF5" w:rsidRPr="00AD75EF">
        <w:t xml:space="preserve"> in proceedings </w:t>
      </w:r>
      <w:r w:rsidR="00CC3764" w:rsidRPr="00AD75EF">
        <w:t>of</w:t>
      </w:r>
      <w:r w:rsidR="004A1DF5" w:rsidRPr="00AD75EF">
        <w:t xml:space="preserve"> GRID’2016 conference, 04 – 09 July 2016, Dubna, Russia.</w:t>
      </w:r>
    </w:p>
    <w:p w:rsidR="00242098" w:rsidRPr="00E45DAC" w:rsidRDefault="00AD75EF" w:rsidP="00B73985">
      <w:pPr>
        <w:pStyle w:val="GRIDReferences"/>
      </w:pPr>
      <w:r w:rsidRPr="00AD75EF">
        <w:t xml:space="preserve">[3] </w:t>
      </w:r>
      <w:r w:rsidR="00AE5266" w:rsidRPr="00AD75EF">
        <w:t>Baranov</w:t>
      </w:r>
      <w:r w:rsidR="001D1CE0">
        <w:t xml:space="preserve"> </w:t>
      </w:r>
      <w:r w:rsidR="001D1CE0" w:rsidRPr="00AD75EF">
        <w:t xml:space="preserve">A.V. </w:t>
      </w:r>
      <w:r w:rsidR="00AE5266" w:rsidRPr="00AD75EF">
        <w:t>et al. Approaches to cloud infrastructures integration // Computer Resear</w:t>
      </w:r>
      <w:r w:rsidR="00AE1E5B" w:rsidRPr="00AD75EF">
        <w:t>ch and Modeling, 2016, vol. 8, N</w:t>
      </w:r>
      <w:r w:rsidR="00AE5266" w:rsidRPr="00AD75EF">
        <w:t>o. 3, pp. 583</w:t>
      </w:r>
      <w:r w:rsidR="00AE5266" w:rsidRPr="00AE5266">
        <w:t>–590 (</w:t>
      </w:r>
      <w:r w:rsidR="00526970">
        <w:t xml:space="preserve">in </w:t>
      </w:r>
      <w:r w:rsidR="00AE5266" w:rsidRPr="00AE5266">
        <w:t>Russian)</w:t>
      </w:r>
      <w:r w:rsidR="003D0F86">
        <w:t>.</w:t>
      </w:r>
    </w:p>
    <w:sectPr w:rsidR="00242098" w:rsidRPr="00E45DAC" w:rsidSect="00B73985">
      <w:headerReference w:type="default" r:id="rId11"/>
      <w:pgSz w:w="11907" w:h="16839" w:code="9"/>
      <w:pgMar w:top="1361" w:right="1474" w:bottom="1418" w:left="1474" w:header="113" w:footer="567"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D9" w:rsidRDefault="00EC5CD9">
      <w:r>
        <w:separator/>
      </w:r>
    </w:p>
  </w:endnote>
  <w:endnote w:type="continuationSeparator" w:id="0">
    <w:p w:rsidR="00EC5CD9" w:rsidRDefault="00EC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D9" w:rsidRDefault="00EC5CD9">
      <w:r>
        <w:separator/>
      </w:r>
    </w:p>
  </w:footnote>
  <w:footnote w:type="continuationSeparator" w:id="0">
    <w:p w:rsidR="00EC5CD9" w:rsidRDefault="00EC5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85" w:rsidRPr="0008286B" w:rsidRDefault="0008286B" w:rsidP="0008286B">
    <w:pPr>
      <w:spacing w:before="240"/>
      <w:jc w:val="center"/>
      <w:rPr>
        <w:lang w:val="en-US"/>
      </w:rPr>
    </w:pPr>
    <w:r w:rsidRPr="00D32CB6">
      <w:rPr>
        <w:i/>
        <w:color w:val="222A35"/>
        <w:sz w:val="20"/>
        <w:szCs w:val="20"/>
        <w:lang w:val="en-US"/>
      </w:rPr>
      <w:t>Proceedings of the VIII International Conference "Distributed Computing and Grid-technologies in Science and Education" (GRID 2018)</w:t>
    </w:r>
    <w:r>
      <w:rPr>
        <w:i/>
        <w:color w:val="222A35"/>
        <w:sz w:val="20"/>
        <w:szCs w:val="20"/>
        <w:lang w:val="en-US"/>
      </w:rPr>
      <w:t xml:space="preserve">, </w:t>
    </w:r>
    <w:r w:rsidRPr="00D32CB6">
      <w:rPr>
        <w:i/>
        <w:color w:val="222A35"/>
        <w:sz w:val="20"/>
        <w:szCs w:val="20"/>
        <w:lang w:val="en-US"/>
      </w:rPr>
      <w:t xml:space="preserve">Dubna, Moscow region, Russia, September 10 - 14, 2018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BA0D26"/>
    <w:lvl w:ilvl="0">
      <w:start w:val="1"/>
      <w:numFmt w:val="decimal"/>
      <w:lvlText w:val="%1."/>
      <w:lvlJc w:val="left"/>
      <w:pPr>
        <w:tabs>
          <w:tab w:val="num" w:pos="1492"/>
        </w:tabs>
        <w:ind w:left="1492" w:hanging="360"/>
      </w:pPr>
    </w:lvl>
  </w:abstractNum>
  <w:abstractNum w:abstractNumId="1">
    <w:nsid w:val="FFFFFF7D"/>
    <w:multiLevelType w:val="singleLevel"/>
    <w:tmpl w:val="CD6E9F68"/>
    <w:lvl w:ilvl="0">
      <w:start w:val="1"/>
      <w:numFmt w:val="decimal"/>
      <w:lvlText w:val="%1."/>
      <w:lvlJc w:val="left"/>
      <w:pPr>
        <w:tabs>
          <w:tab w:val="num" w:pos="1209"/>
        </w:tabs>
        <w:ind w:left="1209" w:hanging="360"/>
      </w:pPr>
    </w:lvl>
  </w:abstractNum>
  <w:abstractNum w:abstractNumId="2">
    <w:nsid w:val="FFFFFF7E"/>
    <w:multiLevelType w:val="singleLevel"/>
    <w:tmpl w:val="8582583E"/>
    <w:lvl w:ilvl="0">
      <w:start w:val="1"/>
      <w:numFmt w:val="decimal"/>
      <w:lvlText w:val="%1."/>
      <w:lvlJc w:val="left"/>
      <w:pPr>
        <w:tabs>
          <w:tab w:val="num" w:pos="926"/>
        </w:tabs>
        <w:ind w:left="926" w:hanging="360"/>
      </w:pPr>
    </w:lvl>
  </w:abstractNum>
  <w:abstractNum w:abstractNumId="3">
    <w:nsid w:val="FFFFFF7F"/>
    <w:multiLevelType w:val="singleLevel"/>
    <w:tmpl w:val="D1DEF25E"/>
    <w:lvl w:ilvl="0">
      <w:start w:val="1"/>
      <w:numFmt w:val="decimal"/>
      <w:lvlText w:val="%1."/>
      <w:lvlJc w:val="left"/>
      <w:pPr>
        <w:tabs>
          <w:tab w:val="num" w:pos="643"/>
        </w:tabs>
        <w:ind w:left="643" w:hanging="360"/>
      </w:pPr>
    </w:lvl>
  </w:abstractNum>
  <w:abstractNum w:abstractNumId="4">
    <w:nsid w:val="FFFFFF80"/>
    <w:multiLevelType w:val="singleLevel"/>
    <w:tmpl w:val="A1EA11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8AAB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8047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C0DA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6E5D4E"/>
    <w:lvl w:ilvl="0">
      <w:start w:val="1"/>
      <w:numFmt w:val="decimal"/>
      <w:lvlText w:val="%1."/>
      <w:lvlJc w:val="left"/>
      <w:pPr>
        <w:tabs>
          <w:tab w:val="num" w:pos="360"/>
        </w:tabs>
        <w:ind w:left="360" w:hanging="360"/>
      </w:pPr>
    </w:lvl>
  </w:abstractNum>
  <w:abstractNum w:abstractNumId="9">
    <w:nsid w:val="FFFFFF89"/>
    <w:multiLevelType w:val="singleLevel"/>
    <w:tmpl w:val="732CEAC8"/>
    <w:lvl w:ilvl="0">
      <w:start w:val="1"/>
      <w:numFmt w:val="bullet"/>
      <w:lvlText w:val=""/>
      <w:lvlJc w:val="left"/>
      <w:pPr>
        <w:tabs>
          <w:tab w:val="num" w:pos="360"/>
        </w:tabs>
        <w:ind w:left="360" w:hanging="360"/>
      </w:pPr>
      <w:rPr>
        <w:rFonts w:ascii="Symbol" w:hAnsi="Symbol" w:hint="default"/>
      </w:rPr>
    </w:lvl>
  </w:abstractNum>
  <w:abstractNum w:abstractNumId="10">
    <w:nsid w:val="0A9F3363"/>
    <w:multiLevelType w:val="hybridMultilevel"/>
    <w:tmpl w:val="2626D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EE1620"/>
    <w:multiLevelType w:val="hybridMultilevel"/>
    <w:tmpl w:val="6BF6285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91056D"/>
    <w:multiLevelType w:val="hybridMultilevel"/>
    <w:tmpl w:val="9C5E29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D75C9D"/>
    <w:multiLevelType w:val="hybridMultilevel"/>
    <w:tmpl w:val="FD5A3164"/>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54DF365E"/>
    <w:multiLevelType w:val="hybridMultilevel"/>
    <w:tmpl w:val="000E74D6"/>
    <w:lvl w:ilvl="0" w:tplc="979E0F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75F1BD3"/>
    <w:multiLevelType w:val="hybridMultilevel"/>
    <w:tmpl w:val="42A298D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3C63926"/>
    <w:multiLevelType w:val="hybridMultilevel"/>
    <w:tmpl w:val="3C7E0268"/>
    <w:lvl w:ilvl="0" w:tplc="BECE81C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10"/>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onsecutiveHyphenLimit w:val="4"/>
  <w:hyphenationZone w:val="357"/>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02"/>
    <w:rsid w:val="00005730"/>
    <w:rsid w:val="00011D4C"/>
    <w:rsid w:val="00023D6B"/>
    <w:rsid w:val="00033A8C"/>
    <w:rsid w:val="00036379"/>
    <w:rsid w:val="000612FB"/>
    <w:rsid w:val="000715A4"/>
    <w:rsid w:val="00073893"/>
    <w:rsid w:val="0007617A"/>
    <w:rsid w:val="000766AD"/>
    <w:rsid w:val="0008286B"/>
    <w:rsid w:val="00087117"/>
    <w:rsid w:val="000A1901"/>
    <w:rsid w:val="000B457A"/>
    <w:rsid w:val="000C7955"/>
    <w:rsid w:val="000D3A0B"/>
    <w:rsid w:val="000D5915"/>
    <w:rsid w:val="000D5C45"/>
    <w:rsid w:val="000E2107"/>
    <w:rsid w:val="000E2E97"/>
    <w:rsid w:val="00103D3B"/>
    <w:rsid w:val="00106484"/>
    <w:rsid w:val="001104B5"/>
    <w:rsid w:val="00113A80"/>
    <w:rsid w:val="00121DCB"/>
    <w:rsid w:val="00135688"/>
    <w:rsid w:val="00140F95"/>
    <w:rsid w:val="00144EC4"/>
    <w:rsid w:val="00153E5F"/>
    <w:rsid w:val="00160ACE"/>
    <w:rsid w:val="00165565"/>
    <w:rsid w:val="0017008E"/>
    <w:rsid w:val="00186265"/>
    <w:rsid w:val="001A45CC"/>
    <w:rsid w:val="001A6D18"/>
    <w:rsid w:val="001A7205"/>
    <w:rsid w:val="001B5E71"/>
    <w:rsid w:val="001B72B1"/>
    <w:rsid w:val="001C3872"/>
    <w:rsid w:val="001C3E8A"/>
    <w:rsid w:val="001D1CE0"/>
    <w:rsid w:val="001E1AAC"/>
    <w:rsid w:val="001E1D62"/>
    <w:rsid w:val="001E645F"/>
    <w:rsid w:val="00207015"/>
    <w:rsid w:val="00207928"/>
    <w:rsid w:val="0021452B"/>
    <w:rsid w:val="00224F8F"/>
    <w:rsid w:val="00233FF9"/>
    <w:rsid w:val="0024183C"/>
    <w:rsid w:val="00242098"/>
    <w:rsid w:val="00247F1A"/>
    <w:rsid w:val="00265152"/>
    <w:rsid w:val="00265888"/>
    <w:rsid w:val="00271D64"/>
    <w:rsid w:val="00272D2A"/>
    <w:rsid w:val="00273199"/>
    <w:rsid w:val="00282764"/>
    <w:rsid w:val="00284ADF"/>
    <w:rsid w:val="002A6FB6"/>
    <w:rsid w:val="002B72F0"/>
    <w:rsid w:val="002C15CA"/>
    <w:rsid w:val="002C6FEB"/>
    <w:rsid w:val="002D7DB4"/>
    <w:rsid w:val="002E5572"/>
    <w:rsid w:val="002E6336"/>
    <w:rsid w:val="002F0938"/>
    <w:rsid w:val="002F6CEE"/>
    <w:rsid w:val="00304857"/>
    <w:rsid w:val="00305201"/>
    <w:rsid w:val="00312C73"/>
    <w:rsid w:val="003266C3"/>
    <w:rsid w:val="00345B95"/>
    <w:rsid w:val="003466DD"/>
    <w:rsid w:val="00353085"/>
    <w:rsid w:val="00355579"/>
    <w:rsid w:val="00355AF3"/>
    <w:rsid w:val="003577CB"/>
    <w:rsid w:val="0036381B"/>
    <w:rsid w:val="00375D37"/>
    <w:rsid w:val="00382588"/>
    <w:rsid w:val="00386467"/>
    <w:rsid w:val="003B24D7"/>
    <w:rsid w:val="003B5307"/>
    <w:rsid w:val="003C249E"/>
    <w:rsid w:val="003C3272"/>
    <w:rsid w:val="003C3C06"/>
    <w:rsid w:val="003C4908"/>
    <w:rsid w:val="003D0F86"/>
    <w:rsid w:val="003D5C9F"/>
    <w:rsid w:val="003F48E4"/>
    <w:rsid w:val="003F5887"/>
    <w:rsid w:val="004061F5"/>
    <w:rsid w:val="00420A38"/>
    <w:rsid w:val="004253CD"/>
    <w:rsid w:val="00425929"/>
    <w:rsid w:val="0044192F"/>
    <w:rsid w:val="00446B3C"/>
    <w:rsid w:val="00471963"/>
    <w:rsid w:val="0047505E"/>
    <w:rsid w:val="004851F5"/>
    <w:rsid w:val="00485F3A"/>
    <w:rsid w:val="004968FF"/>
    <w:rsid w:val="004A1DF5"/>
    <w:rsid w:val="004A3358"/>
    <w:rsid w:val="004B7F47"/>
    <w:rsid w:val="004C37AC"/>
    <w:rsid w:val="004E4DA6"/>
    <w:rsid w:val="004F07CE"/>
    <w:rsid w:val="004F091D"/>
    <w:rsid w:val="004F4972"/>
    <w:rsid w:val="00500A65"/>
    <w:rsid w:val="00507004"/>
    <w:rsid w:val="00515299"/>
    <w:rsid w:val="005157E0"/>
    <w:rsid w:val="00526970"/>
    <w:rsid w:val="00526B02"/>
    <w:rsid w:val="0054276E"/>
    <w:rsid w:val="00551FCB"/>
    <w:rsid w:val="00584D9C"/>
    <w:rsid w:val="00585F7B"/>
    <w:rsid w:val="00597F55"/>
    <w:rsid w:val="005A0F71"/>
    <w:rsid w:val="005A229A"/>
    <w:rsid w:val="005B5750"/>
    <w:rsid w:val="005C0A3D"/>
    <w:rsid w:val="005F0BAE"/>
    <w:rsid w:val="006104CC"/>
    <w:rsid w:val="0063413D"/>
    <w:rsid w:val="00642BB5"/>
    <w:rsid w:val="006734FE"/>
    <w:rsid w:val="0068301F"/>
    <w:rsid w:val="00686593"/>
    <w:rsid w:val="00695ECE"/>
    <w:rsid w:val="006A0844"/>
    <w:rsid w:val="006A3B29"/>
    <w:rsid w:val="006A50AA"/>
    <w:rsid w:val="006C2059"/>
    <w:rsid w:val="006C42FE"/>
    <w:rsid w:val="006D06F6"/>
    <w:rsid w:val="006D7B20"/>
    <w:rsid w:val="006D7D4B"/>
    <w:rsid w:val="006E21B4"/>
    <w:rsid w:val="006E33B6"/>
    <w:rsid w:val="006E7850"/>
    <w:rsid w:val="006F27B1"/>
    <w:rsid w:val="00701875"/>
    <w:rsid w:val="007040B1"/>
    <w:rsid w:val="00713860"/>
    <w:rsid w:val="00722880"/>
    <w:rsid w:val="0073463E"/>
    <w:rsid w:val="00751D73"/>
    <w:rsid w:val="00754757"/>
    <w:rsid w:val="0076275A"/>
    <w:rsid w:val="00763389"/>
    <w:rsid w:val="00784C5F"/>
    <w:rsid w:val="00786F07"/>
    <w:rsid w:val="00793B02"/>
    <w:rsid w:val="00794E1A"/>
    <w:rsid w:val="007B28FE"/>
    <w:rsid w:val="007B76B8"/>
    <w:rsid w:val="007C0484"/>
    <w:rsid w:val="007C5666"/>
    <w:rsid w:val="007E6080"/>
    <w:rsid w:val="007F5642"/>
    <w:rsid w:val="00802EC2"/>
    <w:rsid w:val="00806B30"/>
    <w:rsid w:val="00820F55"/>
    <w:rsid w:val="008510EA"/>
    <w:rsid w:val="0086030D"/>
    <w:rsid w:val="008634C6"/>
    <w:rsid w:val="00866D21"/>
    <w:rsid w:val="008816ED"/>
    <w:rsid w:val="00881EB5"/>
    <w:rsid w:val="00884847"/>
    <w:rsid w:val="008A431E"/>
    <w:rsid w:val="008A5CFA"/>
    <w:rsid w:val="008B652E"/>
    <w:rsid w:val="008C351F"/>
    <w:rsid w:val="008C3F52"/>
    <w:rsid w:val="008C681C"/>
    <w:rsid w:val="008C7B42"/>
    <w:rsid w:val="008E7466"/>
    <w:rsid w:val="008E7FC2"/>
    <w:rsid w:val="008F1D74"/>
    <w:rsid w:val="008F2E59"/>
    <w:rsid w:val="00901600"/>
    <w:rsid w:val="009028C3"/>
    <w:rsid w:val="00903DA4"/>
    <w:rsid w:val="00905742"/>
    <w:rsid w:val="00921520"/>
    <w:rsid w:val="00943998"/>
    <w:rsid w:val="00984948"/>
    <w:rsid w:val="00991612"/>
    <w:rsid w:val="009B166E"/>
    <w:rsid w:val="009B673C"/>
    <w:rsid w:val="009C4CCE"/>
    <w:rsid w:val="009C58BF"/>
    <w:rsid w:val="009C5EDB"/>
    <w:rsid w:val="009D1FE3"/>
    <w:rsid w:val="009E3178"/>
    <w:rsid w:val="009F4A75"/>
    <w:rsid w:val="00A04FD6"/>
    <w:rsid w:val="00A128B1"/>
    <w:rsid w:val="00A20C6A"/>
    <w:rsid w:val="00A34376"/>
    <w:rsid w:val="00A35A25"/>
    <w:rsid w:val="00A75469"/>
    <w:rsid w:val="00A8005F"/>
    <w:rsid w:val="00A836DE"/>
    <w:rsid w:val="00A9028B"/>
    <w:rsid w:val="00A92B01"/>
    <w:rsid w:val="00AA4DF8"/>
    <w:rsid w:val="00AB5D73"/>
    <w:rsid w:val="00AC0F6D"/>
    <w:rsid w:val="00AC19E2"/>
    <w:rsid w:val="00AC6F53"/>
    <w:rsid w:val="00AC7F4D"/>
    <w:rsid w:val="00AD75EF"/>
    <w:rsid w:val="00AE1E5B"/>
    <w:rsid w:val="00AE20A8"/>
    <w:rsid w:val="00AE333E"/>
    <w:rsid w:val="00AE5266"/>
    <w:rsid w:val="00AE6C29"/>
    <w:rsid w:val="00AE6DA0"/>
    <w:rsid w:val="00AE70A9"/>
    <w:rsid w:val="00AF33E2"/>
    <w:rsid w:val="00B10736"/>
    <w:rsid w:val="00B147D8"/>
    <w:rsid w:val="00B25FDF"/>
    <w:rsid w:val="00B42293"/>
    <w:rsid w:val="00B52D90"/>
    <w:rsid w:val="00B547BB"/>
    <w:rsid w:val="00B5678C"/>
    <w:rsid w:val="00B6265D"/>
    <w:rsid w:val="00B71518"/>
    <w:rsid w:val="00B73985"/>
    <w:rsid w:val="00B76F66"/>
    <w:rsid w:val="00B87522"/>
    <w:rsid w:val="00BB05CF"/>
    <w:rsid w:val="00BB5415"/>
    <w:rsid w:val="00BC6C7B"/>
    <w:rsid w:val="00BC7F51"/>
    <w:rsid w:val="00BD2D03"/>
    <w:rsid w:val="00BE4FC2"/>
    <w:rsid w:val="00C0428B"/>
    <w:rsid w:val="00C22600"/>
    <w:rsid w:val="00C32DCA"/>
    <w:rsid w:val="00C36B03"/>
    <w:rsid w:val="00C40329"/>
    <w:rsid w:val="00C43F89"/>
    <w:rsid w:val="00C44765"/>
    <w:rsid w:val="00C46BD2"/>
    <w:rsid w:val="00C501D5"/>
    <w:rsid w:val="00C50B3E"/>
    <w:rsid w:val="00C57C8B"/>
    <w:rsid w:val="00C60EAC"/>
    <w:rsid w:val="00C63D61"/>
    <w:rsid w:val="00C63F8B"/>
    <w:rsid w:val="00C84354"/>
    <w:rsid w:val="00C94C31"/>
    <w:rsid w:val="00CA360C"/>
    <w:rsid w:val="00CA6EBC"/>
    <w:rsid w:val="00CB0FBE"/>
    <w:rsid w:val="00CB105F"/>
    <w:rsid w:val="00CB1C5B"/>
    <w:rsid w:val="00CC1E88"/>
    <w:rsid w:val="00CC3764"/>
    <w:rsid w:val="00CF0DD2"/>
    <w:rsid w:val="00CF6827"/>
    <w:rsid w:val="00D114C5"/>
    <w:rsid w:val="00D20AFD"/>
    <w:rsid w:val="00D2395B"/>
    <w:rsid w:val="00D71747"/>
    <w:rsid w:val="00D7269B"/>
    <w:rsid w:val="00D8349D"/>
    <w:rsid w:val="00D964A6"/>
    <w:rsid w:val="00DB4C2C"/>
    <w:rsid w:val="00DB4E15"/>
    <w:rsid w:val="00DC1121"/>
    <w:rsid w:val="00DC62B5"/>
    <w:rsid w:val="00DE2306"/>
    <w:rsid w:val="00DE2A3F"/>
    <w:rsid w:val="00DE4D19"/>
    <w:rsid w:val="00DE556B"/>
    <w:rsid w:val="00E01855"/>
    <w:rsid w:val="00E1435F"/>
    <w:rsid w:val="00E320EB"/>
    <w:rsid w:val="00E37B6A"/>
    <w:rsid w:val="00E43B3F"/>
    <w:rsid w:val="00E4469A"/>
    <w:rsid w:val="00E44AC5"/>
    <w:rsid w:val="00E44DFF"/>
    <w:rsid w:val="00E45DAC"/>
    <w:rsid w:val="00E609C2"/>
    <w:rsid w:val="00E700DE"/>
    <w:rsid w:val="00E70122"/>
    <w:rsid w:val="00E82271"/>
    <w:rsid w:val="00E96DDF"/>
    <w:rsid w:val="00EB30F5"/>
    <w:rsid w:val="00EB5F94"/>
    <w:rsid w:val="00EB7EC6"/>
    <w:rsid w:val="00EC5CD9"/>
    <w:rsid w:val="00EC5F32"/>
    <w:rsid w:val="00EE7EA0"/>
    <w:rsid w:val="00EF60E4"/>
    <w:rsid w:val="00EF7194"/>
    <w:rsid w:val="00F03B91"/>
    <w:rsid w:val="00F06856"/>
    <w:rsid w:val="00F1166B"/>
    <w:rsid w:val="00F14323"/>
    <w:rsid w:val="00F15104"/>
    <w:rsid w:val="00F16D5F"/>
    <w:rsid w:val="00F17291"/>
    <w:rsid w:val="00F258B6"/>
    <w:rsid w:val="00F3078F"/>
    <w:rsid w:val="00F31AF4"/>
    <w:rsid w:val="00F618B8"/>
    <w:rsid w:val="00F74845"/>
    <w:rsid w:val="00F947A7"/>
    <w:rsid w:val="00FA4863"/>
    <w:rsid w:val="00FB0035"/>
    <w:rsid w:val="00FB4B1C"/>
    <w:rsid w:val="00FC1308"/>
    <w:rsid w:val="00FC1626"/>
    <w:rsid w:val="00FC27B6"/>
    <w:rsid w:val="00FC4083"/>
    <w:rsid w:val="00FE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EA0"/>
    <w:rPr>
      <w:sz w:val="22"/>
      <w:szCs w:val="22"/>
    </w:rPr>
  </w:style>
  <w:style w:type="paragraph" w:styleId="1">
    <w:name w:val="heading 1"/>
    <w:aliases w:val="Section"/>
    <w:basedOn w:val="a"/>
    <w:next w:val="a"/>
    <w:link w:val="10"/>
    <w:uiPriority w:val="9"/>
    <w:qFormat/>
    <w:rsid w:val="00353085"/>
    <w:pPr>
      <w:keepNext/>
      <w:widowControl w:val="0"/>
      <w:autoSpaceDE w:val="0"/>
      <w:autoSpaceDN w:val="0"/>
      <w:adjustRightInd w:val="0"/>
      <w:spacing w:before="240" w:after="120"/>
      <w:outlineLvl w:val="0"/>
    </w:pPr>
    <w:rPr>
      <w:b/>
      <w:bCs/>
      <w:sz w:val="28"/>
      <w:szCs w:val="28"/>
    </w:rPr>
  </w:style>
  <w:style w:type="paragraph" w:styleId="2">
    <w:name w:val="heading 2"/>
    <w:aliases w:val="Subsection"/>
    <w:basedOn w:val="a"/>
    <w:next w:val="a"/>
    <w:semiHidden/>
    <w:qFormat/>
    <w:rsid w:val="00E43B3F"/>
    <w:pPr>
      <w:keepNext/>
      <w:autoSpaceDE w:val="0"/>
      <w:autoSpaceDN w:val="0"/>
      <w:adjustRightInd w:val="0"/>
      <w:spacing w:before="120" w:after="120"/>
      <w:outlineLvl w:val="1"/>
    </w:pPr>
    <w:rPr>
      <w:b/>
      <w:i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3F5887"/>
    <w:pPr>
      <w:jc w:val="both"/>
    </w:pPr>
    <w:rPr>
      <w:b/>
      <w:bCs/>
    </w:rPr>
  </w:style>
  <w:style w:type="character" w:styleId="a4">
    <w:name w:val="footnote reference"/>
    <w:uiPriority w:val="99"/>
    <w:semiHidden/>
    <w:unhideWhenUsed/>
    <w:rsid w:val="00793B02"/>
    <w:rPr>
      <w:vertAlign w:val="superscript"/>
    </w:rPr>
  </w:style>
  <w:style w:type="table" w:styleId="a5">
    <w:name w:val="Table Grid"/>
    <w:basedOn w:val="a1"/>
    <w:uiPriority w:val="59"/>
    <w:rsid w:val="002A6F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semiHidden/>
    <w:rsid w:val="0024183C"/>
    <w:pPr>
      <w:ind w:firstLine="567"/>
      <w:jc w:val="both"/>
    </w:pPr>
    <w:rPr>
      <w:i/>
      <w:sz w:val="24"/>
      <w:szCs w:val="20"/>
      <w:lang w:eastAsia="ar-SA"/>
    </w:rPr>
  </w:style>
  <w:style w:type="paragraph" w:customStyle="1" w:styleId="a6">
    <w:name w:val="форм_журн"/>
    <w:basedOn w:val="a"/>
    <w:semiHidden/>
    <w:qFormat/>
    <w:rsid w:val="00FC4083"/>
    <w:pPr>
      <w:tabs>
        <w:tab w:val="center" w:pos="4536"/>
        <w:tab w:val="right" w:pos="9072"/>
      </w:tabs>
      <w:spacing w:before="120" w:after="120"/>
      <w:jc w:val="center"/>
    </w:pPr>
  </w:style>
  <w:style w:type="character" w:styleId="a7">
    <w:name w:val="page number"/>
    <w:basedOn w:val="a0"/>
    <w:semiHidden/>
    <w:rsid w:val="00CB105F"/>
  </w:style>
  <w:style w:type="paragraph" w:styleId="a8">
    <w:name w:val="footer"/>
    <w:basedOn w:val="a"/>
    <w:link w:val="a9"/>
    <w:uiPriority w:val="99"/>
    <w:unhideWhenUsed/>
    <w:rsid w:val="00597F55"/>
    <w:pPr>
      <w:tabs>
        <w:tab w:val="center" w:pos="4677"/>
        <w:tab w:val="right" w:pos="9355"/>
      </w:tabs>
    </w:pPr>
  </w:style>
  <w:style w:type="character" w:customStyle="1" w:styleId="a9">
    <w:name w:val="Нижний колонтитул Знак"/>
    <w:link w:val="a8"/>
    <w:uiPriority w:val="99"/>
    <w:rsid w:val="00597F55"/>
    <w:rPr>
      <w:sz w:val="22"/>
      <w:szCs w:val="22"/>
    </w:rPr>
  </w:style>
  <w:style w:type="paragraph" w:customStyle="1" w:styleId="email">
    <w:name w:val="_email"/>
    <w:basedOn w:val="a"/>
    <w:rsid w:val="00144EC4"/>
    <w:pPr>
      <w:jc w:val="center"/>
    </w:pPr>
    <w:rPr>
      <w:sz w:val="20"/>
      <w:szCs w:val="20"/>
      <w:lang w:val="en-US"/>
    </w:rPr>
  </w:style>
  <w:style w:type="paragraph" w:customStyle="1" w:styleId="Organizationsaddress">
    <w:name w:val="Organization's address"/>
    <w:basedOn w:val="a3"/>
    <w:rsid w:val="00144EC4"/>
    <w:pPr>
      <w:spacing w:after="120"/>
      <w:jc w:val="center"/>
    </w:pPr>
    <w:rPr>
      <w:b w:val="0"/>
      <w:bCs w:val="0"/>
      <w:sz w:val="20"/>
      <w:szCs w:val="24"/>
    </w:rPr>
  </w:style>
  <w:style w:type="paragraph" w:customStyle="1" w:styleId="Abstract">
    <w:name w:val="Abstract"/>
    <w:basedOn w:val="a"/>
    <w:rsid w:val="00144EC4"/>
    <w:pPr>
      <w:ind w:firstLine="454"/>
      <w:jc w:val="both"/>
    </w:pPr>
    <w:rPr>
      <w:iCs/>
      <w:sz w:val="20"/>
      <w:szCs w:val="20"/>
    </w:rPr>
  </w:style>
  <w:style w:type="paragraph" w:customStyle="1" w:styleId="sectionKIM">
    <w:name w:val="section_KIM"/>
    <w:basedOn w:val="a"/>
    <w:semiHidden/>
    <w:rsid w:val="00144EC4"/>
    <w:pPr>
      <w:keepNext/>
      <w:tabs>
        <w:tab w:val="right" w:pos="9072"/>
      </w:tabs>
      <w:spacing w:before="360" w:after="240"/>
      <w:jc w:val="both"/>
    </w:pPr>
    <w:rPr>
      <w:b/>
      <w:snapToGrid w:val="0"/>
      <w:sz w:val="28"/>
      <w:szCs w:val="32"/>
    </w:rPr>
  </w:style>
  <w:style w:type="paragraph" w:customStyle="1" w:styleId="SectionTitle">
    <w:name w:val="Section Title"/>
    <w:basedOn w:val="sectionKIM"/>
    <w:rsid w:val="002F0938"/>
    <w:pPr>
      <w:jc w:val="left"/>
    </w:pPr>
  </w:style>
  <w:style w:type="paragraph" w:customStyle="1" w:styleId="subsectionKIM">
    <w:name w:val="subsection_KIM"/>
    <w:basedOn w:val="sectionKIM"/>
    <w:semiHidden/>
    <w:qFormat/>
    <w:rsid w:val="00144EC4"/>
    <w:pPr>
      <w:spacing w:before="240"/>
    </w:pPr>
    <w:rPr>
      <w:sz w:val="24"/>
      <w:lang w:val="en-US"/>
    </w:rPr>
  </w:style>
  <w:style w:type="paragraph" w:customStyle="1" w:styleId="SectionTitle2">
    <w:name w:val="Section Title 2"/>
    <w:basedOn w:val="subsectionKIM"/>
    <w:qFormat/>
    <w:rsid w:val="002F0938"/>
    <w:pPr>
      <w:jc w:val="left"/>
    </w:pPr>
    <w:rPr>
      <w:i/>
      <w:szCs w:val="24"/>
      <w:lang w:val="ru-RU"/>
    </w:rPr>
  </w:style>
  <w:style w:type="paragraph" w:customStyle="1" w:styleId="Keywords">
    <w:name w:val="Keywords"/>
    <w:basedOn w:val="a"/>
    <w:rsid w:val="00144EC4"/>
    <w:pPr>
      <w:ind w:firstLine="454"/>
      <w:jc w:val="both"/>
    </w:pPr>
    <w:rPr>
      <w:iCs/>
      <w:sz w:val="20"/>
      <w:szCs w:val="20"/>
    </w:rPr>
  </w:style>
  <w:style w:type="character" w:customStyle="1" w:styleId="ReferencesAuthors">
    <w:name w:val="References.Authors"/>
    <w:rsid w:val="008E7FC2"/>
    <w:rPr>
      <w:i/>
    </w:rPr>
  </w:style>
  <w:style w:type="paragraph" w:styleId="aa">
    <w:name w:val="footnote text"/>
    <w:basedOn w:val="a"/>
    <w:link w:val="ab"/>
    <w:uiPriority w:val="99"/>
    <w:semiHidden/>
    <w:unhideWhenUsed/>
    <w:rsid w:val="0076275A"/>
    <w:rPr>
      <w:sz w:val="20"/>
      <w:szCs w:val="20"/>
    </w:rPr>
  </w:style>
  <w:style w:type="paragraph" w:customStyle="1" w:styleId="TitleoftheArticle">
    <w:name w:val="Title of the Article"/>
    <w:basedOn w:val="a3"/>
    <w:rsid w:val="00144EC4"/>
    <w:pPr>
      <w:jc w:val="center"/>
    </w:pPr>
    <w:rPr>
      <w:sz w:val="36"/>
      <w:szCs w:val="36"/>
    </w:rPr>
  </w:style>
  <w:style w:type="paragraph" w:customStyle="1" w:styleId="TextofArticle">
    <w:name w:val="Text of Article"/>
    <w:basedOn w:val="a"/>
    <w:rsid w:val="00144EC4"/>
    <w:pPr>
      <w:ind w:firstLine="454"/>
      <w:jc w:val="both"/>
    </w:pPr>
  </w:style>
  <w:style w:type="paragraph" w:customStyle="1" w:styleId="PictureDescription">
    <w:name w:val="Picture Description"/>
    <w:basedOn w:val="TextofArticle"/>
    <w:rsid w:val="002F0938"/>
    <w:pPr>
      <w:spacing w:before="120" w:after="240"/>
      <w:ind w:firstLine="0"/>
      <w:jc w:val="center"/>
    </w:pPr>
    <w:rPr>
      <w:sz w:val="20"/>
      <w:szCs w:val="20"/>
    </w:rPr>
  </w:style>
  <w:style w:type="paragraph" w:customStyle="1" w:styleId="TablesName">
    <w:name w:val="Table's Name"/>
    <w:basedOn w:val="PictureDescription"/>
    <w:rsid w:val="002F0938"/>
    <w:pPr>
      <w:spacing w:before="240" w:after="120"/>
    </w:pPr>
  </w:style>
  <w:style w:type="paragraph" w:styleId="ac">
    <w:name w:val="header"/>
    <w:basedOn w:val="a"/>
    <w:link w:val="ad"/>
    <w:uiPriority w:val="99"/>
    <w:unhideWhenUsed/>
    <w:rsid w:val="004F4972"/>
    <w:pPr>
      <w:tabs>
        <w:tab w:val="center" w:pos="4677"/>
        <w:tab w:val="right" w:pos="9355"/>
      </w:tabs>
    </w:pPr>
  </w:style>
  <w:style w:type="paragraph" w:customStyle="1" w:styleId="FormulaDescription">
    <w:name w:val="Formula_Description"/>
    <w:basedOn w:val="TextofArticle"/>
    <w:rsid w:val="00144EC4"/>
    <w:pPr>
      <w:ind w:firstLine="0"/>
    </w:pPr>
  </w:style>
  <w:style w:type="paragraph" w:customStyle="1" w:styleId="ReferencesTitle">
    <w:name w:val="References Title"/>
    <w:basedOn w:val="sectionKIM"/>
    <w:rsid w:val="002F0938"/>
    <w:pPr>
      <w:jc w:val="left"/>
    </w:pPr>
  </w:style>
  <w:style w:type="paragraph" w:customStyle="1" w:styleId="TextoftheTable">
    <w:name w:val="Text of the Table"/>
    <w:basedOn w:val="TextofArticle"/>
    <w:rsid w:val="00144EC4"/>
    <w:pPr>
      <w:ind w:firstLine="0"/>
    </w:pPr>
  </w:style>
  <w:style w:type="paragraph" w:customStyle="1" w:styleId="UDC">
    <w:name w:val="UDC"/>
    <w:basedOn w:val="a3"/>
    <w:rsid w:val="00144EC4"/>
    <w:rPr>
      <w:b w:val="0"/>
    </w:rPr>
  </w:style>
  <w:style w:type="paragraph" w:customStyle="1" w:styleId="ae">
    <w:name w:val="формула_КИМ"/>
    <w:basedOn w:val="a"/>
    <w:semiHidden/>
    <w:rsid w:val="00144EC4"/>
    <w:pPr>
      <w:tabs>
        <w:tab w:val="left" w:pos="0"/>
        <w:tab w:val="center" w:pos="4536"/>
        <w:tab w:val="right" w:pos="9072"/>
      </w:tabs>
      <w:spacing w:before="120" w:after="120"/>
      <w:jc w:val="center"/>
    </w:pPr>
    <w:rPr>
      <w:snapToGrid w:val="0"/>
    </w:rPr>
  </w:style>
  <w:style w:type="paragraph" w:customStyle="1" w:styleId="Formula">
    <w:name w:val="Formula"/>
    <w:basedOn w:val="ae"/>
    <w:rsid w:val="002F0938"/>
    <w:pPr>
      <w:contextualSpacing/>
    </w:pPr>
  </w:style>
  <w:style w:type="paragraph" w:customStyle="1" w:styleId="Picture">
    <w:name w:val="Picture"/>
    <w:qFormat/>
    <w:rsid w:val="002F0938"/>
    <w:pPr>
      <w:keepNext/>
      <w:spacing w:before="180" w:after="120"/>
      <w:jc w:val="center"/>
    </w:pPr>
  </w:style>
  <w:style w:type="paragraph" w:customStyle="1" w:styleId="Author">
    <w:name w:val="Author"/>
    <w:link w:val="Author0"/>
    <w:rsid w:val="004F4972"/>
    <w:pPr>
      <w:jc w:val="center"/>
    </w:pPr>
    <w:rPr>
      <w:b/>
      <w:bCs/>
      <w:sz w:val="28"/>
      <w:szCs w:val="28"/>
    </w:rPr>
  </w:style>
  <w:style w:type="character" w:customStyle="1" w:styleId="ad">
    <w:name w:val="Верхний колонтитул Знак"/>
    <w:link w:val="ac"/>
    <w:uiPriority w:val="99"/>
    <w:rsid w:val="004F4972"/>
    <w:rPr>
      <w:sz w:val="22"/>
      <w:szCs w:val="22"/>
    </w:rPr>
  </w:style>
  <w:style w:type="character" w:customStyle="1" w:styleId="Author0">
    <w:name w:val="Author Знак"/>
    <w:link w:val="Author"/>
    <w:rsid w:val="004F4972"/>
    <w:rPr>
      <w:b/>
      <w:bCs/>
      <w:sz w:val="28"/>
      <w:szCs w:val="28"/>
      <w:lang w:val="ru-RU" w:eastAsia="ru-RU" w:bidi="ar-SA"/>
    </w:rPr>
  </w:style>
  <w:style w:type="character" w:customStyle="1" w:styleId="ab">
    <w:name w:val="Текст сноски Знак"/>
    <w:link w:val="aa"/>
    <w:uiPriority w:val="99"/>
    <w:semiHidden/>
    <w:rsid w:val="0076275A"/>
    <w:rPr>
      <w:lang w:val="ru-RU" w:eastAsia="ru-RU"/>
    </w:rPr>
  </w:style>
  <w:style w:type="paragraph" w:customStyle="1" w:styleId="References">
    <w:name w:val="References"/>
    <w:basedOn w:val="a"/>
    <w:autoRedefine/>
    <w:rsid w:val="00F1166B"/>
    <w:pPr>
      <w:shd w:val="clear" w:color="auto" w:fill="FFFFFF"/>
      <w:autoSpaceDE w:val="0"/>
      <w:autoSpaceDN w:val="0"/>
      <w:adjustRightInd w:val="0"/>
      <w:ind w:left="567" w:hanging="567"/>
      <w:jc w:val="both"/>
    </w:pPr>
    <w:rPr>
      <w:lang w:val="en-US"/>
    </w:rPr>
  </w:style>
  <w:style w:type="character" w:customStyle="1" w:styleId="10">
    <w:name w:val="Заголовок 1 Знак"/>
    <w:aliases w:val="Section Знак"/>
    <w:link w:val="1"/>
    <w:uiPriority w:val="9"/>
    <w:rsid w:val="006A0844"/>
    <w:rPr>
      <w:b/>
      <w:bCs/>
      <w:sz w:val="28"/>
      <w:szCs w:val="28"/>
      <w:lang w:eastAsia="ru-RU"/>
    </w:rPr>
  </w:style>
  <w:style w:type="paragraph" w:styleId="af">
    <w:name w:val="Bibliography"/>
    <w:basedOn w:val="a"/>
    <w:next w:val="a"/>
    <w:uiPriority w:val="37"/>
    <w:unhideWhenUsed/>
    <w:rsid w:val="006A0844"/>
  </w:style>
  <w:style w:type="paragraph" w:styleId="af0">
    <w:name w:val="caption"/>
    <w:basedOn w:val="a"/>
    <w:next w:val="a"/>
    <w:uiPriority w:val="35"/>
    <w:unhideWhenUsed/>
    <w:qFormat/>
    <w:rsid w:val="00EF60E4"/>
    <w:rPr>
      <w:b/>
      <w:bCs/>
      <w:sz w:val="20"/>
      <w:szCs w:val="20"/>
    </w:rPr>
  </w:style>
  <w:style w:type="character" w:styleId="af1">
    <w:name w:val="Hyperlink"/>
    <w:uiPriority w:val="99"/>
    <w:unhideWhenUsed/>
    <w:rsid w:val="00242098"/>
    <w:rPr>
      <w:color w:val="0563C1"/>
      <w:u w:val="single"/>
    </w:rPr>
  </w:style>
  <w:style w:type="paragraph" w:styleId="af2">
    <w:name w:val="Balloon Text"/>
    <w:basedOn w:val="a"/>
    <w:link w:val="af3"/>
    <w:uiPriority w:val="99"/>
    <w:semiHidden/>
    <w:unhideWhenUsed/>
    <w:rsid w:val="00CF6827"/>
    <w:rPr>
      <w:rFonts w:ascii="Tahoma" w:hAnsi="Tahoma" w:cs="Tahoma"/>
      <w:sz w:val="16"/>
      <w:szCs w:val="16"/>
    </w:rPr>
  </w:style>
  <w:style w:type="character" w:customStyle="1" w:styleId="af3">
    <w:name w:val="Текст выноски Знак"/>
    <w:basedOn w:val="a0"/>
    <w:link w:val="af2"/>
    <w:uiPriority w:val="99"/>
    <w:semiHidden/>
    <w:rsid w:val="00CF6827"/>
    <w:rPr>
      <w:rFonts w:ascii="Tahoma" w:hAnsi="Tahoma" w:cs="Tahoma"/>
      <w:sz w:val="16"/>
      <w:szCs w:val="16"/>
    </w:rPr>
  </w:style>
  <w:style w:type="paragraph" w:customStyle="1" w:styleId="GRIDTitle">
    <w:name w:val="GRID_Title"/>
    <w:basedOn w:val="af4"/>
    <w:next w:val="a"/>
    <w:qFormat/>
    <w:rsid w:val="00CF6827"/>
    <w:pPr>
      <w:pBdr>
        <w:bottom w:val="none" w:sz="0" w:space="0" w:color="auto"/>
      </w:pBdr>
      <w:spacing w:after="240"/>
      <w:contextualSpacing w:val="0"/>
      <w:jc w:val="center"/>
    </w:pPr>
    <w:rPr>
      <w:rFonts w:ascii="Times New Roman" w:eastAsia="Times New Roman" w:hAnsi="Times New Roman" w:cs="Times New Roman"/>
      <w:b/>
      <w:bCs/>
      <w:caps/>
      <w:color w:val="0F243E"/>
      <w:spacing w:val="0"/>
      <w:kern w:val="0"/>
      <w:sz w:val="32"/>
      <w:szCs w:val="28"/>
      <w:lang w:val="en-US" w:eastAsia="en-US"/>
    </w:rPr>
  </w:style>
  <w:style w:type="paragraph" w:styleId="af4">
    <w:name w:val="Title"/>
    <w:basedOn w:val="a"/>
    <w:next w:val="a"/>
    <w:link w:val="af5"/>
    <w:uiPriority w:val="10"/>
    <w:qFormat/>
    <w:rsid w:val="00CF682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5">
    <w:name w:val="Название Знак"/>
    <w:basedOn w:val="a0"/>
    <w:link w:val="af4"/>
    <w:uiPriority w:val="10"/>
    <w:rsid w:val="00CF6827"/>
    <w:rPr>
      <w:rFonts w:asciiTheme="majorHAnsi" w:eastAsiaTheme="majorEastAsia" w:hAnsiTheme="majorHAnsi" w:cstheme="majorBidi"/>
      <w:color w:val="323E4F" w:themeColor="text2" w:themeShade="BF"/>
      <w:spacing w:val="5"/>
      <w:kern w:val="28"/>
      <w:sz w:val="52"/>
      <w:szCs w:val="52"/>
    </w:rPr>
  </w:style>
  <w:style w:type="paragraph" w:customStyle="1" w:styleId="GRIDauthor">
    <w:name w:val="GRID_author"/>
    <w:basedOn w:val="a"/>
    <w:next w:val="af6"/>
    <w:qFormat/>
    <w:rsid w:val="00AD75EF"/>
    <w:pPr>
      <w:spacing w:after="240"/>
      <w:jc w:val="center"/>
    </w:pPr>
    <w:rPr>
      <w:b/>
      <w:sz w:val="28"/>
      <w:lang w:val="en-US"/>
    </w:rPr>
  </w:style>
  <w:style w:type="paragraph" w:styleId="af6">
    <w:name w:val="List Paragraph"/>
    <w:basedOn w:val="a"/>
    <w:uiPriority w:val="34"/>
    <w:qFormat/>
    <w:rsid w:val="00CF6827"/>
    <w:pPr>
      <w:ind w:left="720"/>
      <w:contextualSpacing/>
    </w:pPr>
  </w:style>
  <w:style w:type="paragraph" w:customStyle="1" w:styleId="GRIDaffiliation">
    <w:name w:val="GRID_affiliation"/>
    <w:basedOn w:val="a"/>
    <w:qFormat/>
    <w:rsid w:val="00AD75EF"/>
    <w:pPr>
      <w:spacing w:after="120"/>
      <w:jc w:val="center"/>
    </w:pPr>
    <w:rPr>
      <w:i/>
      <w:lang w:val="en-US"/>
    </w:rPr>
  </w:style>
  <w:style w:type="paragraph" w:customStyle="1" w:styleId="GRIDemail">
    <w:name w:val="GRID_email"/>
    <w:next w:val="a"/>
    <w:qFormat/>
    <w:rsid w:val="00AD75EF"/>
    <w:pPr>
      <w:spacing w:before="240" w:after="120"/>
      <w:jc w:val="center"/>
    </w:pPr>
    <w:rPr>
      <w:sz w:val="22"/>
      <w:szCs w:val="22"/>
      <w:lang w:val="en-US"/>
    </w:rPr>
  </w:style>
  <w:style w:type="paragraph" w:customStyle="1" w:styleId="GRIDAbstract">
    <w:name w:val="GRID_Abstract"/>
    <w:basedOn w:val="Abstract"/>
    <w:qFormat/>
    <w:rsid w:val="00EE7EA0"/>
    <w:pPr>
      <w:spacing w:before="600"/>
      <w:ind w:firstLine="0"/>
    </w:pPr>
    <w:rPr>
      <w:sz w:val="22"/>
      <w:lang w:val="en-US"/>
    </w:rPr>
  </w:style>
  <w:style w:type="paragraph" w:customStyle="1" w:styleId="GRIDReferences">
    <w:name w:val="GRID_References"/>
    <w:basedOn w:val="a"/>
    <w:qFormat/>
    <w:rsid w:val="00B73985"/>
    <w:pPr>
      <w:spacing w:after="120"/>
      <w:jc w:val="both"/>
    </w:pPr>
    <w:rPr>
      <w:szCs w:val="24"/>
      <w:lang w:val="en-US"/>
    </w:rPr>
  </w:style>
  <w:style w:type="paragraph" w:customStyle="1" w:styleId="GRIDtext">
    <w:name w:val="GRID_text"/>
    <w:basedOn w:val="a"/>
    <w:qFormat/>
    <w:rsid w:val="00B73985"/>
    <w:pPr>
      <w:ind w:firstLine="709"/>
      <w:jc w:val="both"/>
    </w:pPr>
    <w:rPr>
      <w:szCs w:val="24"/>
      <w:lang w:val="en-US"/>
    </w:rPr>
  </w:style>
  <w:style w:type="paragraph" w:customStyle="1" w:styleId="GRIDheading1">
    <w:name w:val="GRID_heading 1"/>
    <w:basedOn w:val="SectionTitle"/>
    <w:qFormat/>
    <w:rsid w:val="00A35A25"/>
    <w:rPr>
      <w:lang w:val="en-US"/>
    </w:rPr>
  </w:style>
  <w:style w:type="paragraph" w:customStyle="1" w:styleId="GRIDheading2">
    <w:name w:val="GRID_heading 2"/>
    <w:basedOn w:val="a"/>
    <w:qFormat/>
    <w:rsid w:val="00A35A25"/>
    <w:pPr>
      <w:keepNext/>
      <w:widowControl w:val="0"/>
      <w:autoSpaceDN w:val="0"/>
      <w:adjustRightInd w:val="0"/>
      <w:spacing w:before="120" w:after="120"/>
      <w:outlineLvl w:val="0"/>
    </w:pPr>
    <w:rPr>
      <w:b/>
      <w:bCs/>
      <w:snapToGrid w:val="0"/>
      <w:szCs w:val="20"/>
      <w:lang w:val="en-GB"/>
    </w:rPr>
  </w:style>
  <w:style w:type="paragraph" w:customStyle="1" w:styleId="GRIDcopyright">
    <w:name w:val="GRID_copyright"/>
    <w:qFormat/>
    <w:rsid w:val="00F258B6"/>
    <w:pPr>
      <w:jc w:val="right"/>
    </w:pPr>
    <w:rPr>
      <w:iCs/>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EA0"/>
    <w:rPr>
      <w:sz w:val="22"/>
      <w:szCs w:val="22"/>
    </w:rPr>
  </w:style>
  <w:style w:type="paragraph" w:styleId="1">
    <w:name w:val="heading 1"/>
    <w:aliases w:val="Section"/>
    <w:basedOn w:val="a"/>
    <w:next w:val="a"/>
    <w:link w:val="10"/>
    <w:uiPriority w:val="9"/>
    <w:qFormat/>
    <w:rsid w:val="00353085"/>
    <w:pPr>
      <w:keepNext/>
      <w:widowControl w:val="0"/>
      <w:autoSpaceDE w:val="0"/>
      <w:autoSpaceDN w:val="0"/>
      <w:adjustRightInd w:val="0"/>
      <w:spacing w:before="240" w:after="120"/>
      <w:outlineLvl w:val="0"/>
    </w:pPr>
    <w:rPr>
      <w:b/>
      <w:bCs/>
      <w:sz w:val="28"/>
      <w:szCs w:val="28"/>
    </w:rPr>
  </w:style>
  <w:style w:type="paragraph" w:styleId="2">
    <w:name w:val="heading 2"/>
    <w:aliases w:val="Subsection"/>
    <w:basedOn w:val="a"/>
    <w:next w:val="a"/>
    <w:semiHidden/>
    <w:qFormat/>
    <w:rsid w:val="00E43B3F"/>
    <w:pPr>
      <w:keepNext/>
      <w:autoSpaceDE w:val="0"/>
      <w:autoSpaceDN w:val="0"/>
      <w:adjustRightInd w:val="0"/>
      <w:spacing w:before="120" w:after="120"/>
      <w:outlineLvl w:val="1"/>
    </w:pPr>
    <w:rPr>
      <w:b/>
      <w:i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3F5887"/>
    <w:pPr>
      <w:jc w:val="both"/>
    </w:pPr>
    <w:rPr>
      <w:b/>
      <w:bCs/>
    </w:rPr>
  </w:style>
  <w:style w:type="character" w:styleId="a4">
    <w:name w:val="footnote reference"/>
    <w:uiPriority w:val="99"/>
    <w:semiHidden/>
    <w:unhideWhenUsed/>
    <w:rsid w:val="00793B02"/>
    <w:rPr>
      <w:vertAlign w:val="superscript"/>
    </w:rPr>
  </w:style>
  <w:style w:type="table" w:styleId="a5">
    <w:name w:val="Table Grid"/>
    <w:basedOn w:val="a1"/>
    <w:uiPriority w:val="59"/>
    <w:rsid w:val="002A6F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semiHidden/>
    <w:rsid w:val="0024183C"/>
    <w:pPr>
      <w:ind w:firstLine="567"/>
      <w:jc w:val="both"/>
    </w:pPr>
    <w:rPr>
      <w:i/>
      <w:sz w:val="24"/>
      <w:szCs w:val="20"/>
      <w:lang w:eastAsia="ar-SA"/>
    </w:rPr>
  </w:style>
  <w:style w:type="paragraph" w:customStyle="1" w:styleId="a6">
    <w:name w:val="форм_журн"/>
    <w:basedOn w:val="a"/>
    <w:semiHidden/>
    <w:qFormat/>
    <w:rsid w:val="00FC4083"/>
    <w:pPr>
      <w:tabs>
        <w:tab w:val="center" w:pos="4536"/>
        <w:tab w:val="right" w:pos="9072"/>
      </w:tabs>
      <w:spacing w:before="120" w:after="120"/>
      <w:jc w:val="center"/>
    </w:pPr>
  </w:style>
  <w:style w:type="character" w:styleId="a7">
    <w:name w:val="page number"/>
    <w:basedOn w:val="a0"/>
    <w:semiHidden/>
    <w:rsid w:val="00CB105F"/>
  </w:style>
  <w:style w:type="paragraph" w:styleId="a8">
    <w:name w:val="footer"/>
    <w:basedOn w:val="a"/>
    <w:link w:val="a9"/>
    <w:uiPriority w:val="99"/>
    <w:unhideWhenUsed/>
    <w:rsid w:val="00597F55"/>
    <w:pPr>
      <w:tabs>
        <w:tab w:val="center" w:pos="4677"/>
        <w:tab w:val="right" w:pos="9355"/>
      </w:tabs>
    </w:pPr>
  </w:style>
  <w:style w:type="character" w:customStyle="1" w:styleId="a9">
    <w:name w:val="Нижний колонтитул Знак"/>
    <w:link w:val="a8"/>
    <w:uiPriority w:val="99"/>
    <w:rsid w:val="00597F55"/>
    <w:rPr>
      <w:sz w:val="22"/>
      <w:szCs w:val="22"/>
    </w:rPr>
  </w:style>
  <w:style w:type="paragraph" w:customStyle="1" w:styleId="email">
    <w:name w:val="_email"/>
    <w:basedOn w:val="a"/>
    <w:rsid w:val="00144EC4"/>
    <w:pPr>
      <w:jc w:val="center"/>
    </w:pPr>
    <w:rPr>
      <w:sz w:val="20"/>
      <w:szCs w:val="20"/>
      <w:lang w:val="en-US"/>
    </w:rPr>
  </w:style>
  <w:style w:type="paragraph" w:customStyle="1" w:styleId="Organizationsaddress">
    <w:name w:val="Organization's address"/>
    <w:basedOn w:val="a3"/>
    <w:rsid w:val="00144EC4"/>
    <w:pPr>
      <w:spacing w:after="120"/>
      <w:jc w:val="center"/>
    </w:pPr>
    <w:rPr>
      <w:b w:val="0"/>
      <w:bCs w:val="0"/>
      <w:sz w:val="20"/>
      <w:szCs w:val="24"/>
    </w:rPr>
  </w:style>
  <w:style w:type="paragraph" w:customStyle="1" w:styleId="Abstract">
    <w:name w:val="Abstract"/>
    <w:basedOn w:val="a"/>
    <w:rsid w:val="00144EC4"/>
    <w:pPr>
      <w:ind w:firstLine="454"/>
      <w:jc w:val="both"/>
    </w:pPr>
    <w:rPr>
      <w:iCs/>
      <w:sz w:val="20"/>
      <w:szCs w:val="20"/>
    </w:rPr>
  </w:style>
  <w:style w:type="paragraph" w:customStyle="1" w:styleId="sectionKIM">
    <w:name w:val="section_KIM"/>
    <w:basedOn w:val="a"/>
    <w:semiHidden/>
    <w:rsid w:val="00144EC4"/>
    <w:pPr>
      <w:keepNext/>
      <w:tabs>
        <w:tab w:val="right" w:pos="9072"/>
      </w:tabs>
      <w:spacing w:before="360" w:after="240"/>
      <w:jc w:val="both"/>
    </w:pPr>
    <w:rPr>
      <w:b/>
      <w:snapToGrid w:val="0"/>
      <w:sz w:val="28"/>
      <w:szCs w:val="32"/>
    </w:rPr>
  </w:style>
  <w:style w:type="paragraph" w:customStyle="1" w:styleId="SectionTitle">
    <w:name w:val="Section Title"/>
    <w:basedOn w:val="sectionKIM"/>
    <w:rsid w:val="002F0938"/>
    <w:pPr>
      <w:jc w:val="left"/>
    </w:pPr>
  </w:style>
  <w:style w:type="paragraph" w:customStyle="1" w:styleId="subsectionKIM">
    <w:name w:val="subsection_KIM"/>
    <w:basedOn w:val="sectionKIM"/>
    <w:semiHidden/>
    <w:qFormat/>
    <w:rsid w:val="00144EC4"/>
    <w:pPr>
      <w:spacing w:before="240"/>
    </w:pPr>
    <w:rPr>
      <w:sz w:val="24"/>
      <w:lang w:val="en-US"/>
    </w:rPr>
  </w:style>
  <w:style w:type="paragraph" w:customStyle="1" w:styleId="SectionTitle2">
    <w:name w:val="Section Title 2"/>
    <w:basedOn w:val="subsectionKIM"/>
    <w:qFormat/>
    <w:rsid w:val="002F0938"/>
    <w:pPr>
      <w:jc w:val="left"/>
    </w:pPr>
    <w:rPr>
      <w:i/>
      <w:szCs w:val="24"/>
      <w:lang w:val="ru-RU"/>
    </w:rPr>
  </w:style>
  <w:style w:type="paragraph" w:customStyle="1" w:styleId="Keywords">
    <w:name w:val="Keywords"/>
    <w:basedOn w:val="a"/>
    <w:rsid w:val="00144EC4"/>
    <w:pPr>
      <w:ind w:firstLine="454"/>
      <w:jc w:val="both"/>
    </w:pPr>
    <w:rPr>
      <w:iCs/>
      <w:sz w:val="20"/>
      <w:szCs w:val="20"/>
    </w:rPr>
  </w:style>
  <w:style w:type="character" w:customStyle="1" w:styleId="ReferencesAuthors">
    <w:name w:val="References.Authors"/>
    <w:rsid w:val="008E7FC2"/>
    <w:rPr>
      <w:i/>
    </w:rPr>
  </w:style>
  <w:style w:type="paragraph" w:styleId="aa">
    <w:name w:val="footnote text"/>
    <w:basedOn w:val="a"/>
    <w:link w:val="ab"/>
    <w:uiPriority w:val="99"/>
    <w:semiHidden/>
    <w:unhideWhenUsed/>
    <w:rsid w:val="0076275A"/>
    <w:rPr>
      <w:sz w:val="20"/>
      <w:szCs w:val="20"/>
    </w:rPr>
  </w:style>
  <w:style w:type="paragraph" w:customStyle="1" w:styleId="TitleoftheArticle">
    <w:name w:val="Title of the Article"/>
    <w:basedOn w:val="a3"/>
    <w:rsid w:val="00144EC4"/>
    <w:pPr>
      <w:jc w:val="center"/>
    </w:pPr>
    <w:rPr>
      <w:sz w:val="36"/>
      <w:szCs w:val="36"/>
    </w:rPr>
  </w:style>
  <w:style w:type="paragraph" w:customStyle="1" w:styleId="TextofArticle">
    <w:name w:val="Text of Article"/>
    <w:basedOn w:val="a"/>
    <w:rsid w:val="00144EC4"/>
    <w:pPr>
      <w:ind w:firstLine="454"/>
      <w:jc w:val="both"/>
    </w:pPr>
  </w:style>
  <w:style w:type="paragraph" w:customStyle="1" w:styleId="PictureDescription">
    <w:name w:val="Picture Description"/>
    <w:basedOn w:val="TextofArticle"/>
    <w:rsid w:val="002F0938"/>
    <w:pPr>
      <w:spacing w:before="120" w:after="240"/>
      <w:ind w:firstLine="0"/>
      <w:jc w:val="center"/>
    </w:pPr>
    <w:rPr>
      <w:sz w:val="20"/>
      <w:szCs w:val="20"/>
    </w:rPr>
  </w:style>
  <w:style w:type="paragraph" w:customStyle="1" w:styleId="TablesName">
    <w:name w:val="Table's Name"/>
    <w:basedOn w:val="PictureDescription"/>
    <w:rsid w:val="002F0938"/>
    <w:pPr>
      <w:spacing w:before="240" w:after="120"/>
    </w:pPr>
  </w:style>
  <w:style w:type="paragraph" w:styleId="ac">
    <w:name w:val="header"/>
    <w:basedOn w:val="a"/>
    <w:link w:val="ad"/>
    <w:uiPriority w:val="99"/>
    <w:unhideWhenUsed/>
    <w:rsid w:val="004F4972"/>
    <w:pPr>
      <w:tabs>
        <w:tab w:val="center" w:pos="4677"/>
        <w:tab w:val="right" w:pos="9355"/>
      </w:tabs>
    </w:pPr>
  </w:style>
  <w:style w:type="paragraph" w:customStyle="1" w:styleId="FormulaDescription">
    <w:name w:val="Formula_Description"/>
    <w:basedOn w:val="TextofArticle"/>
    <w:rsid w:val="00144EC4"/>
    <w:pPr>
      <w:ind w:firstLine="0"/>
    </w:pPr>
  </w:style>
  <w:style w:type="paragraph" w:customStyle="1" w:styleId="ReferencesTitle">
    <w:name w:val="References Title"/>
    <w:basedOn w:val="sectionKIM"/>
    <w:rsid w:val="002F0938"/>
    <w:pPr>
      <w:jc w:val="left"/>
    </w:pPr>
  </w:style>
  <w:style w:type="paragraph" w:customStyle="1" w:styleId="TextoftheTable">
    <w:name w:val="Text of the Table"/>
    <w:basedOn w:val="TextofArticle"/>
    <w:rsid w:val="00144EC4"/>
    <w:pPr>
      <w:ind w:firstLine="0"/>
    </w:pPr>
  </w:style>
  <w:style w:type="paragraph" w:customStyle="1" w:styleId="UDC">
    <w:name w:val="UDC"/>
    <w:basedOn w:val="a3"/>
    <w:rsid w:val="00144EC4"/>
    <w:rPr>
      <w:b w:val="0"/>
    </w:rPr>
  </w:style>
  <w:style w:type="paragraph" w:customStyle="1" w:styleId="ae">
    <w:name w:val="формула_КИМ"/>
    <w:basedOn w:val="a"/>
    <w:semiHidden/>
    <w:rsid w:val="00144EC4"/>
    <w:pPr>
      <w:tabs>
        <w:tab w:val="left" w:pos="0"/>
        <w:tab w:val="center" w:pos="4536"/>
        <w:tab w:val="right" w:pos="9072"/>
      </w:tabs>
      <w:spacing w:before="120" w:after="120"/>
      <w:jc w:val="center"/>
    </w:pPr>
    <w:rPr>
      <w:snapToGrid w:val="0"/>
    </w:rPr>
  </w:style>
  <w:style w:type="paragraph" w:customStyle="1" w:styleId="Formula">
    <w:name w:val="Formula"/>
    <w:basedOn w:val="ae"/>
    <w:rsid w:val="002F0938"/>
    <w:pPr>
      <w:contextualSpacing/>
    </w:pPr>
  </w:style>
  <w:style w:type="paragraph" w:customStyle="1" w:styleId="Picture">
    <w:name w:val="Picture"/>
    <w:qFormat/>
    <w:rsid w:val="002F0938"/>
    <w:pPr>
      <w:keepNext/>
      <w:spacing w:before="180" w:after="120"/>
      <w:jc w:val="center"/>
    </w:pPr>
  </w:style>
  <w:style w:type="paragraph" w:customStyle="1" w:styleId="Author">
    <w:name w:val="Author"/>
    <w:link w:val="Author0"/>
    <w:rsid w:val="004F4972"/>
    <w:pPr>
      <w:jc w:val="center"/>
    </w:pPr>
    <w:rPr>
      <w:b/>
      <w:bCs/>
      <w:sz w:val="28"/>
      <w:szCs w:val="28"/>
    </w:rPr>
  </w:style>
  <w:style w:type="character" w:customStyle="1" w:styleId="ad">
    <w:name w:val="Верхний колонтитул Знак"/>
    <w:link w:val="ac"/>
    <w:uiPriority w:val="99"/>
    <w:rsid w:val="004F4972"/>
    <w:rPr>
      <w:sz w:val="22"/>
      <w:szCs w:val="22"/>
    </w:rPr>
  </w:style>
  <w:style w:type="character" w:customStyle="1" w:styleId="Author0">
    <w:name w:val="Author Знак"/>
    <w:link w:val="Author"/>
    <w:rsid w:val="004F4972"/>
    <w:rPr>
      <w:b/>
      <w:bCs/>
      <w:sz w:val="28"/>
      <w:szCs w:val="28"/>
      <w:lang w:val="ru-RU" w:eastAsia="ru-RU" w:bidi="ar-SA"/>
    </w:rPr>
  </w:style>
  <w:style w:type="character" w:customStyle="1" w:styleId="ab">
    <w:name w:val="Текст сноски Знак"/>
    <w:link w:val="aa"/>
    <w:uiPriority w:val="99"/>
    <w:semiHidden/>
    <w:rsid w:val="0076275A"/>
    <w:rPr>
      <w:lang w:val="ru-RU" w:eastAsia="ru-RU"/>
    </w:rPr>
  </w:style>
  <w:style w:type="paragraph" w:customStyle="1" w:styleId="References">
    <w:name w:val="References"/>
    <w:basedOn w:val="a"/>
    <w:autoRedefine/>
    <w:rsid w:val="00F1166B"/>
    <w:pPr>
      <w:shd w:val="clear" w:color="auto" w:fill="FFFFFF"/>
      <w:autoSpaceDE w:val="0"/>
      <w:autoSpaceDN w:val="0"/>
      <w:adjustRightInd w:val="0"/>
      <w:ind w:left="567" w:hanging="567"/>
      <w:jc w:val="both"/>
    </w:pPr>
    <w:rPr>
      <w:lang w:val="en-US"/>
    </w:rPr>
  </w:style>
  <w:style w:type="character" w:customStyle="1" w:styleId="10">
    <w:name w:val="Заголовок 1 Знак"/>
    <w:aliases w:val="Section Знак"/>
    <w:link w:val="1"/>
    <w:uiPriority w:val="9"/>
    <w:rsid w:val="006A0844"/>
    <w:rPr>
      <w:b/>
      <w:bCs/>
      <w:sz w:val="28"/>
      <w:szCs w:val="28"/>
      <w:lang w:eastAsia="ru-RU"/>
    </w:rPr>
  </w:style>
  <w:style w:type="paragraph" w:styleId="af">
    <w:name w:val="Bibliography"/>
    <w:basedOn w:val="a"/>
    <w:next w:val="a"/>
    <w:uiPriority w:val="37"/>
    <w:unhideWhenUsed/>
    <w:rsid w:val="006A0844"/>
  </w:style>
  <w:style w:type="paragraph" w:styleId="af0">
    <w:name w:val="caption"/>
    <w:basedOn w:val="a"/>
    <w:next w:val="a"/>
    <w:uiPriority w:val="35"/>
    <w:unhideWhenUsed/>
    <w:qFormat/>
    <w:rsid w:val="00EF60E4"/>
    <w:rPr>
      <w:b/>
      <w:bCs/>
      <w:sz w:val="20"/>
      <w:szCs w:val="20"/>
    </w:rPr>
  </w:style>
  <w:style w:type="character" w:styleId="af1">
    <w:name w:val="Hyperlink"/>
    <w:uiPriority w:val="99"/>
    <w:unhideWhenUsed/>
    <w:rsid w:val="00242098"/>
    <w:rPr>
      <w:color w:val="0563C1"/>
      <w:u w:val="single"/>
    </w:rPr>
  </w:style>
  <w:style w:type="paragraph" w:styleId="af2">
    <w:name w:val="Balloon Text"/>
    <w:basedOn w:val="a"/>
    <w:link w:val="af3"/>
    <w:uiPriority w:val="99"/>
    <w:semiHidden/>
    <w:unhideWhenUsed/>
    <w:rsid w:val="00CF6827"/>
    <w:rPr>
      <w:rFonts w:ascii="Tahoma" w:hAnsi="Tahoma" w:cs="Tahoma"/>
      <w:sz w:val="16"/>
      <w:szCs w:val="16"/>
    </w:rPr>
  </w:style>
  <w:style w:type="character" w:customStyle="1" w:styleId="af3">
    <w:name w:val="Текст выноски Знак"/>
    <w:basedOn w:val="a0"/>
    <w:link w:val="af2"/>
    <w:uiPriority w:val="99"/>
    <w:semiHidden/>
    <w:rsid w:val="00CF6827"/>
    <w:rPr>
      <w:rFonts w:ascii="Tahoma" w:hAnsi="Tahoma" w:cs="Tahoma"/>
      <w:sz w:val="16"/>
      <w:szCs w:val="16"/>
    </w:rPr>
  </w:style>
  <w:style w:type="paragraph" w:customStyle="1" w:styleId="GRIDTitle">
    <w:name w:val="GRID_Title"/>
    <w:basedOn w:val="af4"/>
    <w:next w:val="a"/>
    <w:qFormat/>
    <w:rsid w:val="00CF6827"/>
    <w:pPr>
      <w:pBdr>
        <w:bottom w:val="none" w:sz="0" w:space="0" w:color="auto"/>
      </w:pBdr>
      <w:spacing w:after="240"/>
      <w:contextualSpacing w:val="0"/>
      <w:jc w:val="center"/>
    </w:pPr>
    <w:rPr>
      <w:rFonts w:ascii="Times New Roman" w:eastAsia="Times New Roman" w:hAnsi="Times New Roman" w:cs="Times New Roman"/>
      <w:b/>
      <w:bCs/>
      <w:caps/>
      <w:color w:val="0F243E"/>
      <w:spacing w:val="0"/>
      <w:kern w:val="0"/>
      <w:sz w:val="32"/>
      <w:szCs w:val="28"/>
      <w:lang w:val="en-US" w:eastAsia="en-US"/>
    </w:rPr>
  </w:style>
  <w:style w:type="paragraph" w:styleId="af4">
    <w:name w:val="Title"/>
    <w:basedOn w:val="a"/>
    <w:next w:val="a"/>
    <w:link w:val="af5"/>
    <w:uiPriority w:val="10"/>
    <w:qFormat/>
    <w:rsid w:val="00CF682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5">
    <w:name w:val="Название Знак"/>
    <w:basedOn w:val="a0"/>
    <w:link w:val="af4"/>
    <w:uiPriority w:val="10"/>
    <w:rsid w:val="00CF6827"/>
    <w:rPr>
      <w:rFonts w:asciiTheme="majorHAnsi" w:eastAsiaTheme="majorEastAsia" w:hAnsiTheme="majorHAnsi" w:cstheme="majorBidi"/>
      <w:color w:val="323E4F" w:themeColor="text2" w:themeShade="BF"/>
      <w:spacing w:val="5"/>
      <w:kern w:val="28"/>
      <w:sz w:val="52"/>
      <w:szCs w:val="52"/>
    </w:rPr>
  </w:style>
  <w:style w:type="paragraph" w:customStyle="1" w:styleId="GRIDauthor">
    <w:name w:val="GRID_author"/>
    <w:basedOn w:val="a"/>
    <w:next w:val="af6"/>
    <w:qFormat/>
    <w:rsid w:val="00AD75EF"/>
    <w:pPr>
      <w:spacing w:after="240"/>
      <w:jc w:val="center"/>
    </w:pPr>
    <w:rPr>
      <w:b/>
      <w:sz w:val="28"/>
      <w:lang w:val="en-US"/>
    </w:rPr>
  </w:style>
  <w:style w:type="paragraph" w:styleId="af6">
    <w:name w:val="List Paragraph"/>
    <w:basedOn w:val="a"/>
    <w:uiPriority w:val="34"/>
    <w:qFormat/>
    <w:rsid w:val="00CF6827"/>
    <w:pPr>
      <w:ind w:left="720"/>
      <w:contextualSpacing/>
    </w:pPr>
  </w:style>
  <w:style w:type="paragraph" w:customStyle="1" w:styleId="GRIDaffiliation">
    <w:name w:val="GRID_affiliation"/>
    <w:basedOn w:val="a"/>
    <w:qFormat/>
    <w:rsid w:val="00AD75EF"/>
    <w:pPr>
      <w:spacing w:after="120"/>
      <w:jc w:val="center"/>
    </w:pPr>
    <w:rPr>
      <w:i/>
      <w:lang w:val="en-US"/>
    </w:rPr>
  </w:style>
  <w:style w:type="paragraph" w:customStyle="1" w:styleId="GRIDemail">
    <w:name w:val="GRID_email"/>
    <w:next w:val="a"/>
    <w:qFormat/>
    <w:rsid w:val="00AD75EF"/>
    <w:pPr>
      <w:spacing w:before="240" w:after="120"/>
      <w:jc w:val="center"/>
    </w:pPr>
    <w:rPr>
      <w:sz w:val="22"/>
      <w:szCs w:val="22"/>
      <w:lang w:val="en-US"/>
    </w:rPr>
  </w:style>
  <w:style w:type="paragraph" w:customStyle="1" w:styleId="GRIDAbstract">
    <w:name w:val="GRID_Abstract"/>
    <w:basedOn w:val="Abstract"/>
    <w:qFormat/>
    <w:rsid w:val="00EE7EA0"/>
    <w:pPr>
      <w:spacing w:before="600"/>
      <w:ind w:firstLine="0"/>
    </w:pPr>
    <w:rPr>
      <w:sz w:val="22"/>
      <w:lang w:val="en-US"/>
    </w:rPr>
  </w:style>
  <w:style w:type="paragraph" w:customStyle="1" w:styleId="GRIDReferences">
    <w:name w:val="GRID_References"/>
    <w:basedOn w:val="a"/>
    <w:qFormat/>
    <w:rsid w:val="00B73985"/>
    <w:pPr>
      <w:spacing w:after="120"/>
      <w:jc w:val="both"/>
    </w:pPr>
    <w:rPr>
      <w:szCs w:val="24"/>
      <w:lang w:val="en-US"/>
    </w:rPr>
  </w:style>
  <w:style w:type="paragraph" w:customStyle="1" w:styleId="GRIDtext">
    <w:name w:val="GRID_text"/>
    <w:basedOn w:val="a"/>
    <w:qFormat/>
    <w:rsid w:val="00B73985"/>
    <w:pPr>
      <w:ind w:firstLine="709"/>
      <w:jc w:val="both"/>
    </w:pPr>
    <w:rPr>
      <w:szCs w:val="24"/>
      <w:lang w:val="en-US"/>
    </w:rPr>
  </w:style>
  <w:style w:type="paragraph" w:customStyle="1" w:styleId="GRIDheading1">
    <w:name w:val="GRID_heading 1"/>
    <w:basedOn w:val="SectionTitle"/>
    <w:qFormat/>
    <w:rsid w:val="00A35A25"/>
    <w:rPr>
      <w:lang w:val="en-US"/>
    </w:rPr>
  </w:style>
  <w:style w:type="paragraph" w:customStyle="1" w:styleId="GRIDheading2">
    <w:name w:val="GRID_heading 2"/>
    <w:basedOn w:val="a"/>
    <w:qFormat/>
    <w:rsid w:val="00A35A25"/>
    <w:pPr>
      <w:keepNext/>
      <w:widowControl w:val="0"/>
      <w:autoSpaceDN w:val="0"/>
      <w:adjustRightInd w:val="0"/>
      <w:spacing w:before="120" w:after="120"/>
      <w:outlineLvl w:val="0"/>
    </w:pPr>
    <w:rPr>
      <w:b/>
      <w:bCs/>
      <w:snapToGrid w:val="0"/>
      <w:szCs w:val="20"/>
      <w:lang w:val="en-GB"/>
    </w:rPr>
  </w:style>
  <w:style w:type="paragraph" w:customStyle="1" w:styleId="GRIDcopyright">
    <w:name w:val="GRID_copyright"/>
    <w:qFormat/>
    <w:rsid w:val="00F258B6"/>
    <w:pPr>
      <w:jc w:val="right"/>
    </w:pPr>
    <w:rPr>
      <w:iCs/>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5104">
      <w:bodyDiv w:val="1"/>
      <w:marLeft w:val="0"/>
      <w:marRight w:val="0"/>
      <w:marTop w:val="0"/>
      <w:marBottom w:val="0"/>
      <w:divBdr>
        <w:top w:val="none" w:sz="0" w:space="0" w:color="auto"/>
        <w:left w:val="none" w:sz="0" w:space="0" w:color="auto"/>
        <w:bottom w:val="none" w:sz="0" w:space="0" w:color="auto"/>
        <w:right w:val="none" w:sz="0" w:space="0" w:color="auto"/>
      </w:divBdr>
    </w:div>
    <w:div w:id="494224701">
      <w:bodyDiv w:val="1"/>
      <w:marLeft w:val="0"/>
      <w:marRight w:val="0"/>
      <w:marTop w:val="0"/>
      <w:marBottom w:val="0"/>
      <w:divBdr>
        <w:top w:val="none" w:sz="0" w:space="0" w:color="auto"/>
        <w:left w:val="none" w:sz="0" w:space="0" w:color="auto"/>
        <w:bottom w:val="none" w:sz="0" w:space="0" w:color="auto"/>
        <w:right w:val="none" w:sz="0" w:space="0" w:color="auto"/>
      </w:divBdr>
    </w:div>
    <w:div w:id="601112291">
      <w:bodyDiv w:val="1"/>
      <w:marLeft w:val="0"/>
      <w:marRight w:val="0"/>
      <w:marTop w:val="0"/>
      <w:marBottom w:val="0"/>
      <w:divBdr>
        <w:top w:val="none" w:sz="0" w:space="0" w:color="auto"/>
        <w:left w:val="none" w:sz="0" w:space="0" w:color="auto"/>
        <w:bottom w:val="none" w:sz="0" w:space="0" w:color="auto"/>
        <w:right w:val="none" w:sz="0" w:space="0" w:color="auto"/>
      </w:divBdr>
    </w:div>
    <w:div w:id="743649203">
      <w:bodyDiv w:val="1"/>
      <w:marLeft w:val="0"/>
      <w:marRight w:val="0"/>
      <w:marTop w:val="0"/>
      <w:marBottom w:val="0"/>
      <w:divBdr>
        <w:top w:val="none" w:sz="0" w:space="0" w:color="auto"/>
        <w:left w:val="none" w:sz="0" w:space="0" w:color="auto"/>
        <w:bottom w:val="none" w:sz="0" w:space="0" w:color="auto"/>
        <w:right w:val="none" w:sz="0" w:space="0" w:color="auto"/>
      </w:divBdr>
    </w:div>
    <w:div w:id="1274631368">
      <w:bodyDiv w:val="1"/>
      <w:marLeft w:val="0"/>
      <w:marRight w:val="0"/>
      <w:marTop w:val="0"/>
      <w:marBottom w:val="0"/>
      <w:divBdr>
        <w:top w:val="none" w:sz="0" w:space="0" w:color="auto"/>
        <w:left w:val="none" w:sz="0" w:space="0" w:color="auto"/>
        <w:bottom w:val="none" w:sz="0" w:space="0" w:color="auto"/>
        <w:right w:val="none" w:sz="0" w:space="0" w:color="auto"/>
      </w:divBdr>
    </w:div>
    <w:div w:id="1615677121">
      <w:bodyDiv w:val="1"/>
      <w:marLeft w:val="0"/>
      <w:marRight w:val="0"/>
      <w:marTop w:val="0"/>
      <w:marBottom w:val="0"/>
      <w:divBdr>
        <w:top w:val="none" w:sz="0" w:space="0" w:color="auto"/>
        <w:left w:val="none" w:sz="0" w:space="0" w:color="auto"/>
        <w:bottom w:val="none" w:sz="0" w:space="0" w:color="auto"/>
        <w:right w:val="none" w:sz="0" w:space="0" w:color="auto"/>
      </w:divBdr>
    </w:div>
    <w:div w:id="1618288902">
      <w:bodyDiv w:val="1"/>
      <w:marLeft w:val="0"/>
      <w:marRight w:val="0"/>
      <w:marTop w:val="0"/>
      <w:marBottom w:val="0"/>
      <w:divBdr>
        <w:top w:val="none" w:sz="0" w:space="0" w:color="auto"/>
        <w:left w:val="none" w:sz="0" w:space="0" w:color="auto"/>
        <w:bottom w:val="none" w:sz="0" w:space="0" w:color="auto"/>
        <w:right w:val="none" w:sz="0" w:space="0" w:color="auto"/>
      </w:divBdr>
    </w:div>
    <w:div w:id="1696148056">
      <w:bodyDiv w:val="1"/>
      <w:marLeft w:val="0"/>
      <w:marRight w:val="0"/>
      <w:marTop w:val="0"/>
      <w:marBottom w:val="0"/>
      <w:divBdr>
        <w:top w:val="none" w:sz="0" w:space="0" w:color="auto"/>
        <w:left w:val="none" w:sz="0" w:space="0" w:color="auto"/>
        <w:bottom w:val="none" w:sz="0" w:space="0" w:color="auto"/>
        <w:right w:val="none" w:sz="0" w:space="0" w:color="auto"/>
      </w:divBdr>
    </w:div>
    <w:div w:id="20499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MAIK</b:Tag>
    <b:SourceType>JournalArticle</b:SourceType>
    <b:Guid>{8D9C8029-CB03-412C-84FB-F7A9EDEFB8FC}</b:Guid>
    <b:Title>JINR cloud infrastructure evolution</b:Title>
    <b:Year>2016</b:Year>
    <b:Author>
      <b:Author>
        <b:NameList>
          <b:Person>
            <b:Last>A.V. Baranov</b:Last>
            <b:First>N.A.</b:First>
            <b:Middle>Balashov, N.A. Kutovskiy, R.N. Semenov</b:Middle>
          </b:Person>
        </b:NameList>
      </b:Author>
    </b:Author>
    <b:JournalName>Physics of Particles and Nuclei Letters</b:JournalName>
    <b:Pages>672-675</b:Pages>
    <b:Volume>13</b:Volume>
    <b:Issue>5</b:Issue>
    <b:LCID>en-US</b:LCID>
    <b:DOI>10.1134/S1547477116050071.</b:DOI>
    <b:RefOrder>1</b:RefOrder>
  </b:Source>
  <b:Source>
    <b:Tag>LizardFS</b:Tag>
    <b:SourceType>InternetSite</b:SourceType>
    <b:Guid>{0F9D74BE-C1CB-4087-B834-DC24E45527A5}</b:Guid>
    <b:Title>Web-portal of LizardFS project</b:Title>
    <b:URL>http://lizardfs.com</b:URL>
    <b:LCID>en-US</b:LCID>
    <b:RefOrder>2</b:RefOrder>
  </b:Source>
</b:Sources>
</file>

<file path=customXml/itemProps1.xml><?xml version="1.0" encoding="utf-8"?>
<ds:datastoreItem xmlns:ds="http://schemas.openxmlformats.org/officeDocument/2006/customXml" ds:itemID="{18BBD95E-CCCC-4B65-BAF7-A77A6521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JINR cloud infrastructure development</vt:lpstr>
      <vt:lpstr>JINR cloud infrastructure development</vt:lpstr>
    </vt:vector>
  </TitlesOfParts>
  <Company>Home</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JINR cloud infrastructure development</dc:title>
  <dc:creator>Leonid</dc:creator>
  <cp:lastModifiedBy>Lenovo</cp:lastModifiedBy>
  <cp:revision>3</cp:revision>
  <cp:lastPrinted>2009-11-11T15:41:00Z</cp:lastPrinted>
  <dcterms:created xsi:type="dcterms:W3CDTF">2018-10-12T11:55:00Z</dcterms:created>
  <dcterms:modified xsi:type="dcterms:W3CDTF">2018-10-12T11:59:00Z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